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Growing</w:t>
      </w:r>
      <w:r>
        <w:t xml:space="preserve"> </w:t>
      </w:r>
      <w:r>
        <w:t xml:space="preserve">but</w:t>
      </w:r>
      <w:r>
        <w:t xml:space="preserve"> </w:t>
      </w:r>
      <w:r>
        <w:t xml:space="preserve">Not</w:t>
      </w:r>
      <w:r>
        <w:t xml:space="preserve"> </w:t>
      </w:r>
      <w:r>
        <w:t xml:space="preserve">Prospering:</w:t>
      </w:r>
      <w:r>
        <w:t xml:space="preserve"> </w:t>
      </w:r>
      <w:r>
        <w:t xml:space="preserve">Armenia’s</w:t>
      </w:r>
      <w:r>
        <w:t xml:space="preserve"> </w:t>
      </w:r>
      <w:r>
        <w:t xml:space="preserve">Paradox</w:t>
      </w:r>
      <w:r>
        <w:t xml:space="preserve"> </w:t>
      </w:r>
      <w:r>
        <w:t xml:space="preserve">of</w:t>
      </w:r>
      <w:r>
        <w:t xml:space="preserve"> </w:t>
      </w:r>
      <w:r>
        <w:t xml:space="preserve">Economic</w:t>
      </w:r>
      <w:r>
        <w:t xml:space="preserve"> </w:t>
      </w:r>
      <w:r>
        <w:t xml:space="preserve">Growth</w:t>
      </w:r>
      <w:r>
        <w:t xml:space="preserve"> </w:t>
      </w:r>
      <w:r>
        <w:t xml:space="preserve">and</w:t>
      </w:r>
      <w:r>
        <w:t xml:space="preserve"> </w:t>
      </w:r>
      <w:r>
        <w:t xml:space="preserve">Household</w:t>
      </w:r>
      <w:r>
        <w:t xml:space="preserve"> </w:t>
      </w:r>
      <w:r>
        <w:t xml:space="preserve">Welfare</w:t>
      </w:r>
    </w:p>
    <w:p>
      <w:pPr>
        <w:pStyle w:val="Date"/>
      </w:pPr>
      <w:r>
        <w:t xml:space="preserve">2025-05-23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pPr>
      <w:r>
        <w:t xml:space="preserve">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pPr>
      <w:r>
        <w:rPr>
          <w:b/>
          <w:bCs/>
        </w:rPr>
        <w:t xml:space="preserve">Keywords</w:t>
      </w:r>
      <w:r>
        <w:t xml:space="preserve">: income distribution, inflation, regional inequality, transition economies, Armenia</w:t>
      </w:r>
    </w:p>
    <w:p>
      <w:pPr>
        <w:pStyle w:val="BodyText"/>
      </w:pPr>
      <w:r>
        <w:rPr>
          <w:b/>
          <w:bCs/>
        </w:rPr>
        <w:t xml:space="preserve">JEL Classifications</w:t>
      </w:r>
      <w:r>
        <w:t xml:space="preserve">: D31, E31, R11, P25</w:t>
      </w:r>
    </w:p>
    <w:bookmarkEnd w:id="20"/>
    <w:bookmarkStart w:id="21" w:name="introduction"/>
    <w:p>
      <w:pPr>
        <w:pStyle w:val="Heading1"/>
      </w:pPr>
      <w:r>
        <w:t xml:space="preserve">Introduction</w:t>
      </w:r>
    </w:p>
    <w:p>
      <w:pPr>
        <w:pStyle w:val="Firstparagraph"/>
      </w:pPr>
      <w:r>
        <w:t xml:space="preserve">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pPr>
      <w:r>
        <w:t xml:space="preserve">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period of sharp, contrasting macroeconomic conditions raises important questions about the mechanisms that determine whether macroeconomic growth benefits households and how these benefits are distributed across regions.</w:t>
      </w:r>
    </w:p>
    <w:p>
      <w:pPr>
        <w:pStyle w:val="BodyText"/>
      </w:pPr>
      <w:r>
        <w:t xml:space="preserve">The literature on transition economies has separately examined factors such as regional disparities</w:t>
      </w:r>
      <w:r>
        <w:t xml:space="preserve"> </w:t>
      </w:r>
      <w:r>
        <w:t xml:space="preserve">(Zubarevich and Safronov 2024)</w:t>
      </w:r>
      <w:r>
        <w:t xml:space="preserve">, inflation dynamics</w:t>
      </w:r>
      <w:r>
        <w:t xml:space="preserve"> </w:t>
      </w:r>
      <w:r>
        <w:t xml:space="preserve">(Law and Soon 2020)</w:t>
      </w:r>
      <w:r>
        <w:t xml:space="preserve">, and income distribution</w:t>
      </w:r>
      <w:r>
        <w:t xml:space="preserve"> </w:t>
      </w:r>
      <w:r>
        <w:t xml:space="preserve">(Habibov 2012)</w:t>
      </w:r>
      <w:r>
        <w:t xml:space="preserve">, but few studies have analyzed how these elements interact in a unified framework. This gap is particularly notable in the Armenian context, where the post-Soviet transition has been complicated by geopolitical tensions, migration pressures, and economic volatility</w:t>
      </w:r>
      <w:r>
        <w:t xml:space="preserve"> </w:t>
      </w:r>
      <w:r>
        <w:t xml:space="preserve">(Sandoyan, Voskanyan, and Galstyan 2022)</w:t>
      </w:r>
      <w:r>
        <w:t xml:space="preserve">. By examining the apparent disconnect between growth and welfare in Armenia during 2022-2023, this study contributes to both the theoretical understanding of economic development processes and practical policymaking in transition economies.</w:t>
      </w:r>
    </w:p>
    <w:p>
      <w:pPr>
        <w:pStyle w:val="BodyText"/>
      </w:pPr>
      <w:r>
        <w:t xml:space="preserve">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pPr>
      <w:r>
        <w:t xml:space="preserve">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pPr>
      <w:r>
        <w:t xml:space="preserve">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p>
    <w:bookmarkEnd w:id="21"/>
    <w:bookmarkStart w:id="27" w:name="literature-review"/>
    <w:p>
      <w:pPr>
        <w:pStyle w:val="Heading1"/>
      </w:pPr>
      <w:r>
        <w:t xml:space="preserve">Literature Review</w:t>
      </w:r>
    </w:p>
    <w:p>
      <w:pPr>
        <w:pStyle w:val="Firstparagraph"/>
      </w:pPr>
      <w:r>
        <w:t xml:space="preserve">This section synthesizes research on four key dimensions of income dynamics in transition economies, identifying research gaps that our study addresses.</w:t>
      </w:r>
    </w:p>
    <w:bookmarkStart w:id="22" w:name="Xb1d1d46fdc0aba67ad0848be0e765fcc2856bd8"/>
    <w:p>
      <w:pPr>
        <w:pStyle w:val="Heading2"/>
      </w:pPr>
      <w:r>
        <w:t xml:space="preserve">Regional Disparities in Transition Economies</w:t>
      </w:r>
    </w:p>
    <w:p>
      <w:pPr>
        <w:pStyle w:val="Firstparagraph"/>
      </w:pPr>
      <w:r>
        <w:t xml:space="preserve">Extensive research documents significant regional disparities in transition economies, with capital regions consistently outperforming peripheries</w:t>
      </w:r>
      <w:r>
        <w:t xml:space="preserve"> </w:t>
      </w:r>
      <w:r>
        <w:t xml:space="preserve">(Petrakos 2001; Zubarevich and Safronov 2024; Putniņš and Sauka 2011)</w:t>
      </w:r>
      <w:r>
        <w:t xml:space="preserve">.</w:t>
      </w:r>
      <w:r>
        <w:t xml:space="preserve"> </w:t>
      </w:r>
      <w:r>
        <w:t xml:space="preserve">Petrakos (2001)</w:t>
      </w:r>
      <w:r>
        <w:t xml:space="preserve"> </w:t>
      </w:r>
      <w:r>
        <w:t xml:space="preserve">(p. 360) argues that market-oriented reforms have increased regional disparities because</w:t>
      </w:r>
      <w:r>
        <w:t xml:space="preserve"> </w:t>
      </w:r>
      <w:r>
        <w:t xml:space="preserve">“</w:t>
      </w:r>
      <w:r>
        <w:t xml:space="preserve">transition favors metropolitan and western regions,</w:t>
      </w:r>
      <w:r>
        <w:t xml:space="preserve">”</w:t>
      </w:r>
      <w:r>
        <w:t xml:space="preserve"> </w:t>
      </w:r>
      <w:r>
        <w:t xml:space="preserve">as capitals benefit disproportionately from foreign investment and institutional reforms. In Armenia specifically,</w:t>
      </w:r>
      <w:r>
        <w:t xml:space="preserve"> </w:t>
      </w:r>
      <w:r>
        <w:t xml:space="preserve">Habibov (2012)</w:t>
      </w:r>
      <w:r>
        <w:t xml:space="preserve"> </w:t>
      </w:r>
      <w:r>
        <w:t xml:space="preserve">found that between-region disparities account for 15.20% of overall inequality, while urban-rural differences explain 9.38%. These geographic disparities persist even after controlling for individual characteristics, suggesting structural factors drive regional inequality. Similarly,</w:t>
      </w:r>
      <w:r>
        <w:t xml:space="preserve"> </w:t>
      </w:r>
      <w:r>
        <w:t xml:space="preserve">Markosyan and Markosyan (2023)</w:t>
      </w:r>
      <w:r>
        <w:t xml:space="preserve"> </w:t>
      </w:r>
      <w:r>
        <w:t xml:space="preserve">documents poverty rates in 2022 ranging from 18.6% in Yerevan to 43.2% in Shirak, reflecting divergent growth trajectories.</w:t>
      </w:r>
    </w:p>
    <w:p>
      <w:pPr>
        <w:pStyle w:val="BodyText"/>
      </w:pPr>
      <w:r>
        <w:t xml:space="preserve">This spatial inequality appears self-reinforcing through several mechanisms. Infrastructure development patterns reinforce pre-existing hierarchies, with quality declining with distance from capital cities</w:t>
      </w:r>
      <w:r>
        <w:t xml:space="preserve"> </w:t>
      </w:r>
      <w:r>
        <w:t xml:space="preserve">(Salukvadze and Sichinava 2019)</w:t>
      </w:r>
      <w:r>
        <w:t xml:space="preserve">. Post-Soviet territorial reorganization has created new divides between globally integrated regions and peripheralized areas, with mobility patterns further intensifying these disparities</w:t>
      </w:r>
      <w:r>
        <w:t xml:space="preserve"> </w:t>
      </w:r>
      <w:r>
        <w:t xml:space="preserve">(Thorez 2014)</w:t>
      </w:r>
      <w:r>
        <w:t xml:space="preserve">. The methodological framework developed by</w:t>
      </w:r>
      <w:r>
        <w:t xml:space="preserve"> </w:t>
      </w:r>
      <w:r>
        <w:t xml:space="preserve">Ikemoto and Limskul (1987)</w:t>
      </w:r>
      <w:r>
        <w:t xml:space="preserve"> </w:t>
      </w:r>
      <w:r>
        <w:t xml:space="preserve">for decomposing inequality into within-region and between-region components has become standard but remains underutilized in examining how these disparities interact with inflation dynamics.</w:t>
      </w:r>
    </w:p>
    <w:bookmarkEnd w:id="22"/>
    <w:bookmarkStart w:id="23" w:name="inflation-effects-on-income-distribution"/>
    <w:p>
      <w:pPr>
        <w:pStyle w:val="Heading2"/>
      </w:pPr>
      <w:r>
        <w:t xml:space="preserve">Inflation Effects on Income Distribution</w:t>
      </w:r>
    </w:p>
    <w:p>
      <w:pPr>
        <w:pStyle w:val="Firstparagraph"/>
      </w:pPr>
      <w:r>
        <w:t xml:space="preserve">Inflation’s impact on income distribution represents a critical yet under-examined aspect of transition economies. Early theoretical work by</w:t>
      </w:r>
      <w:r>
        <w:t xml:space="preserve"> </w:t>
      </w:r>
      <w:r>
        <w:t xml:space="preserve">Budd and Seiders (1971)</w:t>
      </w:r>
      <w:r>
        <w:t xml:space="preserve"> </w:t>
      </w:r>
      <w:r>
        <w:t xml:space="preserve">identified three key redistribution mechanisms: asymmetric consumption basket price effects, differential income source adjustment speeds, and creditor-debtor transfers. More recent research has extended these insights to transition economy contexts.</w:t>
      </w:r>
      <w:r>
        <w:t xml:space="preserve"> </w:t>
      </w:r>
      <w:r>
        <w:t xml:space="preserve">Camera and Chien (2014)</w:t>
      </w:r>
      <w:r>
        <w:t xml:space="preserve">’s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w:t>
      </w:r>
      <w:r>
        <w:t xml:space="preserve"> </w:t>
      </w:r>
      <w:r>
        <w:t xml:space="preserve">Law and Soon (2020)</w:t>
      </w:r>
      <w:r>
        <w:t xml:space="preserve">’s panel analysis of 65 countries, showing that</w:t>
      </w:r>
      <w:r>
        <w:t xml:space="preserve"> </w:t>
      </w:r>
      <w:r>
        <w:t xml:space="preserve">“</w:t>
      </w:r>
      <w:r>
        <w:t xml:space="preserve">an increase in inflation will worsen income inequality, while better institutional quality will improve income inequality</w:t>
      </w:r>
      <w:r>
        <w:t xml:space="preserve">”</w:t>
      </w:r>
      <w:r>
        <w:t xml:space="preserve"> </w:t>
      </w:r>
      <w:r>
        <w:t xml:space="preserve">(p. 1736).</w:t>
      </w:r>
    </w:p>
    <w:p>
      <w:pPr>
        <w:pStyle w:val="BodyText"/>
      </w:pPr>
      <w:r>
        <w:t xml:space="preserve">In Armenia specifically,</w:t>
      </w:r>
      <w:r>
        <w:t xml:space="preserve"> </w:t>
      </w:r>
      <w:r>
        <w:t xml:space="preserve">Tavadyan (2021)</w:t>
      </w:r>
      <w:r>
        <w:t xml:space="preserve"> </w:t>
      </w:r>
      <w:r>
        <w:t xml:space="preserve">demonstrates how artificially stable exchange rates during 2014-2019 created macroeconomic misalignments that ultimately worsened inflation’s distributional impacts. Comparative research from Baltic states provides valuable parallels –</w:t>
      </w:r>
      <w:r>
        <w:t xml:space="preserve"> </w:t>
      </w:r>
      <w:r>
        <w:t xml:space="preserve">Beņkovskis et al. (2025)</w:t>
      </w:r>
      <w:r>
        <w:t xml:space="preserve"> </w:t>
      </w:r>
      <w:r>
        <w:t xml:space="preserve">show how wage policies interact with inflation through formal and informal channels, while</w:t>
      </w:r>
      <w:r>
        <w:t xml:space="preserve"> </w:t>
      </w:r>
      <w:r>
        <w:t xml:space="preserve">Garcia-Louzao and Jouvanceau (2023)</w:t>
      </w:r>
      <w:r>
        <w:t xml:space="preserve"> </w:t>
      </w:r>
      <w:r>
        <w:t xml:space="preserve">identify how supply shocks impact different labor market segments unequally, helping explain why wages sometimes lag inflation during economic disruptions.</w:t>
      </w:r>
    </w:p>
    <w:bookmarkEnd w:id="23"/>
    <w:bookmarkStart w:id="24" w:name="Xcc4b4699057059d10cfae3f94311f848f3cbc16"/>
    <w:p>
      <w:pPr>
        <w:pStyle w:val="Heading2"/>
      </w:pPr>
      <w:r>
        <w:t xml:space="preserve">Policy Effectiveness and Distributional Outcomes</w:t>
      </w:r>
    </w:p>
    <w:p>
      <w:pPr>
        <w:pStyle w:val="Firstparagraph"/>
      </w:pPr>
      <w:r>
        <w:t xml:space="preserve">Policy interventions in transition economies show varying effectiveness in addressing inequality. Studies from Armenia reveal that minimum wage policies have heterogeneous effects on income mobility, particularly in regions with high informal employment</w:t>
      </w:r>
      <w:r>
        <w:t xml:space="preserve"> </w:t>
      </w:r>
      <w:r>
        <w:t xml:space="preserve">(Hambardzumyan 2023)</w:t>
      </w:r>
      <w:r>
        <w:t xml:space="preserve">. Social protection measures show significantly different effectiveness across regions, with poverty reduction per dollar of assistance ranging from 0.8 percentage points in Tavush to 2.3 in Kotayk</w:t>
      </w:r>
      <w:r>
        <w:t xml:space="preserve"> </w:t>
      </w:r>
      <w:r>
        <w:t xml:space="preserve">(Markosyan and Markosyan 2023)</w:t>
      </w:r>
      <w:r>
        <w:t xml:space="preserve">.</w:t>
      </w:r>
    </w:p>
    <w:p>
      <w:pPr>
        <w:pStyle w:val="BodyText"/>
      </w:pPr>
      <w:r>
        <w:t xml:space="preserve">Comparative research from Baltic states highlights critical policy design challenges.</w:t>
      </w:r>
      <w:r>
        <w:t xml:space="preserve"> </w:t>
      </w:r>
      <w:r>
        <w:t xml:space="preserve">Navickė and Lazutka (2016)</w:t>
      </w:r>
      <w:r>
        <w:t xml:space="preserve">’s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w:t>
      </w:r>
      <w:r>
        <w:t xml:space="preserve"> </w:t>
      </w:r>
      <w:r>
        <w:t xml:space="preserve">(Zubarevich and Safronov 2024)</w:t>
      </w:r>
      <w:r>
        <w:t xml:space="preserve">.</w:t>
      </w:r>
    </w:p>
    <w:p>
      <w:pPr>
        <w:pStyle w:val="BodyText"/>
      </w:pPr>
      <w:r>
        <w:t xml:space="preserve">Labor market institutions significantly shape distributional outcomes.</w:t>
      </w:r>
      <w:r>
        <w:t xml:space="preserve"> </w:t>
      </w:r>
      <w:r>
        <w:t xml:space="preserve">Khitarishvili (2016)</w:t>
      </w:r>
      <w:r>
        <w:t xml:space="preserve"> </w:t>
      </w:r>
      <w:r>
        <w:t xml:space="preserve">found that institutional factors, rather than human capital differences, explained 65-80% of gender earnings differentials in South Caucasus countries. Similarly,</w:t>
      </w:r>
      <w:r>
        <w:t xml:space="preserve"> </w:t>
      </w:r>
      <w:r>
        <w:t xml:space="preserve">Zasova (2011)</w:t>
      </w:r>
      <w:r>
        <w:t xml:space="preserve"> </w:t>
      </w:r>
      <w:r>
        <w:t xml:space="preserve">demonstrated how labor market rigidities in Latvia caused adjustment primarily through employment rather than wages during economic shocks, creating uneven welfare impacts across worker groups.</w:t>
      </w:r>
    </w:p>
    <w:bookmarkEnd w:id="24"/>
    <w:bookmarkStart w:id="25" w:name="X4b9088e7725796990efb3cbd64f06f1e00e11af"/>
    <w:p>
      <w:pPr>
        <w:pStyle w:val="Heading2"/>
      </w:pPr>
      <w:r>
        <w:t xml:space="preserve">Middle-Class Formation in Transition Economies</w:t>
      </w:r>
    </w:p>
    <w:p>
      <w:pPr>
        <w:pStyle w:val="Firstparagraph"/>
      </w:pPr>
      <w:r>
        <w:t xml:space="preserve">The development of a middle class represents a critical aspect of post-Soviet socioeconomic transformation. Longitudinal research demonstrates that</w:t>
      </w:r>
      <w:r>
        <w:t xml:space="preserve"> </w:t>
      </w:r>
      <w:r>
        <w:t xml:space="preserve">“</w:t>
      </w:r>
      <w:r>
        <w:t xml:space="preserve">successful economic and political transitions…requires the development of a significant and stable middle class</w:t>
      </w:r>
      <w:r>
        <w:t xml:space="preserve">”</w:t>
      </w:r>
      <w:r>
        <w:t xml:space="preserve"> </w:t>
      </w:r>
      <w:r>
        <w:t xml:space="preserve">(Nissanov 2017, 47)</w:t>
      </w:r>
      <w:r>
        <w:t xml:space="preserve">,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w:t>
      </w:r>
      <w:r>
        <w:t xml:space="preserve"> </w:t>
      </w:r>
      <w:r>
        <w:t xml:space="preserve">(Berkowitz and Jackson 2006)</w:t>
      </w:r>
      <w:r>
        <w:t xml:space="preserve">.</w:t>
      </w:r>
    </w:p>
    <w:p>
      <w:pPr>
        <w:pStyle w:val="BodyText"/>
      </w:pPr>
      <w:r>
        <w:t xml:space="preserve">In Armenia,</w:t>
      </w:r>
      <w:r>
        <w:t xml:space="preserve"> </w:t>
      </w:r>
      <w:r>
        <w:t xml:space="preserve">Roberts and Pollock (2011)</w:t>
      </w:r>
      <w:r>
        <w:t xml:space="preserve"> </w:t>
      </w:r>
      <w:r>
        <w:t xml:space="preserve">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w:t>
      </w:r>
      <w:r>
        <w:t xml:space="preserve"> </w:t>
      </w:r>
      <w:r>
        <w:t xml:space="preserve">(Tavadyan and Ghazaryan 2022)</w:t>
      </w:r>
      <w:r>
        <w:t xml:space="preserve">.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w:t>
      </w:r>
      <w:r>
        <w:t xml:space="preserve"> </w:t>
      </w:r>
      <w:r>
        <w:t xml:space="preserve">(Fuchs, Tiwari, and Shidiq 2018)</w:t>
      </w:r>
      <w:r>
        <w:t xml:space="preserve">. Similarly, selective migration patterns potentially drain human capital needed for sustainable middle-class growth</w:t>
      </w:r>
      <w:r>
        <w:t xml:space="preserve"> </w:t>
      </w:r>
      <w:r>
        <w:t xml:space="preserve">(Dermendzhieva 2011)</w:t>
      </w:r>
      <w:r>
        <w:t xml:space="preserve">.</w:t>
      </w:r>
    </w:p>
    <w:bookmarkEnd w:id="25"/>
    <w:bookmarkStart w:id="26" w:name="research-gap-and-contribution"/>
    <w:p>
      <w:pPr>
        <w:pStyle w:val="Heading2"/>
      </w:pPr>
      <w:r>
        <w:t xml:space="preserve">Research Gap and Contribution</w:t>
      </w:r>
    </w:p>
    <w:p>
      <w:pPr>
        <w:pStyle w:val="Firstparagraph"/>
      </w:pPr>
      <w:r>
        <w:t xml:space="preserve">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pPr>
      <w:r>
        <w:t xml:space="preserve">Second, the paradoxical relationship between substantial GDP growth (12.6%) and declining household welfare in Armenia provides a good bases for understanding inflation’s mediating role in the growth-welfare relationship. While previous research has documented growth-welfare disconnects</w:t>
      </w:r>
      <w:r>
        <w:t xml:space="preserve"> </w:t>
      </w:r>
      <w:r>
        <w:t xml:space="preserve">(Tiwari et al. 2018)</w:t>
      </w:r>
      <w:r>
        <w:t xml:space="preserve">,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pPr>
      <w:r>
        <w:t xml:space="preserve">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p>
    <w:bookmarkEnd w:id="26"/>
    <w:bookmarkEnd w:id="27"/>
    <w:bookmarkStart w:id="44" w:name="data-and-methodology"/>
    <w:p>
      <w:pPr>
        <w:pStyle w:val="Heading1"/>
      </w:pPr>
      <w:r>
        <w:t xml:space="preserve">Data and Methodology</w:t>
      </w:r>
    </w:p>
    <w:bookmarkStart w:id="34" w:name="data-sources"/>
    <w:p>
      <w:pPr>
        <w:pStyle w:val="Heading2"/>
      </w:pPr>
      <w:r>
        <w:t xml:space="preserve">Data Sources</w:t>
      </w:r>
    </w:p>
    <w:p>
      <w:pPr>
        <w:pStyle w:val="Firstparagraph"/>
      </w:pPr>
      <w:r>
        <w:t xml:space="preserve">This study utilizes anonymized microdata from Armenia’s Integrated Living Conditions Survey (2004-2023), comprising 121,170 household observations</w:t>
      </w:r>
      <w:r>
        <w:rPr>
          <w:rStyle w:val="FootnoteReference"/>
        </w:rPr>
        <w:footnoteReference w:id="28"/>
      </w:r>
      <w:r>
        <w:t xml:space="preserve">.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0"/>
      </w:r>
      <w:r>
        <w:t xml:space="preserve"> </w:t>
      </w:r>
      <w:r>
        <w:t xml:space="preserve">with December 2023 as the base period.</w:t>
      </w:r>
    </w:p>
    <w:p>
      <w:pPr>
        <w:pStyle w:val="BodyText"/>
      </w:pPr>
      <w:r>
        <w:rPr>
          <w:b/>
          <w:bCs/>
        </w:rPr>
        <w:t xml:space="preserve">Ethics Statement</w:t>
      </w:r>
      <w:r>
        <w:t xml:space="preserve">: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pPr>
      <w:r>
        <w:rPr>
          <w:b/>
          <w:bCs/>
        </w:rPr>
        <w:t xml:space="preserve">Data Availability</w:t>
      </w:r>
      <w:r>
        <w:t xml:space="preserve">: The complete code, processed datasets, and supplementary materials for this study are publicly available</w:t>
      </w:r>
      <w:r>
        <w:rPr>
          <w:rStyle w:val="FootnoteReference"/>
        </w:rPr>
        <w:footnoteReference w:id="32"/>
      </w:r>
      <w:r>
        <w:t xml:space="preserve">.</w:t>
      </w:r>
    </w:p>
    <w:p>
      <w:pPr>
        <w:pStyle w:val="BodyText"/>
      </w:pPr>
      <w:r>
        <w:t xml:space="preserve">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p>
    <w:bookmarkEnd w:id="34"/>
    <w:bookmarkStart w:id="35" w:name="econometric-approach"/>
    <w:p>
      <w:pPr>
        <w:pStyle w:val="Heading2"/>
      </w:pPr>
      <w:r>
        <w:t xml:space="preserve">Econometric Approach</w:t>
      </w:r>
    </w:p>
    <w:bookmarkEnd w:id="35"/>
    <w:bookmarkStart w:id="43" w:name="methodological-contribution"/>
    <w:p>
      <w:pPr>
        <w:pStyle w:val="Heading2"/>
      </w:pPr>
      <w:r>
        <w:t xml:space="preserve">Methodological Contribution</w:t>
      </w:r>
    </w:p>
    <w:p>
      <w:pPr>
        <w:pStyle w:val="Firstparagraph"/>
      </w:pPr>
      <w:r>
        <w:t xml:space="preserve">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pPr>
      <w:r>
        <w:t xml:space="preserve">While previous research has examined inflation dynamics and regional disparities separately</w:t>
      </w:r>
      <w:r>
        <w:t xml:space="preserve"> </w:t>
      </w:r>
      <w:r>
        <w:t xml:space="preserve">(Habibov 2012; Zubarevich and Safronov 2024)</w:t>
      </w:r>
      <w:r>
        <w:t xml:space="preserve">, our framework captures how these forces interact during periods of exceptional macroeconomic volatility. The core of our approach involves a carefully designed two-stage process:</w:t>
      </w:r>
    </w:p>
    <w:p>
      <w:pPr>
        <w:numPr>
          <w:ilvl w:val="0"/>
          <w:numId w:val="1001"/>
        </w:numPr>
      </w:pPr>
      <w:r>
        <w:rPr>
          <w:b/>
          <w:bCs/>
        </w:rPr>
        <w:t xml:space="preserve">Inflation Adjustment</w:t>
      </w:r>
      <w:r>
        <w:t xml:space="preserve">: We calculate the cumulative inflation for each survey month relative to December 2023, creating precise real income values that reflect true purchasing power. This captures intra-year inflation dynamics crucial for analyzing periods of high volatility.</w:t>
      </w:r>
    </w:p>
    <w:p>
      <w:pPr>
        <w:numPr>
          <w:ilvl w:val="0"/>
          <w:numId w:val="1001"/>
        </w:numPr>
      </w:pPr>
      <w:r>
        <w:rPr>
          <w:b/>
          <w:bCs/>
        </w:rPr>
        <w:t xml:space="preserve">Regional Response Modeling</w:t>
      </w:r>
      <w:r>
        <w:t xml:space="preserve">: We employ a weighted log-linear regression with regional fixed effects and a rich set of interactions:</w:t>
      </w:r>
    </w:p>
    <w:p>
      <w:pPr>
        <w:pStyle w:val="Firstparagraph"/>
      </w:pPr>
      <m:oMath>
        <m:r>
          <m:t>l</m:t>
        </m:r>
        <m:r>
          <m:t>o</m:t>
        </m:r>
        <m:r>
          <m:t>g</m:t>
        </m:r>
        <m:d>
          <m:dPr>
            <m:begChr m:val="("/>
            <m:endChr m:val=")"/>
            <m:sepChr m:val=""/>
            <m:grow/>
          </m:dPr>
          <m:e>
            <m:r>
              <m:t>I</m:t>
            </m:r>
            <m:r>
              <m:t>n</m:t>
            </m:r>
            <m:r>
              <m:t>c</m:t>
            </m:r>
            <m:r>
              <m:t>o</m:t>
            </m:r>
            <m:r>
              <m:t>m</m:t>
            </m:r>
            <m:sSub>
              <m:e>
                <m:r>
                  <m:t>e</m:t>
                </m:r>
              </m:e>
              <m:sub>
                <m:r>
                  <m:t>a</m:t>
                </m:r>
                <m:r>
                  <m:t>d</m:t>
                </m:r>
                <m:r>
                  <m:t>j</m:t>
                </m:r>
              </m:sub>
            </m:sSub>
          </m:e>
        </m:d>
        <m:r>
          <m:rPr>
            <m:sty m:val="p"/>
          </m:rPr>
          <m:t>=</m:t>
        </m:r>
        <m:sSub>
          <m:e>
            <m:r>
              <m:t>β</m:t>
            </m:r>
          </m:e>
          <m:sub>
            <m:r>
              <m:t>0</m:t>
            </m:r>
          </m:sub>
        </m:sSub>
        <m:r>
          <m:rPr>
            <m:sty m:val="p"/>
          </m:rPr>
          <m:t>+</m:t>
        </m:r>
        <m:sSub>
          <m:e>
            <m:r>
              <m:t>β</m:t>
            </m:r>
          </m:e>
          <m:sub>
            <m:r>
              <m:t>1</m:t>
            </m:r>
          </m:sub>
        </m:sSub>
        <m:r>
          <m:t>Y</m:t>
        </m:r>
        <m:r>
          <m:t>e</m:t>
        </m:r>
        <m:r>
          <m:t>a</m:t>
        </m:r>
        <m:r>
          <m:t>r</m:t>
        </m:r>
        <m:r>
          <m:rPr>
            <m:sty m:val="p"/>
          </m:rPr>
          <m:t>+</m:t>
        </m:r>
        <m:sSub>
          <m:e>
            <m:r>
              <m:t>β</m:t>
            </m:r>
          </m:e>
          <m:sub>
            <m:r>
              <m:t>2</m:t>
            </m:r>
          </m:sub>
        </m:sSub>
        <m:r>
          <m:t>R</m:t>
        </m:r>
        <m:r>
          <m:t>e</m:t>
        </m:r>
        <m:r>
          <m:t>g</m:t>
        </m:r>
        <m:r>
          <m:t>i</m:t>
        </m:r>
        <m:r>
          <m:t>o</m:t>
        </m:r>
        <m:r>
          <m:t>n</m:t>
        </m:r>
        <m:r>
          <m:rPr>
            <m:sty m:val="p"/>
          </m:rPr>
          <m:t>+</m:t>
        </m:r>
        <m:sSub>
          <m:e>
            <m:r>
              <m:t>β</m:t>
            </m:r>
          </m:e>
          <m:sub>
            <m:r>
              <m:t>3</m:t>
            </m:r>
          </m:sub>
        </m:sSub>
        <m:r>
          <m:t>S</m:t>
        </m:r>
        <m:r>
          <m:t>e</m:t>
        </m:r>
        <m:r>
          <m:t>t</m:t>
        </m:r>
        <m:r>
          <m:t>t</m:t>
        </m:r>
        <m:r>
          <m:t>l</m:t>
        </m:r>
        <m:r>
          <m:t>e</m:t>
        </m:r>
        <m:r>
          <m:t>m</m:t>
        </m:r>
        <m:r>
          <m:t>e</m:t>
        </m:r>
        <m:r>
          <m:t>n</m:t>
        </m:r>
        <m:r>
          <m:t>t</m:t>
        </m:r>
        <m:r>
          <m:rPr>
            <m:sty m:val="p"/>
          </m:rPr>
          <m:t>+</m:t>
        </m:r>
        <m:sSub>
          <m:e>
            <m:r>
              <m:t>β</m:t>
            </m:r>
          </m:e>
          <m:sub>
            <m:r>
              <m:t>4</m:t>
            </m:r>
          </m:sub>
        </m:sSub>
        <m:d>
          <m:dPr>
            <m:begChr m:val="("/>
            <m:endChr m:val=")"/>
            <m:sepChr m:val=""/>
            <m:grow/>
          </m:dPr>
          <m:e>
            <m:r>
              <m:t>Y</m:t>
            </m:r>
            <m:r>
              <m:t>e</m:t>
            </m:r>
            <m:r>
              <m:t>a</m:t>
            </m:r>
            <m:r>
              <m:t>r</m:t>
            </m:r>
            <m:r>
              <m:rPr>
                <m:sty m:val="p"/>
              </m:rPr>
              <m:t>×</m:t>
            </m:r>
            <m:r>
              <m:t>R</m:t>
            </m:r>
            <m:r>
              <m:t>e</m:t>
            </m:r>
            <m:r>
              <m:t>g</m:t>
            </m:r>
            <m:r>
              <m:t>i</m:t>
            </m:r>
            <m:r>
              <m:t>o</m:t>
            </m:r>
            <m:r>
              <m:t>n</m:t>
            </m:r>
          </m:e>
        </m:d>
        <m:r>
          <m:rPr>
            <m:sty m:val="p"/>
          </m:rPr>
          <m:t>+</m:t>
        </m:r>
        <m:sSub>
          <m:e>
            <m:r>
              <m:t>β</m:t>
            </m:r>
          </m:e>
          <m:sub>
            <m:r>
              <m:t>5</m:t>
            </m:r>
          </m:sub>
        </m:sSub>
        <m:d>
          <m:dPr>
            <m:begChr m:val="("/>
            <m:endChr m:val=")"/>
            <m:sepChr m:val=""/>
            <m:grow/>
          </m:dPr>
          <m:e>
            <m:r>
              <m:t>Y</m:t>
            </m:r>
            <m:r>
              <m:t>e</m:t>
            </m:r>
            <m:r>
              <m:t>a</m:t>
            </m:r>
            <m:r>
              <m:t>r</m:t>
            </m:r>
            <m:r>
              <m:rPr>
                <m:sty m:val="p"/>
              </m:rPr>
              <m:t>×</m:t>
            </m:r>
            <m:r>
              <m:t>S</m:t>
            </m:r>
            <m:r>
              <m:t>e</m:t>
            </m:r>
            <m:r>
              <m:t>t</m:t>
            </m:r>
            <m:r>
              <m:t>t</m:t>
            </m:r>
            <m:r>
              <m:t>l</m:t>
            </m:r>
            <m:r>
              <m:t>e</m:t>
            </m:r>
            <m:r>
              <m:t>m</m:t>
            </m:r>
            <m:r>
              <m:t>e</m:t>
            </m:r>
            <m:r>
              <m:t>n</m:t>
            </m:r>
            <m:r>
              <m:t>t</m:t>
            </m:r>
          </m:e>
        </m:d>
        <m:r>
          <m:rPr>
            <m:sty m:val="p"/>
          </m:rPr>
          <m:t>+</m:t>
        </m:r>
        <m:sSub>
          <m:e>
            <m:r>
              <m:t>β</m:t>
            </m:r>
          </m:e>
          <m:sub>
            <m:r>
              <m:t>6</m:t>
            </m:r>
          </m:sub>
        </m:sSub>
        <m:d>
          <m:dPr>
            <m:begChr m:val="("/>
            <m:endChr m:val=")"/>
            <m:sepChr m:val=""/>
            <m:grow/>
          </m:dPr>
          <m:e>
            <m:r>
              <m:t>R</m:t>
            </m:r>
            <m:r>
              <m:t>e</m:t>
            </m:r>
            <m:r>
              <m:t>g</m:t>
            </m:r>
            <m:r>
              <m:t>i</m:t>
            </m:r>
            <m:r>
              <m:t>o</m:t>
            </m:r>
            <m:r>
              <m:t>n</m:t>
            </m:r>
            <m:r>
              <m:rPr>
                <m:sty m:val="p"/>
              </m:rPr>
              <m:t>×</m:t>
            </m:r>
            <m:r>
              <m:t>S</m:t>
            </m:r>
            <m:r>
              <m:t>e</m:t>
            </m:r>
            <m:r>
              <m:t>t</m:t>
            </m:r>
            <m:r>
              <m:t>t</m:t>
            </m:r>
            <m:r>
              <m:t>l</m:t>
            </m:r>
            <m:r>
              <m:t>e</m:t>
            </m:r>
            <m:r>
              <m:t>m</m:t>
            </m:r>
            <m:r>
              <m:t>e</m:t>
            </m:r>
            <m:r>
              <m:t>n</m:t>
            </m:r>
            <m:r>
              <m:t>t</m:t>
            </m:r>
          </m:e>
        </m:d>
        <m:r>
          <m:rPr>
            <m:sty m:val="p"/>
          </m:rPr>
          <m:t>+</m:t>
        </m:r>
        <m:sSub>
          <m:e>
            <m:r>
              <m:t>β</m:t>
            </m:r>
          </m:e>
          <m:sub>
            <m:r>
              <m:t>7</m:t>
            </m:r>
          </m:sub>
        </m:sSub>
        <m:d>
          <m:dPr>
            <m:begChr m:val="("/>
            <m:endChr m:val=")"/>
            <m:sepChr m:val=""/>
            <m:grow/>
          </m:dPr>
          <m:e>
            <m:r>
              <m:t>Y</m:t>
            </m:r>
            <m:r>
              <m:t>e</m:t>
            </m:r>
            <m:r>
              <m:t>a</m:t>
            </m:r>
            <m:r>
              <m:t>r</m:t>
            </m:r>
            <m:r>
              <m:rPr>
                <m:sty m:val="p"/>
              </m:rPr>
              <m:t>×</m:t>
            </m:r>
            <m:r>
              <m:t>R</m:t>
            </m:r>
            <m:r>
              <m:t>e</m:t>
            </m:r>
            <m:r>
              <m:t>g</m:t>
            </m:r>
            <m:r>
              <m:t>i</m:t>
            </m:r>
            <m:r>
              <m:t>o</m:t>
            </m:r>
            <m:r>
              <m:t>n</m:t>
            </m:r>
            <m:r>
              <m:rPr>
                <m:sty m:val="p"/>
              </m:rPr>
              <m:t>×</m:t>
            </m:r>
            <m:r>
              <m:t>S</m:t>
            </m:r>
            <m:r>
              <m:t>e</m:t>
            </m:r>
            <m:r>
              <m:t>t</m:t>
            </m:r>
            <m:r>
              <m:t>t</m:t>
            </m:r>
            <m:r>
              <m:t>l</m:t>
            </m:r>
            <m:r>
              <m:t>e</m:t>
            </m:r>
            <m:r>
              <m:t>m</m:t>
            </m:r>
            <m:r>
              <m:t>e</m:t>
            </m:r>
            <m:r>
              <m:t>n</m:t>
            </m:r>
            <m:r>
              <m:t>t</m:t>
            </m:r>
          </m:e>
        </m:d>
        <m:r>
          <m:rPr>
            <m:sty m:val="p"/>
          </m:rPr>
          <m:t>+</m:t>
        </m:r>
        <m:r>
          <m:t>ϵ</m:t>
        </m:r>
      </m:oMath>
    </w:p>
    <w:p>
      <w:pPr>
        <w:pStyle w:val="BodyText"/>
      </w:pPr>
      <w:r>
        <w:t xml:space="preserve">Where</w:t>
      </w:r>
      <w:r>
        <w:t xml:space="preserve"> </w:t>
      </w:r>
      <m:oMath>
        <m:r>
          <m:t>I</m:t>
        </m:r>
        <m:r>
          <m:t>n</m:t>
        </m:r>
        <m:r>
          <m:t>c</m:t>
        </m:r>
        <m:r>
          <m:t>o</m:t>
        </m:r>
        <m:r>
          <m:t>m</m:t>
        </m:r>
        <m:sSub>
          <m:e>
            <m:r>
              <m:t>e</m:t>
            </m:r>
          </m:e>
          <m:sub>
            <m:r>
              <m:t>a</m:t>
            </m:r>
            <m:r>
              <m:t>d</m:t>
            </m:r>
            <m:r>
              <m:t>j</m:t>
            </m:r>
          </m:sub>
        </m:sSub>
      </m:oMath>
      <w:r>
        <w:t xml:space="preserve"> </w:t>
      </w:r>
      <w:r>
        <w:t xml:space="preserve">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pPr>
      <w:r>
        <w:t xml:space="preserve">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m:oMath>
        <m:sSub>
          <m:e>
            <m:r>
              <m:t>β</m:t>
            </m:r>
          </m:e>
          <m:sub>
            <m:r>
              <m:t>4</m:t>
            </m:r>
          </m:sub>
        </m:sSub>
      </m:oMath>
      <w:r>
        <w:t xml:space="preserve">) reveal how different regions’ real income trajectories diverge or converge over time, while the three-way interactions (</w:t>
      </w:r>
      <m:oMath>
        <m:sSub>
          <m:e>
            <m:r>
              <m:t>β</m:t>
            </m:r>
          </m:e>
          <m:sub>
            <m:r>
              <m:t>7</m:t>
            </m:r>
          </m:sub>
        </m:sSub>
      </m:oMath>
      <w:r>
        <w:t xml:space="preserve">) capture the differential urban-rural dynamics within each region during inflation shocks.</w:t>
      </w:r>
    </w:p>
    <w:p>
      <w:pPr>
        <w:pStyle w:val="BodyText"/>
      </w:pPr>
      <w:r>
        <w:t xml:space="preserve">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Compact"/>
        <w:numPr>
          <w:ilvl w:val="0"/>
          <w:numId w:val="1002"/>
        </w:numPr>
      </w:pPr>
      <w:r>
        <w:t xml:space="preserve">Combining precise inflation adjustments with regional fixed effects to identify heterogeneous responses to economic volatility</w:t>
      </w:r>
    </w:p>
    <w:p>
      <w:pPr>
        <w:pStyle w:val="Compact"/>
        <w:numPr>
          <w:ilvl w:val="0"/>
          <w:numId w:val="1002"/>
        </w:numPr>
      </w:pPr>
      <w:r>
        <w:t xml:space="preserve">Capturing how regional relationships evolve over time through detailed interaction terms</w:t>
      </w:r>
    </w:p>
    <w:p>
      <w:pPr>
        <w:pStyle w:val="Compact"/>
        <w:numPr>
          <w:ilvl w:val="0"/>
          <w:numId w:val="1002"/>
        </w:numPr>
      </w:pPr>
      <w:r>
        <w:t xml:space="preserve">Identifying inflation’s mediating role in the growth-welfare relationship by comparing periods with similar growth but different inflation regimes</w:t>
      </w:r>
    </w:p>
    <w:p>
      <w:pPr>
        <w:pStyle w:val="Firstparagraph"/>
      </w:pPr>
      <w:r>
        <w:t xml:space="preserve">Our analysis of the Year * Region interaction terms, where</w:t>
      </w:r>
      <w:r>
        <w:t xml:space="preserve"> </w:t>
      </w:r>
      <w:r>
        <w:t xml:space="preserve">‘</w:t>
      </w:r>
      <w:r>
        <w:t xml:space="preserve">Year</w:t>
      </w:r>
      <w:r>
        <w:t xml:space="preserve">’</w:t>
      </w:r>
      <w:r>
        <w:t xml:space="preserve"> </w:t>
      </w:r>
      <w:r>
        <w:t xml:space="preserve">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pPr>
      <w:r>
        <w:t xml:space="preserve">This analytical framework is particularly powerful for examining Armenia’s</w:t>
      </w:r>
      <w:r>
        <w:t xml:space="preserve"> </w:t>
      </w:r>
      <w:r>
        <w:t xml:space="preserve">“</w:t>
      </w:r>
      <w:r>
        <w:t xml:space="preserve">paradox</w:t>
      </w:r>
      <w:r>
        <w:t xml:space="preserve">”</w:t>
      </w:r>
      <w:r>
        <w:t xml:space="preserve"> </w:t>
      </w:r>
      <w:r>
        <w:t xml:space="preserve">of high growth with declining real incomes in 2022 versus moderate growth with improving real incomes in 2023.</w:t>
      </w:r>
    </w:p>
    <w:bookmarkStart w:id="36" w:name="Xdea203760b4ba6d04a3ae8c13c222042754efb1"/>
    <w:p>
      <w:pPr>
        <w:pStyle w:val="Heading3"/>
      </w:pPr>
      <w:r>
        <w:t xml:space="preserve">Diagnostic Testing and Variance Decomposition</w:t>
      </w:r>
    </w:p>
    <w:p>
      <w:pPr>
        <w:pStyle w:val="Firstparagraph"/>
      </w:pPr>
      <w:r>
        <w:t xml:space="preserve">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pPr>
      <w:r>
        <w:t xml:space="preserve">To quantify different factors’ contributions to inequality, we employ a hierarchical modeling approach that extends</w:t>
      </w:r>
      <w:r>
        <w:t xml:space="preserve"> </w:t>
      </w:r>
      <w:r>
        <w:t xml:space="preserve">Ikemoto and Limskul (1987)</w:t>
      </w:r>
      <w:r>
        <w:t xml:space="preserve">’s methodology. Decomposing the explained variation attributes 12.47% to between-region differences, 2.35% to urban-rural differences, and 1.13% to their interaction. The between-region component exceeds that reported by</w:t>
      </w:r>
      <w:r>
        <w:t xml:space="preserve"> </w:t>
      </w:r>
      <w:r>
        <w:t xml:space="preserve">Habibov (2012)</w:t>
      </w:r>
      <w:r>
        <w:t xml:space="preserve"> </w:t>
      </w:r>
      <w:r>
        <w:t xml:space="preserve">(8.6%), suggesting intensification of regional disparities in Armenia since their study.</w:t>
      </w:r>
    </w:p>
    <w:bookmarkEnd w:id="36"/>
    <w:bookmarkStart w:id="37" w:name="r²-interpretation"/>
    <w:p>
      <w:pPr>
        <w:pStyle w:val="Heading3"/>
      </w:pPr>
      <w:r>
        <w:t xml:space="preserve">R² Interpretation</w:t>
      </w:r>
    </w:p>
    <w:p>
      <w:pPr>
        <w:pStyle w:val="Firstparagraph"/>
      </w:pPr>
      <w:r>
        <w:t xml:space="preserve">Our full model explains 15.95% of total income variation, consistent with other spatial economic analyses in transition economies</w:t>
      </w:r>
      <w:r>
        <w:t xml:space="preserve"> </w:t>
      </w:r>
      <w:r>
        <w:t xml:space="preserve">(Ikemoto and Limskul 1987; Navickė and Lazutka 2016)</w:t>
      </w:r>
      <w:r>
        <w:t xml:space="preserve">. This modest R² reflects that:</w:t>
      </w:r>
    </w:p>
    <w:p>
      <w:pPr>
        <w:pStyle w:val="Compact"/>
        <w:numPr>
          <w:ilvl w:val="0"/>
          <w:numId w:val="1003"/>
        </w:numPr>
      </w:pPr>
      <w:r>
        <w:t xml:space="preserve">Individual characteristics (education, occupation, age) likely explain much of the unexplained variation, as</w:t>
      </w:r>
      <w:r>
        <w:t xml:space="preserve"> </w:t>
      </w:r>
      <w:r>
        <w:t xml:space="preserve">Habibov (2012)</w:t>
      </w:r>
      <w:r>
        <w:t xml:space="preserve"> </w:t>
      </w:r>
      <w:r>
        <w:t xml:space="preserve">found such factors account for approximately 45% of income variation in South Caucasus countries</w:t>
      </w:r>
    </w:p>
    <w:p>
      <w:pPr>
        <w:pStyle w:val="Compact"/>
        <w:numPr>
          <w:ilvl w:val="0"/>
          <w:numId w:val="1003"/>
        </w:numPr>
      </w:pPr>
      <w:r>
        <w:t xml:space="preserve">Armenia’s substantial informal sector (estimated at 36% of GDP) means formal income measures capture only part of household economic resources</w:t>
      </w:r>
    </w:p>
    <w:p>
      <w:pPr>
        <w:pStyle w:val="Compact"/>
        <w:numPr>
          <w:ilvl w:val="0"/>
          <w:numId w:val="1003"/>
        </w:numPr>
      </w:pPr>
      <w:r>
        <w:t xml:space="preserve">Measurement error in income reporting and remittances (11% of Armenia’s GDP) contribute additional unexplained variance</w:t>
      </w:r>
    </w:p>
    <w:p>
      <w:pPr>
        <w:pStyle w:val="Firstparagraph"/>
      </w:pPr>
      <w:r>
        <w:t xml:space="preserve">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w:t>
      </w:r>
      <w:r>
        <w:t xml:space="preserve"> </w:t>
      </w:r>
      <w:r>
        <w:t xml:space="preserve">Beņkovskis et al. (2025)</w:t>
      </w:r>
      <w:r>
        <w:t xml:space="preserve"> </w:t>
      </w:r>
      <w:r>
        <w:t xml:space="preserve">reporting similar R² values (12-18%) in their Latvian wage study while still drawing meaningful policy implications.</w:t>
      </w:r>
    </w:p>
    <w:bookmarkEnd w:id="37"/>
    <w:bookmarkStart w:id="38" w:name="limitations"/>
    <w:p>
      <w:pPr>
        <w:pStyle w:val="Heading3"/>
      </w:pPr>
      <w:r>
        <w:t xml:space="preserve">Limitations</w:t>
      </w:r>
    </w:p>
    <w:p>
      <w:pPr>
        <w:pStyle w:val="Firstparagraph"/>
      </w:pPr>
      <w:r>
        <w:t xml:space="preserve">Despite our methodological strengths, several limitations warrant mention:</w:t>
      </w:r>
    </w:p>
    <w:p>
      <w:pPr>
        <w:pStyle w:val="Compact"/>
        <w:numPr>
          <w:ilvl w:val="0"/>
          <w:numId w:val="1004"/>
        </w:numPr>
      </w:pPr>
      <w:r>
        <w:t xml:space="preserve">The cross-sectional nature of our data prevents tracking individual households over time, limiting income mobility analysis</w:t>
      </w:r>
    </w:p>
    <w:p>
      <w:pPr>
        <w:pStyle w:val="Compact"/>
        <w:numPr>
          <w:ilvl w:val="0"/>
          <w:numId w:val="1004"/>
        </w:numPr>
      </w:pPr>
      <w:r>
        <w:t xml:space="preserve">Our focus on formal income may understate welfare in regions with substantial informal economic activity</w:t>
      </w:r>
    </w:p>
    <w:p>
      <w:pPr>
        <w:pStyle w:val="Compact"/>
        <w:numPr>
          <w:ilvl w:val="0"/>
          <w:numId w:val="1004"/>
        </w:numPr>
      </w:pPr>
      <w:r>
        <w:t xml:space="preserve">While we document differential inflation impacts across regions, data limitations prevent calculating region-specific inflation rates that would allow more precise estimation of regional price dynamics</w:t>
      </w:r>
    </w:p>
    <w:bookmarkEnd w:id="38"/>
    <w:bookmarkStart w:id="42" w:name="key-findings-from-regional-income-model"/>
    <w:p>
      <w:pPr>
        <w:pStyle w:val="Heading3"/>
      </w:pPr>
      <w:r>
        <w:t xml:space="preserve">Key Findings from Regional Income Model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Key Regional Income Model Coefficients</w:t>
      </w:r>
    </w:p>
    <w:p>
      <w:pPr>
        <w:spacing w:before="0" w:after="60"/>
        <w:keepNext/>
        <w:jc w:val="start"/>
        <w:pStyle w:val="caption"/>
      </w:pPr>
      <w:r>
        <w:rPr>
          <w:rFonts w:ascii="Calibri" w:hAnsi="Calibri"/>
          <w:sz w:val="20"/>
          <w:color w:val="333333"/>
        </w:rPr>
        <w:t xml:space="default">Full results in Appendix Table A1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63.2094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Ararat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10.5768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3.9265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Gegharkunik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1.6575 × 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Lori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8.1383 ×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Kotayk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1.9972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Tavush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1.5176 × 10^-7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1.1029 × 10^-1</w:t>
            </w:r>
          </w:p>
        </w:tc>
      </w:tr>
    </w:tbl>
    <w:p>
      <w:pPr>
        <w:pStyle w:val="Firstparagraph"/>
      </w:pPr>
      <w:r>
        <w:t xml:space="preserve">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CaptionedFigure"/>
      </w:pPr>
      <w:r>
        <w:drawing>
          <wp:inline>
            <wp:extent cx="4673600" cy="3738880"/>
            <wp:effectExtent b="0" l="0" r="0" t="0"/>
            <wp:docPr descr="Diagnostic Plots for Regional Income Model - Panel A: Residuals vs Fitted Values; Panel B: Normal Q-Q Plot; Panel C: Scale-Location Plot; Panel D: Cook’s Distance for Influential Observations" title="" id="40" name="Picture"/>
            <a:graphic>
              <a:graphicData uri="http://schemas.openxmlformats.org/drawingml/2006/picture">
                <pic:pic>
                  <pic:nvPicPr>
                    <pic:cNvPr descr="article_20250522_files/figure-docx/diagnostic_plots-1.png" id="41" name="Picture"/>
                    <pic:cNvPicPr>
                      <a:picLocks noChangeArrowheads="1" noChangeAspect="1"/>
                    </pic:cNvPicPr>
                  </pic:nvPicPr>
                  <pic:blipFill>
                    <a:blip r:embed="rId39"/>
                    <a:stretch>
                      <a:fillRect/>
                    </a:stretch>
                  </pic:blipFill>
                  <pic:spPr bwMode="auto">
                    <a:xfrm>
                      <a:off x="0" y="0"/>
                      <a:ext cx="4673600" cy="3738880"/>
                    </a:xfrm>
                    <a:prstGeom prst="rect">
                      <a:avLst/>
                    </a:prstGeom>
                    <a:noFill/>
                    <a:ln w="9525">
                      <a:noFill/>
                      <a:headEnd/>
                      <a:tailEnd/>
                    </a:ln>
                  </pic:spPr>
                </pic:pic>
              </a:graphicData>
            </a:graphic>
          </wp:inline>
        </w:drawing>
      </w:r>
    </w:p>
    <w:p>
      <w:pPr>
        <w:pStyle w:val="ImageCaption"/>
      </w:pPr>
      <w:r>
        <w:t xml:space="preserve">Diagnostic Plots for Regional Income Model - Panel A: Residuals vs Fitted Values; Panel B: Normal Q-Q Plot; Panel C: Scale-Location Plot; Panel D: Cook’s Distance for Influential Observations</w:t>
      </w:r>
    </w:p>
    <w:p>
      <w:pPr>
        <w:pStyle w:val="BodyText"/>
      </w:pPr>
      <w:r>
        <w:t xml:space="preserve">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p>
    <w:bookmarkEnd w:id="42"/>
    <w:bookmarkEnd w:id="43"/>
    <w:bookmarkEnd w:id="44"/>
    <w:bookmarkStart w:id="58" w:name="results-and-analysis"/>
    <w:p>
      <w:pPr>
        <w:pStyle w:val="Heading1"/>
      </w:pPr>
      <w:r>
        <w:t xml:space="preserve">Results and Analysis</w:t>
      </w:r>
    </w:p>
    <w:bookmarkStart w:id="48" w:name="Xc6084f1a5d1eec7f2b8f7b949e3929feb23ddf9"/>
    <w:p>
      <w:pPr>
        <w:pStyle w:val="Heading2"/>
      </w:pPr>
      <w:r>
        <w:t xml:space="preserve">Income Growth Trends and Distributional Patterns</w:t>
      </w:r>
    </w:p>
    <w:p>
      <w:pPr>
        <w:pStyle w:val="Firstparagraph"/>
      </w:pPr>
      <w:r>
        <w:t xml:space="preserve">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pPr>
      <w:r>
        <w:t xml:space="preserve">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CaptionedFigure"/>
      </w:pPr>
      <w:r>
        <w:drawing>
          <wp:inline>
            <wp:extent cx="4673600" cy="3271520"/>
            <wp:effectExtent b="0" l="0" r="0" t="0"/>
            <wp:docPr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title="" id="46" name="Picture"/>
            <a:graphic>
              <a:graphicData uri="http://schemas.openxmlformats.org/drawingml/2006/picture">
                <pic:pic>
                  <pic:nvPicPr>
                    <pic:cNvPr descr="article_20250522_files/figure-docx/income_distribution_plot-1.png" id="47" name="Picture"/>
                    <pic:cNvPicPr>
                      <a:picLocks noChangeArrowheads="1" noChangeAspect="1"/>
                    </pic:cNvPicPr>
                  </pic:nvPicPr>
                  <pic:blipFill>
                    <a:blip r:embed="rId45"/>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pPr>
      <w:r>
        <w:t xml:space="preserve">Figure 2 illustrates the long-term evolution of income distribution in Armenia from 2005 to 2023, with all values adjusted to 2023 prices. This visualization reveals several key patterns in Armenia’s income dynamics:</w:t>
      </w:r>
    </w:p>
    <w:p>
      <w:pPr>
        <w:numPr>
          <w:ilvl w:val="0"/>
          <w:numId w:val="1005"/>
        </w:numPr>
      </w:pPr>
      <w:r>
        <w:rPr>
          <w:b/>
          <w:bCs/>
        </w:rPr>
        <w:t xml:space="preserve">Long-term Growth Trajectory</w:t>
      </w:r>
      <w:r>
        <w:t xml:space="preserve">: Since 2005, inflation-adjusted household incomes have shown consistent growth, with particularly strong increases observed in 2006-2007 and 2019. This aligns with Armenia’s broader economic development trajectory as documented by</w:t>
      </w:r>
      <w:r>
        <w:t xml:space="preserve"> </w:t>
      </w:r>
      <w:r>
        <w:t xml:space="preserve">Sandoyan, Voskanyan, and Galstyan (2022)</w:t>
      </w:r>
      <w:r>
        <w:t xml:space="preserve">.</w:t>
      </w:r>
    </w:p>
    <w:p>
      <w:pPr>
        <w:numPr>
          <w:ilvl w:val="0"/>
          <w:numId w:val="1005"/>
        </w:numPr>
      </w:pPr>
      <w:r>
        <w:rPr>
          <w:b/>
          <w:bCs/>
        </w:rPr>
        <w:t xml:space="preserve">Distribution Shape Evolution</w:t>
      </w:r>
      <w:r>
        <w:t xml:space="preserve">: The density ridges demonstrate a gradual rightward shift of the entire distribution, with a notable flattening over time. This indicates both rising average incomes and increasing spread—a pattern consistent with transition economy development as described by</w:t>
      </w:r>
      <w:r>
        <w:t xml:space="preserve"> </w:t>
      </w:r>
      <w:r>
        <w:t xml:space="preserve">Nissanov (2017)</w:t>
      </w:r>
      <w:r>
        <w:t xml:space="preserve">.</w:t>
      </w:r>
    </w:p>
    <w:p>
      <w:pPr>
        <w:numPr>
          <w:ilvl w:val="0"/>
          <w:numId w:val="1005"/>
        </w:numPr>
      </w:pPr>
      <w:r>
        <w:rPr>
          <w:b/>
          <w:bCs/>
        </w:rPr>
        <w:t xml:space="preserve">Crisis and Recovery Cycles</w:t>
      </w:r>
      <w:r>
        <w:t xml:space="preserve">: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w:t>
      </w:r>
      <w:r>
        <w:t xml:space="preserve"> </w:t>
      </w:r>
      <w:r>
        <w:t xml:space="preserve">Дунамалян, Давтян, and Тавадян (2023)</w:t>
      </w:r>
      <w:r>
        <w:t xml:space="preserve"> </w:t>
      </w:r>
      <w:r>
        <w:t xml:space="preserve">on Armenia’s economic resilience.</w:t>
      </w:r>
    </w:p>
    <w:p>
      <w:pPr>
        <w:numPr>
          <w:ilvl w:val="0"/>
          <w:numId w:val="1005"/>
        </w:numPr>
      </w:pPr>
      <w:r>
        <w:rPr>
          <w:b/>
          <w:bCs/>
        </w:rPr>
        <w:t xml:space="preserve">Recent Dynamics</w:t>
      </w:r>
      <w:r>
        <w:t xml:space="preserve">: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numPr>
          <w:ilvl w:val="0"/>
          <w:numId w:val="1005"/>
        </w:numPr>
      </w:pPr>
      <w:r>
        <w:rPr>
          <w:b/>
          <w:bCs/>
        </w:rPr>
        <w:t xml:space="preserve">Distribution Tails</w:t>
      </w:r>
      <w:r>
        <w:t xml:space="preserve">: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pPr>
      <w:r>
        <w:t xml:space="preserve">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pPr>
      <w:r>
        <w:t xml:space="preserve">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w:t>
      </w:r>
      <w:r>
        <w:t xml:space="preserve"> </w:t>
      </w:r>
      <w:r>
        <w:t xml:space="preserve">(Nissanov 2017; Roberts and Pollock 2011)</w:t>
      </w:r>
      <w:r>
        <w:t xml:space="preserve">.</w:t>
      </w:r>
    </w:p>
    <w:bookmarkEnd w:id="48"/>
    <w:bookmarkStart w:id="52" w:name="X72531805a6ae0bfb0353496918717079115a6eb"/>
    <w:p>
      <w:pPr>
        <w:pStyle w:val="Heading2"/>
      </w:pPr>
      <w:r>
        <w:t xml:space="preserve">Regional Disparities and Spatial Inequality</w:t>
      </w:r>
    </w:p>
    <w:p>
      <w:pPr>
        <w:pStyle w:val="Firstparagraph"/>
      </w:pPr>
      <w:r>
        <w:t xml:space="preserve">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CaptionedFigure"/>
      </w:pPr>
      <w:r>
        <w:drawing>
          <wp:inline>
            <wp:extent cx="4673600" cy="3271520"/>
            <wp:effectExtent b="0" l="0" r="0" t="0"/>
            <wp:docPr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title="" id="50" name="Picture"/>
            <a:graphic>
              <a:graphicData uri="http://schemas.openxmlformats.org/drawingml/2006/picture">
                <pic:pic>
                  <pic:nvPicPr>
                    <pic:cNvPr descr="article_20250522_files/figure-docx/regional_disparity_plot-1.png" id="51" name="Picture"/>
                    <pic:cNvPicPr>
                      <a:picLocks noChangeArrowheads="1" noChangeAspect="1"/>
                    </pic:cNvPicPr>
                  </pic:nvPicPr>
                  <pic:blipFill>
                    <a:blip r:embed="rId49"/>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pPr>
      <w:r>
        <w:t xml:space="preserve">Figure 3 visualizes regional income trajectories between 2020 and 2023, revealing complex patterns of convergence and divergence. Several key findings emerge from this analysis:</w:t>
      </w:r>
    </w:p>
    <w:p>
      <w:pPr>
        <w:numPr>
          <w:ilvl w:val="0"/>
          <w:numId w:val="1006"/>
        </w:numPr>
      </w:pPr>
      <w:r>
        <w:rPr>
          <w:b/>
          <w:bCs/>
        </w:rPr>
        <w:t xml:space="preserve">Regional Growth Heterogeneity</w:t>
      </w:r>
      <w:r>
        <w:t xml:space="preserve">: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numPr>
          <w:ilvl w:val="0"/>
          <w:numId w:val="1006"/>
        </w:numPr>
      </w:pPr>
      <w:r>
        <w:rPr>
          <w:b/>
          <w:bCs/>
        </w:rPr>
        <w:t xml:space="preserve">Widening Regional Gaps</w:t>
      </w:r>
      <w:r>
        <w:t xml:space="preserve">: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numPr>
          <w:ilvl w:val="0"/>
          <w:numId w:val="1006"/>
        </w:numPr>
      </w:pPr>
      <w:r>
        <w:rPr>
          <w:b/>
          <w:bCs/>
        </w:rPr>
        <w:t xml:space="preserve">Within-Region Inequality Patterns</w:t>
      </w:r>
      <w:r>
        <w:t xml:space="preserve">: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w:t>
      </w:r>
      <w:r>
        <w:t xml:space="preserve"> </w:t>
      </w:r>
      <w:r>
        <w:t xml:space="preserve">Petrakos (2001)</w:t>
      </w:r>
      <w:r>
        <w:t xml:space="preserve">.</w:t>
      </w:r>
    </w:p>
    <w:p>
      <w:pPr>
        <w:numPr>
          <w:ilvl w:val="0"/>
          <w:numId w:val="1006"/>
        </w:numPr>
      </w:pPr>
      <w:r>
        <w:rPr>
          <w:b/>
          <w:bCs/>
        </w:rPr>
        <w:t xml:space="preserve">Urban-Rural Divides</w:t>
      </w:r>
      <w:r>
        <w:t xml:space="preserve">: Our regression analysis indicates a significant urban premium of 55.17% at baseline, consistent with findings from</w:t>
      </w:r>
      <w:r>
        <w:t xml:space="preserve"> </w:t>
      </w:r>
      <w:r>
        <w:t xml:space="preserve">Roberts and Pollock (2011)</w:t>
      </w:r>
      <w:r>
        <w:t xml:space="preserve">.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numPr>
          <w:ilvl w:val="0"/>
          <w:numId w:val="1006"/>
        </w:numPr>
      </w:pPr>
      <w:r>
        <w:rPr>
          <w:b/>
          <w:bCs/>
        </w:rPr>
        <w:t xml:space="preserve">Regional Volatility</w:t>
      </w:r>
      <w:r>
        <w:t xml:space="preserve">: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pPr>
      <w:r>
        <w:t xml:space="preserve">Our decomposition analysis reveals that between-region disparities account for 15.20% of overall income inequality, while urban-rural differences explain an additional 9.38%. These findings align with</w:t>
      </w:r>
      <w:r>
        <w:t xml:space="preserve"> </w:t>
      </w:r>
      <w:r>
        <w:t xml:space="preserve">Habibov (2012)</w:t>
      </w:r>
      <w:r>
        <w:t xml:space="preserve">’s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pPr>
      <w:r>
        <w:t xml:space="preserve">The observed spatial patterns align with broader trends in transition economies where capital cities and select regions tend to benefit disproportionately from economic integration and growth</w:t>
      </w:r>
      <w:r>
        <w:t xml:space="preserve"> </w:t>
      </w:r>
      <w:r>
        <w:t xml:space="preserve">(Petrakos 2001)</w:t>
      </w:r>
      <w:r>
        <w:t xml:space="preserve">.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p>
    <w:bookmarkEnd w:id="52"/>
    <w:bookmarkStart w:id="56" w:name="X3a2aa093692fa5b0a28bedb917b77893f74679a"/>
    <w:p>
      <w:pPr>
        <w:pStyle w:val="Heading2"/>
      </w:pPr>
      <w:r>
        <w:t xml:space="preserve">Income Distribution Structure and Middle-Class Emergence</w:t>
      </w:r>
    </w:p>
    <w:p>
      <w:pPr>
        <w:pStyle w:val="Firstparagraph"/>
      </w:pPr>
      <w:r>
        <w:t xml:space="preserve">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CaptionedFigure"/>
      </w:pPr>
      <w:r>
        <w:drawing>
          <wp:inline>
            <wp:extent cx="4673600" cy="3271520"/>
            <wp:effectExtent b="0" l="0" r="0" t="0"/>
            <wp:docPr descr="Evolution of Household Income Distribution in Armenia (2005-2023). Distribution of household income by brackets, with incomes adjusted to 2023 prices. The progression shows a significant reduction in lower income brackets and expansion of middle-income groups." title="" id="54" name="Picture"/>
            <a:graphic>
              <a:graphicData uri="http://schemas.openxmlformats.org/drawingml/2006/picture">
                <pic:pic>
                  <pic:nvPicPr>
                    <pic:cNvPr descr="article_20250522_files/figure-docx/income_distribution_plot_2-1.png" id="55" name="Picture"/>
                    <pic:cNvPicPr>
                      <a:picLocks noChangeArrowheads="1" noChangeAspect="1"/>
                    </pic:cNvPicPr>
                  </pic:nvPicPr>
                  <pic:blipFill>
                    <a:blip r:embed="rId53"/>
                    <a:stretch>
                      <a:fillRect/>
                    </a:stretch>
                  </pic:blipFill>
                  <pic:spPr bwMode="auto">
                    <a:xfrm>
                      <a:off x="0" y="0"/>
                      <a:ext cx="4673600" cy="3271520"/>
                    </a:xfrm>
                    <a:prstGeom prst="rect">
                      <a:avLst/>
                    </a:prstGeom>
                    <a:noFill/>
                    <a:ln w="9525">
                      <a:noFill/>
                      <a:headEnd/>
                      <a:tailEnd/>
                    </a:ln>
                  </pic:spPr>
                </pic:pic>
              </a:graphicData>
            </a:graphic>
          </wp:inline>
        </w:drawing>
      </w:r>
    </w:p>
    <w:p>
      <w:pPr>
        <w:pStyle w:val="ImageCaption"/>
      </w:pPr>
      <w:r>
        <w:t xml:space="preserve">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pPr>
      <w:r>
        <w:t xml:space="preserve">Figure 4 illustrates the evolution of income distribution from 2005 to 2023, revealing a profound structural transformation characterized by three key developments:</w:t>
      </w:r>
    </w:p>
    <w:p>
      <w:pPr>
        <w:numPr>
          <w:ilvl w:val="0"/>
          <w:numId w:val="1007"/>
        </w:numPr>
      </w:pPr>
      <w:r>
        <w:rPr>
          <w:b/>
          <w:bCs/>
        </w:rPr>
        <w:t xml:space="preserve">Middle-Class Expansion</w:t>
      </w:r>
      <w:r>
        <w:t xml:space="preserve">: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w:t>
      </w:r>
      <w:r>
        <w:t xml:space="preserve"> </w:t>
      </w:r>
      <w:r>
        <w:t xml:space="preserve">Nissanov (2017)</w:t>
      </w:r>
      <w:r>
        <w:t xml:space="preserve"> </w:t>
      </w:r>
      <w:r>
        <w:t xml:space="preserve">and</w:t>
      </w:r>
      <w:r>
        <w:t xml:space="preserve"> </w:t>
      </w:r>
      <w:r>
        <w:t xml:space="preserve">Roberts and Pollock (2011)</w:t>
      </w:r>
      <w:r>
        <w:t xml:space="preserve">.</w:t>
      </w:r>
    </w:p>
    <w:p>
      <w:pPr>
        <w:numPr>
          <w:ilvl w:val="0"/>
          <w:numId w:val="1007"/>
        </w:numPr>
      </w:pPr>
      <w:r>
        <w:rPr>
          <w:b/>
          <w:bCs/>
        </w:rPr>
        <w:t xml:space="preserve">Poverty Reduction</w:t>
      </w:r>
      <w:r>
        <w:t xml:space="preserve">: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numPr>
          <w:ilvl w:val="0"/>
          <w:numId w:val="1007"/>
        </w:numPr>
      </w:pPr>
      <w:r>
        <w:rPr>
          <w:b/>
          <w:bCs/>
        </w:rPr>
        <w:t xml:space="preserve">Upper-Income Growth</w:t>
      </w:r>
      <w:r>
        <w:t xml:space="preserve">: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pPr>
      <w:r>
        <w:t xml:space="preserve">The data indicates a moderate improvement in income inequality, with the ratio between the highest and lowest deciles decreasing from 7.05 in 2022 to 6.56 in 2023. While this represents progress, the level of inequality remains relatively high by international standards</w:t>
      </w:r>
      <w:r>
        <w:t xml:space="preserve"> </w:t>
      </w:r>
      <w:r>
        <w:t xml:space="preserve">(Habibov 2012)</w:t>
      </w:r>
      <w:r>
        <w:t xml:space="preserve">. This persistent inequality reflects broader patterns observed in post-Soviet states, where transition processes have often led to significant income stratification</w:t>
      </w:r>
      <w:r>
        <w:t xml:space="preserve"> </w:t>
      </w:r>
      <w:r>
        <w:t xml:space="preserve">(Zubarevich and Safronov 2024)</w:t>
      </w:r>
      <w:r>
        <w:t xml:space="preserve">.</w:t>
      </w:r>
    </w:p>
    <w:p>
      <w:pPr>
        <w:pStyle w:val="BodyText"/>
      </w:pPr>
      <w:r>
        <w:t xml:space="preserve">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pPr>
      <w:r>
        <w:t xml:space="preserve">This evolution shows similarities to patterns observed in other transition economies, particularly the gradual emergence of a middle class and modest reduction in extreme inequality</w:t>
      </w:r>
      <w:r>
        <w:t xml:space="preserve"> </w:t>
      </w:r>
      <w:r>
        <w:t xml:space="preserve">(Nissanov 2017)</w:t>
      </w:r>
      <w:r>
        <w:t xml:space="preserve">. However, Armenia’s specific trajectory also reflects its unique economic circumstances, including significant emigration flows</w:t>
      </w:r>
      <w:r>
        <w:t xml:space="preserve"> </w:t>
      </w:r>
      <w:r>
        <w:t xml:space="preserve">(Mikaelyan 2015)</w:t>
      </w:r>
      <w:r>
        <w:t xml:space="preserve">, substantial remittance income</w:t>
      </w:r>
      <w:r>
        <w:t xml:space="preserve"> </w:t>
      </w:r>
      <w:r>
        <w:t xml:space="preserve">(Bezemer and Lerman 2004)</w:t>
      </w:r>
      <w:r>
        <w:t xml:space="preserve">, and periods of economic volatility related to regional conflicts and global economic trends.</w:t>
      </w:r>
    </w:p>
    <w:bookmarkEnd w:id="56"/>
    <w:bookmarkStart w:id="57" w:name="inflation-impact-on-household-welfare"/>
    <w:p>
      <w:pPr>
        <w:pStyle w:val="Heading2"/>
      </w:pPr>
      <w:r>
        <w:t xml:space="preserve">Inflation Impact on Household Welfare</w:t>
      </w:r>
    </w:p>
    <w:p>
      <w:pPr>
        <w:pStyle w:val="Firstparagraph"/>
      </w:pPr>
      <w:r>
        <w:t xml:space="preserve">Our analysis reveals that inflation dynamics have played a decisive role in shaping real income trajectories in Armenia during 2022-2023.</w:t>
      </w:r>
    </w:p>
    <w:p>
      <w:pPr>
        <w:pStyle w:val="BodyText"/>
      </w:pPr>
      <w:r>
        <w:t xml:space="preserve">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pPr>
      <w:r>
        <w:t xml:space="preserve">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pPr>
      <w:r>
        <w:t xml:space="preserve">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pPr>
      <w:r>
        <w:t xml:space="preserve">The impact of inflation on income distribution operates through several distinct channels:</w:t>
      </w:r>
    </w:p>
    <w:p>
      <w:pPr>
        <w:numPr>
          <w:ilvl w:val="0"/>
          <w:numId w:val="1008"/>
        </w:numPr>
      </w:pPr>
      <w:r>
        <w:rPr>
          <w:b/>
          <w:bCs/>
        </w:rPr>
        <w:t xml:space="preserve">Purchasing Power Effect</w:t>
      </w:r>
      <w:r>
        <w:t xml:space="preserve">: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w:t>
      </w:r>
      <w:r>
        <w:t xml:space="preserve"> </w:t>
      </w:r>
      <w:r>
        <w:t xml:space="preserve">Law and Soon (2020)</w:t>
      </w:r>
      <w:r>
        <w:t xml:space="preserve"> </w:t>
      </w:r>
      <w:r>
        <w:t xml:space="preserve">regarding inflation’s differential impact across income groups, with lower-income households typically experiencing larger real income reductions due to their consumption patterns.</w:t>
      </w:r>
    </w:p>
    <w:p>
      <w:pPr>
        <w:numPr>
          <w:ilvl w:val="0"/>
          <w:numId w:val="1008"/>
        </w:numPr>
      </w:pPr>
      <w:r>
        <w:rPr>
          <w:b/>
          <w:bCs/>
        </w:rPr>
        <w:t xml:space="preserve">Savings Erosion</w:t>
      </w:r>
      <w:r>
        <w:t xml:space="preserve">: High inflation periods disproportionately affect households with fixed nominal assets and savings, a phenomenon documented in transition economies by</w:t>
      </w:r>
      <w:r>
        <w:t xml:space="preserve"> </w:t>
      </w:r>
      <w:r>
        <w:t xml:space="preserve">Camera and Chien (2014)</w:t>
      </w:r>
      <w:r>
        <w:t xml:space="preserve">. This creates a wealth redistribution effect that often disadvantages middle-income households with modest savings, potentially undermining middle-class development.</w:t>
      </w:r>
    </w:p>
    <w:p>
      <w:pPr>
        <w:numPr>
          <w:ilvl w:val="0"/>
          <w:numId w:val="1008"/>
        </w:numPr>
      </w:pPr>
      <w:r>
        <w:rPr>
          <w:b/>
          <w:bCs/>
        </w:rPr>
        <w:t xml:space="preserve">Income Source Heterogeneity</w:t>
      </w:r>
      <w:r>
        <w:t xml:space="preserve">: Different income sources adjust to inflation at varying rates. Our data suggests that wage income adjusted more slowly to inflation in 2022 than certain business and property incomes, contributing to distributional shifts. This aligns with theoretical work by</w:t>
      </w:r>
      <w:r>
        <w:t xml:space="preserve"> </w:t>
      </w:r>
      <w:r>
        <w:t xml:space="preserve">Camera and Chien (2014)</w:t>
      </w:r>
      <w:r>
        <w:t xml:space="preserve"> </w:t>
      </w:r>
      <w:r>
        <w:t xml:space="preserve">on the heterogeneous effects of inflation across different income sources.</w:t>
      </w:r>
    </w:p>
    <w:p>
      <w:pPr>
        <w:numPr>
          <w:ilvl w:val="0"/>
          <w:numId w:val="1008"/>
        </w:numPr>
      </w:pPr>
      <w:r>
        <w:rPr>
          <w:b/>
          <w:bCs/>
        </w:rPr>
        <w:t xml:space="preserve">Regional Variation</w:t>
      </w:r>
      <w:r>
        <w:t xml:space="preserve">: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pPr>
      <w:r>
        <w:t xml:space="preserve">These findings provide empirical support for theoretical arguments about the complex relationship between inflation, growth, and income distribution in transition economies</w:t>
      </w:r>
      <w:r>
        <w:t xml:space="preserve"> </w:t>
      </w:r>
      <w:r>
        <w:t xml:space="preserve">(Law and Soon 2020; Camera and Chien 2014)</w:t>
      </w:r>
      <w:r>
        <w:t xml:space="preserve">. The evidence clearly demonstrates that price stability serves as a prerequisite for translating economic growth into improved household welfare, particularly for lower and middle-income households.</w:t>
      </w:r>
    </w:p>
    <w:p>
      <w:pPr>
        <w:pStyle w:val="BodyText"/>
      </w:pPr>
      <w:r>
        <w:t xml:space="preserve">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p>
    <w:bookmarkEnd w:id="57"/>
    <w:bookmarkEnd w:id="58"/>
    <w:bookmarkStart w:id="63" w:name="discussion"/>
    <w:p>
      <w:pPr>
        <w:pStyle w:val="Heading1"/>
      </w:pPr>
      <w:r>
        <w:t xml:space="preserve">Discussion</w:t>
      </w:r>
    </w:p>
    <w:p>
      <w:pPr>
        <w:pStyle w:val="Firstparagraph"/>
      </w:pPr>
      <w:r>
        <w:t xml:space="preserve">The analysis of Armenian household income dynamics during 2022-2023 reveals complex interactions between macroeconomic conditions, regional disparities, and household welfare that offer broader insights into development challenges facing transition economies.</w:t>
      </w:r>
    </w:p>
    <w:bookmarkStart w:id="59" w:name="theoretical-implications"/>
    <w:p>
      <w:pPr>
        <w:pStyle w:val="Heading2"/>
      </w:pPr>
      <w:r>
        <w:t xml:space="preserve">Theoretical Implications</w:t>
      </w:r>
    </w:p>
    <w:p>
      <w:pPr>
        <w:pStyle w:val="Firstparagraph"/>
      </w:pPr>
      <w:r>
        <w:t xml:space="preserve">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w:t>
      </w:r>
      <w:r>
        <w:t xml:space="preserve"> </w:t>
      </w:r>
      <w:r>
        <w:t xml:space="preserve">Camera and Chien (2014)</w:t>
      </w:r>
      <w:r>
        <w:t xml:space="preserve"> </w:t>
      </w:r>
      <w:r>
        <w:t xml:space="preserve">but providing empirical evidence in a transition economy context.</w:t>
      </w:r>
    </w:p>
    <w:p>
      <w:pPr>
        <w:pStyle w:val="BodyText"/>
      </w:pPr>
      <w:r>
        <w:t xml:space="preserve">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w:t>
      </w:r>
      <w:r>
        <w:t xml:space="preserve"> </w:t>
      </w:r>
      <w:r>
        <w:t xml:space="preserve">(Petrakos 2001)</w:t>
      </w:r>
      <w:r>
        <w:t xml:space="preserve">. These persistent disparities despite decades of market reforms indicate path dependencies in regional economic structures that require targeted interventions to overcome.</w:t>
      </w:r>
    </w:p>
    <w:p>
      <w:pPr>
        <w:pStyle w:val="BodyText"/>
      </w:pPr>
      <w:r>
        <w:t xml:space="preserve">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w:t>
      </w:r>
      <w:r>
        <w:t xml:space="preserve"> </w:t>
      </w:r>
      <w:r>
        <w:t xml:space="preserve">Nissanov (2017)</w:t>
      </w:r>
      <w:r>
        <w:t xml:space="preserve">—the geographic distribution of these gains remains uneven. This indicates that transition processes may simultaneously generate aggregate welfare improvements while maintaining or exacerbating spatial inequalities, challenging simplistic transition success narratives.</w:t>
      </w:r>
    </w:p>
    <w:bookmarkEnd w:id="59"/>
    <w:bookmarkStart w:id="60" w:name="explaining-the-armenian-paradox"/>
    <w:p>
      <w:pPr>
        <w:pStyle w:val="Heading2"/>
      </w:pPr>
      <w:r>
        <w:t xml:space="preserve">Explaining the Armenian Paradox</w:t>
      </w:r>
    </w:p>
    <w:p>
      <w:pPr>
        <w:pStyle w:val="Firstparagraph"/>
      </w:pPr>
      <w:r>
        <w:t xml:space="preserve">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numPr>
          <w:ilvl w:val="0"/>
          <w:numId w:val="1009"/>
        </w:numPr>
      </w:pPr>
      <w:r>
        <w:rPr>
          <w:b/>
          <w:bCs/>
        </w:rPr>
        <w:t xml:space="preserve">Inflation-Income Adjustment Lag</w:t>
      </w:r>
      <w:r>
        <w:t xml:space="preserve">: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numPr>
          <w:ilvl w:val="0"/>
          <w:numId w:val="1009"/>
        </w:numPr>
      </w:pPr>
      <w:r>
        <w:rPr>
          <w:b/>
          <w:bCs/>
        </w:rPr>
        <w:t xml:space="preserve">Sectoral Concentration of Growth</w:t>
      </w:r>
      <w:r>
        <w:t xml:space="preserve">: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numPr>
          <w:ilvl w:val="0"/>
          <w:numId w:val="1009"/>
        </w:numPr>
      </w:pPr>
      <w:r>
        <w:rPr>
          <w:b/>
          <w:bCs/>
        </w:rPr>
        <w:t xml:space="preserve">Differential Regional Inflation Sensitivity</w:t>
      </w:r>
      <w:r>
        <w:t xml:space="preserve">: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numPr>
          <w:ilvl w:val="0"/>
          <w:numId w:val="1009"/>
        </w:numPr>
      </w:pPr>
      <w:r>
        <w:rPr>
          <w:b/>
          <w:bCs/>
        </w:rPr>
        <w:t xml:space="preserve">External Shock Transmission</w:t>
      </w:r>
      <w:r>
        <w:t xml:space="preserve">: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pPr>
      <w:r>
        <w:t xml:space="preserve">This multifaceted explanation resolves the apparent paradox and illustrates the complex interactions between macroeconomic growth, sectoral patterns, inflation dynamics, and geographic disparities that characterize transition economies.</w:t>
      </w:r>
    </w:p>
    <w:bookmarkEnd w:id="60"/>
    <w:bookmarkStart w:id="61" w:name="policy-implications"/>
    <w:p>
      <w:pPr>
        <w:pStyle w:val="Heading2"/>
      </w:pPr>
      <w:r>
        <w:t xml:space="preserve">Policy Implications</w:t>
      </w:r>
    </w:p>
    <w:p>
      <w:pPr>
        <w:pStyle w:val="Firstparagraph"/>
      </w:pPr>
      <w:r>
        <w:t xml:space="preserve">Our findings have several specific policy implications for Armenia and similar transition economies:</w:t>
      </w:r>
    </w:p>
    <w:p>
      <w:pPr>
        <w:numPr>
          <w:ilvl w:val="0"/>
          <w:numId w:val="1010"/>
        </w:numPr>
      </w:pPr>
      <w:r>
        <w:rPr>
          <w:b/>
          <w:bCs/>
        </w:rPr>
        <w:t xml:space="preserve">Inflation-Sensitive Monetary Policy</w:t>
      </w:r>
      <w:r>
        <w:t xml:space="preserve">: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numPr>
          <w:ilvl w:val="0"/>
          <w:numId w:val="1010"/>
        </w:numPr>
      </w:pPr>
      <w:r>
        <w:rPr>
          <w:b/>
          <w:bCs/>
        </w:rPr>
        <w:t xml:space="preserve">Region-Specific Development Strategies</w:t>
      </w:r>
      <w:r>
        <w:t xml:space="preserve">: The persistence and intensification of regional disparities indicates that uniform national policies are insufficient. Our findings suggest targeted regional interventions based on region-specific economic profiles:</w:t>
      </w:r>
    </w:p>
    <w:p>
      <w:pPr>
        <w:pStyle w:val="Compact"/>
        <w:numPr>
          <w:ilvl w:val="1"/>
          <w:numId w:val="1011"/>
        </w:numPr>
      </w:pPr>
      <w:r>
        <w:t xml:space="preserve">For industrial regions (Kotayk, Lori), targeted transportation infrastructure investments to reduce market access costs would be most effective</w:t>
      </w:r>
    </w:p>
    <w:p>
      <w:pPr>
        <w:pStyle w:val="Compact"/>
        <w:numPr>
          <w:ilvl w:val="1"/>
          <w:numId w:val="1011"/>
        </w:numPr>
      </w:pPr>
      <w:r>
        <w:t xml:space="preserve">For agricultural regions (Ararat, Armavir), which showed particular vulnerability to inflation, agricultural modernization programs focusing on high-value crops and processing facilities could enhance resilience</w:t>
      </w:r>
    </w:p>
    <w:p>
      <w:pPr>
        <w:pStyle w:val="Compact"/>
        <w:numPr>
          <w:ilvl w:val="1"/>
          <w:numId w:val="1011"/>
        </w:numPr>
      </w:pPr>
      <w:r>
        <w:t xml:space="preserve">For Yerevan, addressing housing affordability (decreased by 23% since 2020) should be prioritized to prevent further concentration of economic opportunities</w:t>
      </w:r>
    </w:p>
    <w:p>
      <w:pPr>
        <w:numPr>
          <w:ilvl w:val="0"/>
          <w:numId w:val="1010"/>
        </w:numPr>
      </w:pPr>
      <w:r>
        <w:rPr>
          <w:b/>
          <w:bCs/>
        </w:rPr>
        <w:t xml:space="preserve">Geographically Targeted Social Protection</w:t>
      </w:r>
      <w:r>
        <w:t xml:space="preserve">: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numPr>
          <w:ilvl w:val="0"/>
          <w:numId w:val="1010"/>
        </w:numPr>
      </w:pPr>
      <w:r>
        <w:rPr>
          <w:b/>
          <w:bCs/>
        </w:rPr>
        <w:t xml:space="preserve">Inflation-Indexed Income Support</w:t>
      </w:r>
      <w:r>
        <w:t xml:space="preserve">: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numPr>
          <w:ilvl w:val="0"/>
          <w:numId w:val="1010"/>
        </w:numPr>
      </w:pPr>
      <w:r>
        <w:rPr>
          <w:b/>
          <w:bCs/>
        </w:rPr>
        <w:t xml:space="preserve">Middle-Class Stabilization</w:t>
      </w:r>
      <w:r>
        <w:t xml:space="preserve">: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p>
    <w:bookmarkEnd w:id="61"/>
    <w:bookmarkStart w:id="62" w:name="limitations-and-future-research"/>
    <w:p>
      <w:pPr>
        <w:pStyle w:val="Heading2"/>
      </w:pPr>
      <w:r>
        <w:t xml:space="preserve">Limitations and Future Research</w:t>
      </w:r>
    </w:p>
    <w:p>
      <w:pPr>
        <w:pStyle w:val="Firstparagraph"/>
      </w:pPr>
      <w:r>
        <w:t xml:space="preserve">Our analysis has several limitations. First, our focus on income measures may not fully capture welfare in Armenia’s significant informal economy, where informal activities may account for 15-25% of rural household resources</w:t>
      </w:r>
      <w:r>
        <w:t xml:space="preserve"> </w:t>
      </w:r>
      <w:r>
        <w:t xml:space="preserve">(Bezemer and Lerman 2004)</w:t>
      </w:r>
      <w:r>
        <w:t xml:space="preserve">.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pPr>
      <w:r>
        <w:t xml:space="preserve">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p>
    <w:bookmarkEnd w:id="62"/>
    <w:bookmarkEnd w:id="63"/>
    <w:bookmarkStart w:id="64" w:name="conclusion"/>
    <w:p>
      <w:pPr>
        <w:pStyle w:val="Heading1"/>
      </w:pPr>
      <w:r>
        <w:t xml:space="preserve">Conclusion</w:t>
      </w:r>
    </w:p>
    <w:p>
      <w:pPr>
        <w:pStyle w:val="Firstparagraph"/>
      </w:pPr>
      <w:r>
        <w:t xml:space="preserve">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pPr>
      <w:r>
        <w:t xml:space="preserve">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pPr>
      <w:r>
        <w:t xml:space="preserve">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pPr>
      <w:r>
        <w:t xml:space="preserve">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pPr>
      <w:r>
        <w:t xml:space="preserve">Our study makes several distinct contributions to the literature on transition economies. It provides empirical evidence of how inflation dynamics can affect the translation of economic growth into household welfare improvements</w:t>
      </w:r>
      <w:r>
        <w:t xml:space="preserve"> </w:t>
      </w:r>
      <w:r>
        <w:t xml:space="preserve">(Camera and Chien 2014)</w:t>
      </w:r>
      <w:r>
        <w:t xml:space="preserve">, demonstrates the persistent nature of regional inequalities in transition economies</w:t>
      </w:r>
      <w:r>
        <w:t xml:space="preserve"> </w:t>
      </w:r>
      <w:r>
        <w:t xml:space="preserve">(Zubarevich and Safronov 2024)</w:t>
      </w:r>
      <w:r>
        <w:t xml:space="preserve">, and documents the gradual emergence of a middle class in post-Soviet states</w:t>
      </w:r>
      <w:r>
        <w:t xml:space="preserve"> </w:t>
      </w:r>
      <w:r>
        <w:t xml:space="preserve">(Roberts and Pollock 2011)</w:t>
      </w:r>
      <w:r>
        <w:t xml:space="preserve">. By combining these dimensions in a unified analysis, we offer a more comprehensive understanding of economic development challenges in transition contexts.</w:t>
      </w:r>
    </w:p>
    <w:p>
      <w:pPr>
        <w:pStyle w:val="BodyText"/>
      </w:pPr>
      <w:r>
        <w:t xml:space="preserve">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pPr>
      <w:r>
        <w:t xml:space="preserve">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pPr>
      <w:r>
        <w:t xml:space="preserve">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p>
    <w:bookmarkEnd w:id="64"/>
    <w:bookmarkStart w:id="65" w:name="disclosure-statement"/>
    <w:p>
      <w:pPr>
        <w:pStyle w:val="Heading1"/>
      </w:pPr>
      <w:r>
        <w:t xml:space="preserve">Disclosure Statement</w:t>
      </w:r>
    </w:p>
    <w:p>
      <w:pPr>
        <w:pStyle w:val="Firstparagraph"/>
      </w:pPr>
      <w:r>
        <w:t xml:space="preserve">The author reports there are no competing interests to declare.</w:t>
      </w:r>
    </w:p>
    <w:bookmarkEnd w:id="65"/>
    <w:bookmarkStart w:id="66" w:name="notes-on-contributors"/>
    <w:p>
      <w:pPr>
        <w:pStyle w:val="Heading1"/>
      </w:pPr>
      <w:r>
        <w:t xml:space="preserve">Notes on Contributors</w:t>
      </w:r>
    </w:p>
    <w:p>
      <w:pPr>
        <w:pStyle w:val="Firstparagraph"/>
      </w:pPr>
      <w:r>
        <w:rPr>
          <w:b/>
          <w:bCs/>
        </w:rPr>
        <w:t xml:space="preserve">Aghasi Tavadyan</w:t>
      </w:r>
      <w:r>
        <w:t xml:space="preserve"> </w:t>
      </w:r>
      <w:r>
        <w:t xml:space="preserve">is an Associate Professor at Armenian State University of Economics and the founder of Tvyal.com, a data science organization (Tvyal translates to</w:t>
      </w:r>
      <w:r>
        <w:t xml:space="preserve"> </w:t>
      </w:r>
      <w:r>
        <w:t xml:space="preserve">“</w:t>
      </w:r>
      <w:r>
        <w:t xml:space="preserve">data</w:t>
      </w:r>
      <w:r>
        <w:t xml:space="preserve">”</w:t>
      </w:r>
      <w:r>
        <w:t xml:space="preserve"> </w:t>
      </w:r>
      <w:r>
        <w:t xml:space="preserve">from Armenian). He serves as a Researcher at the Ambert Research Center at ASUE. His research interests include macroeconomic analysis, regional development, and the application of data science to economic policy problems in transition economies.</w:t>
      </w:r>
    </w:p>
    <w:bookmarkEnd w:id="66"/>
    <w:bookmarkStart w:id="68" w:name="orcid"/>
    <w:p>
      <w:pPr>
        <w:pStyle w:val="Heading1"/>
      </w:pPr>
      <w:r>
        <w:t xml:space="preserve">ORCID</w:t>
      </w:r>
    </w:p>
    <w:p>
      <w:pPr>
        <w:pStyle w:val="Firstparagraph"/>
      </w:pPr>
      <w:r>
        <w:t xml:space="preserve">Aghasi Tavadyan</w:t>
      </w:r>
      <w:r>
        <w:t xml:space="preserve"> </w:t>
      </w:r>
      <w:hyperlink r:id="rId67">
        <w:r>
          <w:rPr>
            <w:rStyle w:val="Hyperlink"/>
          </w:rPr>
          <w:t xml:space="preserve">https://orcid.org/0000-0002-1644-6205</w:t>
        </w:r>
      </w:hyperlink>
    </w:p>
    <w:bookmarkEnd w:id="68"/>
    <w:bookmarkStart w:id="70" w:name="acknowledgements"/>
    <w:p>
      <w:pPr>
        <w:pStyle w:val="Heading1"/>
      </w:pPr>
      <w:r>
        <w:t xml:space="preserve">Acknowledgements</w:t>
      </w:r>
    </w:p>
    <w:p>
      <w:pPr>
        <w:pStyle w:val="Firstparagraph"/>
      </w:pPr>
      <w:r>
        <w:t xml:space="preserve">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 This research received no specific grant from any funding agency in the public, commercial, or not-for-profit sectors.</w:t>
      </w:r>
    </w:p>
    <w:p>
      <w:pPr>
        <w:pStyle w:val="BodyText"/>
      </w:pPr>
      <w:r>
        <w:t xml:space="preserve">AI Assistance Declaration: Claude (Anthropic) was used for language improvement and editorial assistance to enhance the clarity and flow of the manuscript. All research design, data analysis, coding, interpretation of results, and core intellectual contributions are entirely the author’s own work. The analysis builds upon the author’s original research published in Armenian at:</w:t>
      </w:r>
      <w:r>
        <w:t xml:space="preserve"> </w:t>
      </w:r>
      <w:hyperlink r:id="rId69">
        <w:r>
          <w:rPr>
            <w:rStyle w:val="Hyperlink"/>
          </w:rPr>
          <w:t xml:space="preserve">https://www.tvyal.com/newsletter/2025/2025_01_14</w:t>
        </w:r>
      </w:hyperlink>
    </w:p>
    <w:bookmarkEnd w:id="70"/>
    <w:bookmarkStart w:id="72" w:name="appendix"/>
    <w:p>
      <w:pPr>
        <w:pStyle w:val="Heading1"/>
      </w:pPr>
      <w:r>
        <w:t xml:space="preserve">Appendix</w:t>
      </w:r>
    </w:p>
    <w:bookmarkStart w:id="71" w:name="Xb245a6ac758e750c7e6aeabc7e74a2264e4f136"/>
    <w:p>
      <w:pPr>
        <w:pStyle w:val="Heading2"/>
      </w:pPr>
      <w:r>
        <w:t xml:space="preserve">Table A1: Complete Regional Income Model Results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A1: Complete Regional Income Model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-76.0827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1.3973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-54.4480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63.2094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Aragatsotn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12.5469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4.7050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2.6667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7.6603 × 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Ararat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-38.9458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3.6705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-10.6106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2.7363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Armavir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-22.5884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3.8960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-5.7979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6.7320 × 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Gegharkunik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49.7543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4.2055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11.8309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2.8220 × 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Lori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22.6841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4.2971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1.3015 × 10^-7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Kotayk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-49.3181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4.6315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-10.6483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1.8273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Shirak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30.5310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4.6066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6.6277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3.4254 × 10^-11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Syunik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19.5485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6.7068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2.9148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3.5604 × 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Vayots Dzor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44.8447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7.9666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5.6291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1.8160 ×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Tavush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26.8797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5.1753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5.1939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2.0630 × 10^-7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-12.6058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7.8945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-1.5968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1.1032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Aragatsotn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-2.6714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7.5552 × 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Ararat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10.5768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3.9265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Armavir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5.7791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7.5284 × 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Gegharkunik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-11.8755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1.6575 × 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Lori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-5.3644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8.1383 ×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Kotayk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10.6400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1.9972 × 10^-26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Shirak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-6.6901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2.2400 × 10^-11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Syunik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-2.8944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3.7997 × 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Vayots Dzor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-5.6495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1.6130 ×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Tavush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-5.2507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1.5176 × 10^-7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1.5969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1.1029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Aragatsotn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2.1899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12.0083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0.1824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8.5530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Ararat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23.4634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10.0582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2.3328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1.9662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Armavir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11.4702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9.8914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2.4621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Gegharkunik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-5.3316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10.1693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-0.5243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6.0008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Lori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4.9549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9.4391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0.5249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5.9963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Kotayk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-16.2005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9.7025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-1.6697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9.4976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Shirak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-21.6330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9.6886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-2.2328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2.5563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Syunik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4.8890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11.2496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0.4346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6.6386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Vayots Dzor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-41.6734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14.7819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-2.8192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4.8150 × 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Aragatsotn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8.5374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Ararat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-2.3325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1.9677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Armavir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2.4008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Gegharkunik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0.5143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6.0701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Lori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-0.5349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5.9271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Kotayk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1.6503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9.8889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Shirak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2.2133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2.6880 ×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Syunik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-0.4449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6.5642 ×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10px"/>
              </w:rPr>
              <w:t xml:space="default">Year × Vayots Dzor × Urban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0.0073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2.8159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10px"/>
              </w:rPr>
              <w:t xml:space="default">4.8647 × 10^-3</w:t>
            </w:r>
          </w:p>
        </w:tc>
      </w:tr>
    </w:tbl>
    <w:bookmarkEnd w:id="71"/>
    <w:bookmarkEnd w:id="72"/>
    <w:bookmarkStart w:id="130" w:name="references"/>
    <w:p>
      <w:pPr>
        <w:pStyle w:val="Heading1"/>
      </w:pPr>
      <w:r>
        <w:t xml:space="preserve">References</w:t>
      </w:r>
    </w:p>
    <w:bookmarkStart w:id="129" w:name="refs"/>
    <w:bookmarkStart w:id="74" w:name="ref-Benkovskis_etal_2025"/>
    <w:p>
      <w:pPr>
        <w:pStyle w:val="Bibliography"/>
      </w:pPr>
      <w:r>
        <w:t xml:space="preserve">Beņkovskis, Konstantīns, Ludmila Fadejeva, Anna Pļuta, and Anna Zasova. 2025.</w:t>
      </w:r>
      <w:r>
        <w:t xml:space="preserve"> </w:t>
      </w:r>
      <w:r>
        <w:t xml:space="preserve">“The Effects of Minimum Wage Increases on the Macro Economy, Income Distribution, and Informal Wages.”</w:t>
      </w:r>
      <w:r>
        <w:t xml:space="preserve"> </w:t>
      </w:r>
      <w:r>
        <w:rPr>
          <w:i/>
          <w:iCs/>
        </w:rPr>
        <w:t xml:space="preserve">Baltic Journal of Economics</w:t>
      </w:r>
      <w:r>
        <w:t xml:space="preserve"> </w:t>
      </w:r>
      <w:r>
        <w:t xml:space="preserve">25 (1): 112–30.</w:t>
      </w:r>
      <w:r>
        <w:t xml:space="preserve"> </w:t>
      </w:r>
      <w:hyperlink r:id="rId73">
        <w:r>
          <w:rPr>
            <w:rStyle w:val="Hyperlink"/>
          </w:rPr>
          <w:t xml:space="preserve">https://doi.org/10.1080/1406099X.2025.2488720</w:t>
        </w:r>
      </w:hyperlink>
      <w:r>
        <w:t xml:space="preserve">.</w:t>
      </w:r>
    </w:p>
    <w:bookmarkEnd w:id="74"/>
    <w:bookmarkStart w:id="76" w:name="ref-berkowitz2006evolution"/>
    <w:p>
      <w:pPr>
        <w:pStyle w:val="Bibliography"/>
      </w:pPr>
      <w:r>
        <w:t xml:space="preserve">Berkowitz, Daniel M., and John E. Jackson. 2006.</w:t>
      </w:r>
      <w:r>
        <w:t xml:space="preserve"> </w:t>
      </w:r>
      <w:r>
        <w:t xml:space="preserve">“The Evolution of an Economic and Political Middle Class in Transition Countries.”</w:t>
      </w:r>
      <w:r>
        <w:t xml:space="preserve"> </w:t>
      </w:r>
      <w:r>
        <w:rPr>
          <w:i/>
          <w:iCs/>
        </w:rPr>
        <w:t xml:space="preserve">Journal of Comparative Economics</w:t>
      </w:r>
      <w:r>
        <w:t xml:space="preserve"> </w:t>
      </w:r>
      <w:r>
        <w:t xml:space="preserve">34 (2): 271–93.</w:t>
      </w:r>
      <w:r>
        <w:t xml:space="preserve"> </w:t>
      </w:r>
      <w:hyperlink r:id="rId75">
        <w:r>
          <w:rPr>
            <w:rStyle w:val="Hyperlink"/>
          </w:rPr>
          <w:t xml:space="preserve">https://doi.org/10.1016/j.jce.2006.02.003</w:t>
        </w:r>
      </w:hyperlink>
      <w:r>
        <w:t xml:space="preserve">.</w:t>
      </w:r>
    </w:p>
    <w:bookmarkEnd w:id="76"/>
    <w:bookmarkStart w:id="78" w:name="ref-bezemer2004rural"/>
    <w:p>
      <w:pPr>
        <w:pStyle w:val="Bibliography"/>
      </w:pPr>
      <w:r>
        <w:t xml:space="preserve">Bezemer, Dirk J., and Zvi Lerman. 2004.</w:t>
      </w:r>
      <w:r>
        <w:t xml:space="preserve"> </w:t>
      </w:r>
      <w:r>
        <w:t xml:space="preserve">“Rural Livelihoods in Armenia.”</w:t>
      </w:r>
      <w:r>
        <w:t xml:space="preserve"> </w:t>
      </w:r>
      <w:r>
        <w:rPr>
          <w:i/>
          <w:iCs/>
        </w:rPr>
        <w:t xml:space="preserve">Post-Communist Economies</w:t>
      </w:r>
      <w:r>
        <w:t xml:space="preserve"> </w:t>
      </w:r>
      <w:r>
        <w:t xml:space="preserve">16 (3): 333–48.</w:t>
      </w:r>
      <w:r>
        <w:t xml:space="preserve"> </w:t>
      </w:r>
      <w:hyperlink r:id="rId77">
        <w:r>
          <w:rPr>
            <w:rStyle w:val="Hyperlink"/>
          </w:rPr>
          <w:t xml:space="preserve">https://doi.org/10.1080/1463137042000253454</w:t>
        </w:r>
      </w:hyperlink>
      <w:r>
        <w:t xml:space="preserve">.</w:t>
      </w:r>
    </w:p>
    <w:bookmarkEnd w:id="78"/>
    <w:bookmarkStart w:id="79" w:name="ref-budd1971impact"/>
    <w:p>
      <w:pPr>
        <w:pStyle w:val="Bibliography"/>
      </w:pPr>
      <w:r>
        <w:t xml:space="preserve">Budd, Edward C., and David F. Seiders. 1971.</w:t>
      </w:r>
      <w:r>
        <w:t xml:space="preserve"> </w:t>
      </w:r>
      <w:r>
        <w:t xml:space="preserve">“The Impact of Inflation on the Distribution of Income and Wealth.”</w:t>
      </w:r>
      <w:r>
        <w:t xml:space="preserve"> </w:t>
      </w:r>
      <w:r>
        <w:rPr>
          <w:i/>
          <w:iCs/>
        </w:rPr>
        <w:t xml:space="preserve">The American Economic Review</w:t>
      </w:r>
      <w:r>
        <w:t xml:space="preserve"> </w:t>
      </w:r>
      <w:r>
        <w:t xml:space="preserve">61 (2): 128–38.</w:t>
      </w:r>
    </w:p>
    <w:bookmarkEnd w:id="79"/>
    <w:bookmarkStart w:id="81" w:name="ref-camera2014understanding"/>
    <w:p>
      <w:pPr>
        <w:pStyle w:val="Bibliography"/>
      </w:pPr>
      <w:r>
        <w:t xml:space="preserve">Camera, Gabriele, and Yili Chien. 2014.</w:t>
      </w:r>
      <w:r>
        <w:t xml:space="preserve"> </w:t>
      </w:r>
      <w:r>
        <w:t xml:space="preserve">“Understanding the Distributional Impact of Long-Run Inflation.”</w:t>
      </w:r>
      <w:r>
        <w:t xml:space="preserve"> </w:t>
      </w:r>
      <w:r>
        <w:rPr>
          <w:i/>
          <w:iCs/>
        </w:rPr>
        <w:t xml:space="preserve">Journal of Money, Credit and Banking</w:t>
      </w:r>
      <w:r>
        <w:t xml:space="preserve"> </w:t>
      </w:r>
      <w:r>
        <w:t xml:space="preserve">46 (6): 1137–70.</w:t>
      </w:r>
      <w:r>
        <w:t xml:space="preserve"> </w:t>
      </w:r>
      <w:hyperlink r:id="rId80">
        <w:r>
          <w:rPr>
            <w:rStyle w:val="Hyperlink"/>
          </w:rPr>
          <w:t xml:space="preserve">https://doi.org/10.1111/jmcb.12131</w:t>
        </w:r>
      </w:hyperlink>
      <w:r>
        <w:t xml:space="preserve">.</w:t>
      </w:r>
    </w:p>
    <w:bookmarkEnd w:id="81"/>
    <w:bookmarkStart w:id="83" w:name="ref-dermendzhieva2011emigration"/>
    <w:p>
      <w:pPr>
        <w:pStyle w:val="Bibliography"/>
      </w:pPr>
      <w:r>
        <w:t xml:space="preserve">Dermendzhieva, Zvezda. 2011.</w:t>
      </w:r>
      <w:r>
        <w:t xml:space="preserve"> </w:t>
      </w:r>
      <w:r>
        <w:t xml:space="preserve">“Emigration from the South Caucasus: Who Goes Abroad and What Are the Economic Implications?”</w:t>
      </w:r>
      <w:r>
        <w:t xml:space="preserve"> </w:t>
      </w:r>
      <w:r>
        <w:rPr>
          <w:i/>
          <w:iCs/>
        </w:rPr>
        <w:t xml:space="preserve">Post-Communist Economies</w:t>
      </w:r>
      <w:r>
        <w:t xml:space="preserve"> </w:t>
      </w:r>
      <w:r>
        <w:t xml:space="preserve">23 (3): 377–98.</w:t>
      </w:r>
      <w:r>
        <w:t xml:space="preserve"> </w:t>
      </w:r>
      <w:hyperlink r:id="rId82">
        <w:r>
          <w:rPr>
            <w:rStyle w:val="Hyperlink"/>
          </w:rPr>
          <w:t xml:space="preserve">https://doi.org/10.1080/14631377.2011.595143</w:t>
        </w:r>
      </w:hyperlink>
      <w:r>
        <w:t xml:space="preserve">.</w:t>
      </w:r>
    </w:p>
    <w:bookmarkEnd w:id="83"/>
    <w:bookmarkStart w:id="85" w:name="ref-fuchs2018inequality"/>
    <w:p>
      <w:pPr>
        <w:pStyle w:val="Bibliography"/>
      </w:pPr>
      <w:r>
        <w:t xml:space="preserve">Fuchs, Alan, Sailesh Tiwari, and Akhmad Rizal Shidiq. 2018.</w:t>
      </w:r>
      <w:r>
        <w:t xml:space="preserve"> </w:t>
      </w:r>
      <w:r>
        <w:t xml:space="preserve">“Inequality of Opportunity in South Caucasus.”</w:t>
      </w:r>
      <w:r>
        <w:t xml:space="preserve"> </w:t>
      </w:r>
      <w:r>
        <w:t xml:space="preserve">Policy Research Working Paper 8432. World Bank.</w:t>
      </w:r>
      <w:r>
        <w:t xml:space="preserve"> </w:t>
      </w:r>
      <w:hyperlink r:id="rId84">
        <w:r>
          <w:rPr>
            <w:rStyle w:val="Hyperlink"/>
          </w:rPr>
          <w:t xml:space="preserve">https://openknowledge.worldbank.org/handle/10986/29742</w:t>
        </w:r>
      </w:hyperlink>
      <w:r>
        <w:t xml:space="preserve">.</w:t>
      </w:r>
    </w:p>
    <w:bookmarkEnd w:id="85"/>
    <w:bookmarkStart w:id="87" w:name="ref-garcia2023wage"/>
    <w:p>
      <w:pPr>
        <w:pStyle w:val="Bibliography"/>
      </w:pPr>
      <w:r>
        <w:t xml:space="preserve">Garcia-Louzao, Jose, and Valentin Jouvanceau. 2023.</w:t>
      </w:r>
      <w:r>
        <w:t xml:space="preserve"> </w:t>
      </w:r>
      <w:r>
        <w:t xml:space="preserve">“Wage Growth in Lithuania from 2008 to 2020: Observed Drivers and Underlying Shocks.”</w:t>
      </w:r>
      <w:r>
        <w:t xml:space="preserve"> </w:t>
      </w:r>
      <w:r>
        <w:rPr>
          <w:i/>
          <w:iCs/>
        </w:rPr>
        <w:t xml:space="preserve">Baltic Journal of Economics</w:t>
      </w:r>
      <w:r>
        <w:t xml:space="preserve"> </w:t>
      </w:r>
      <w:r>
        <w:t xml:space="preserve">23 (2): 117–41.</w:t>
      </w:r>
      <w:r>
        <w:t xml:space="preserve"> </w:t>
      </w:r>
      <w:hyperlink r:id="rId86">
        <w:r>
          <w:rPr>
            <w:rStyle w:val="Hyperlink"/>
          </w:rPr>
          <w:t xml:space="preserve">https://doi.org/10.1080/1406099X.2023.2263420</w:t>
        </w:r>
      </w:hyperlink>
      <w:r>
        <w:t xml:space="preserve">.</w:t>
      </w:r>
    </w:p>
    <w:bookmarkEnd w:id="87"/>
    <w:bookmarkStart w:id="89" w:name="ref-habibov2012income"/>
    <w:p>
      <w:pPr>
        <w:pStyle w:val="Bibliography"/>
      </w:pPr>
      <w:r>
        <w:t xml:space="preserve">Habibov, Nazim. 2012.</w:t>
      </w:r>
      <w:r>
        <w:t xml:space="preserve"> </w:t>
      </w:r>
      <w:r>
        <w:t xml:space="preserve">“Income Inequality and Its Driving Forces in Transitional Countries: Evidence from Armenia, Azerbaijan and Georgia.”</w:t>
      </w:r>
      <w:r>
        <w:t xml:space="preserve"> </w:t>
      </w:r>
      <w:r>
        <w:rPr>
          <w:i/>
          <w:iCs/>
        </w:rPr>
        <w:t xml:space="preserve">Journal of Comparative Social Welfare</w:t>
      </w:r>
      <w:r>
        <w:t xml:space="preserve"> </w:t>
      </w:r>
      <w:r>
        <w:t xml:space="preserve">28 (3): 209–21.</w:t>
      </w:r>
      <w:r>
        <w:t xml:space="preserve"> </w:t>
      </w:r>
      <w:hyperlink r:id="rId88">
        <w:r>
          <w:rPr>
            <w:rStyle w:val="Hyperlink"/>
          </w:rPr>
          <w:t xml:space="preserve">https://doi.org/10.1080/17486830.2012.699279</w:t>
        </w:r>
      </w:hyperlink>
      <w:r>
        <w:t xml:space="preserve">.</w:t>
      </w:r>
    </w:p>
    <w:bookmarkEnd w:id="89"/>
    <w:bookmarkStart w:id="91" w:name="ref-hambardzumyan2023impact"/>
    <w:p>
      <w:pPr>
        <w:pStyle w:val="Bibliography"/>
      </w:pPr>
      <w:r>
        <w:t xml:space="preserve">Hambardzumyan, Tigran. 2023.</w:t>
      </w:r>
      <w:r>
        <w:t xml:space="preserve"> </w:t>
      </w:r>
      <w:r>
        <w:t xml:space="preserve">“The Impact of Minimum Wage on the Income Mobility of Poor Households in Armenia.”</w:t>
      </w:r>
      <w:r>
        <w:t xml:space="preserve"> </w:t>
      </w:r>
      <w:r>
        <w:t xml:space="preserve">MA Thesis, Central European University.</w:t>
      </w:r>
      <w:r>
        <w:t xml:space="preserve"> </w:t>
      </w:r>
      <w:hyperlink r:id="rId90">
        <w:r>
          <w:rPr>
            <w:rStyle w:val="Hyperlink"/>
          </w:rPr>
          <w:t xml:space="preserve">https://www.etd.ceu.edu/2023/hambardzumyan_tigran.pdf</w:t>
        </w:r>
      </w:hyperlink>
      <w:r>
        <w:t xml:space="preserve">.</w:t>
      </w:r>
    </w:p>
    <w:bookmarkEnd w:id="91"/>
    <w:bookmarkStart w:id="93" w:name="ref-ikemoto1987income"/>
    <w:p>
      <w:pPr>
        <w:pStyle w:val="Bibliography"/>
      </w:pPr>
      <w:r>
        <w:t xml:space="preserve">Ikemoto, Yukio, and Kitti Limskul. 1987.</w:t>
      </w:r>
      <w:r>
        <w:t xml:space="preserve"> </w:t>
      </w:r>
      <w:r>
        <w:t xml:space="preserve">“Income Inequality and Regional Disparity in Thailand.”</w:t>
      </w:r>
      <w:r>
        <w:t xml:space="preserve"> </w:t>
      </w:r>
      <w:r>
        <w:rPr>
          <w:i/>
          <w:iCs/>
        </w:rPr>
        <w:t xml:space="preserve">The Developing Economies</w:t>
      </w:r>
      <w:r>
        <w:t xml:space="preserve"> </w:t>
      </w:r>
      <w:r>
        <w:t xml:space="preserve">25 (3): 249–69.</w:t>
      </w:r>
      <w:r>
        <w:t xml:space="preserve"> </w:t>
      </w:r>
      <w:hyperlink r:id="rId92">
        <w:r>
          <w:rPr>
            <w:rStyle w:val="Hyperlink"/>
          </w:rPr>
          <w:t xml:space="preserve">https://doi.org/10.1111/j.1746-1049.1987.tb00127.x</w:t>
        </w:r>
      </w:hyperlink>
      <w:r>
        <w:t xml:space="preserve">.</w:t>
      </w:r>
    </w:p>
    <w:bookmarkEnd w:id="93"/>
    <w:bookmarkStart w:id="95" w:name="ref-khitarishvili2016gender"/>
    <w:p>
      <w:pPr>
        <w:pStyle w:val="Bibliography"/>
      </w:pPr>
      <w:r>
        <w:t xml:space="preserve">Khitarishvili, Tamar. 2016.</w:t>
      </w:r>
      <w:r>
        <w:t xml:space="preserve"> </w:t>
      </w:r>
      <w:r>
        <w:t xml:space="preserve">“Gender Dimensions of Inequality in the Countries of Central Asia, South Caucasus, and Western CIS.”</w:t>
      </w:r>
      <w:r>
        <w:t xml:space="preserve"> </w:t>
      </w:r>
      <w:r>
        <w:t xml:space="preserve">Working Paper 858. Levy Economics Institute of Bard College.</w:t>
      </w:r>
      <w:r>
        <w:t xml:space="preserve"> </w:t>
      </w:r>
      <w:hyperlink r:id="rId94">
        <w:r>
          <w:rPr>
            <w:rStyle w:val="Hyperlink"/>
          </w:rPr>
          <w:t xml:space="preserve">http://www.levyinstitute.org/pubs/wp_858.pdf</w:t>
        </w:r>
      </w:hyperlink>
      <w:r>
        <w:t xml:space="preserve">.</w:t>
      </w:r>
    </w:p>
    <w:bookmarkEnd w:id="95"/>
    <w:bookmarkStart w:id="97" w:name="ref-law2020impact"/>
    <w:p>
      <w:pPr>
        <w:pStyle w:val="Bibliography"/>
      </w:pPr>
      <w:r>
        <w:t xml:space="preserve">Law, Chee Hong, and Siew Voon Soon. 2020.</w:t>
      </w:r>
      <w:r>
        <w:t xml:space="preserve"> </w:t>
      </w:r>
      <w:r>
        <w:t xml:space="preserve">“The Impact of Inflation on Income Inequality: The Role of Institutional Quality.”</w:t>
      </w:r>
      <w:r>
        <w:t xml:space="preserve"> </w:t>
      </w:r>
      <w:r>
        <w:rPr>
          <w:i/>
          <w:iCs/>
        </w:rPr>
        <w:t xml:space="preserve">Applied Economics Letters</w:t>
      </w:r>
      <w:r>
        <w:t xml:space="preserve"> </w:t>
      </w:r>
      <w:r>
        <w:t xml:space="preserve">27 (21): 1735–38.</w:t>
      </w:r>
      <w:r>
        <w:t xml:space="preserve"> </w:t>
      </w:r>
      <w:hyperlink r:id="rId96">
        <w:r>
          <w:rPr>
            <w:rStyle w:val="Hyperlink"/>
          </w:rPr>
          <w:t xml:space="preserve">https://doi.org/10.1080/13504851.2019.1695389</w:t>
        </w:r>
      </w:hyperlink>
      <w:r>
        <w:t xml:space="preserve">.</w:t>
      </w:r>
    </w:p>
    <w:bookmarkEnd w:id="97"/>
    <w:bookmarkStart w:id="99" w:name="ref-markosyan2023poverty"/>
    <w:p>
      <w:pPr>
        <w:pStyle w:val="Bibliography"/>
      </w:pPr>
      <w:r>
        <w:t xml:space="preserve">Markosyan, Ashot, and Meruzhan Markosyan. 2023.</w:t>
      </w:r>
      <w:r>
        <w:t xml:space="preserve"> </w:t>
      </w:r>
      <w:r>
        <w:t xml:space="preserve">“Level of Poverty Among South Caucasus Countries and Ways to Overcome It.”</w:t>
      </w:r>
      <w:r>
        <w:t xml:space="preserve"> </w:t>
      </w:r>
      <w:r>
        <w:rPr>
          <w:i/>
          <w:iCs/>
        </w:rPr>
        <w:t xml:space="preserve">Amberd</w:t>
      </w:r>
      <w:r>
        <w:t xml:space="preserve"> </w:t>
      </w:r>
      <w:r>
        <w:t xml:space="preserve">5: 40–49.</w:t>
      </w:r>
      <w:r>
        <w:t xml:space="preserve"> </w:t>
      </w:r>
      <w:hyperlink r:id="rId98">
        <w:r>
          <w:rPr>
            <w:rStyle w:val="Hyperlink"/>
          </w:rPr>
          <w:t xml:space="preserve">https://doi.org/10.52174/2579-2989_2023.5_40</w:t>
        </w:r>
      </w:hyperlink>
      <w:r>
        <w:t xml:space="preserve">.</w:t>
      </w:r>
    </w:p>
    <w:bookmarkEnd w:id="99"/>
    <w:bookmarkStart w:id="101" w:name="ref-mikaelyan2015migration"/>
    <w:p>
      <w:pPr>
        <w:pStyle w:val="Bibliography"/>
      </w:pPr>
      <w:r>
        <w:t xml:space="preserve">Mikaelyan, Hrant. 2015.</w:t>
      </w:r>
      <w:r>
        <w:t xml:space="preserve"> </w:t>
      </w:r>
      <w:r>
        <w:t xml:space="preserve">“Migration of Population of Armenia: Economic Factors.”</w:t>
      </w:r>
      <w:r>
        <w:t xml:space="preserve"> </w:t>
      </w:r>
      <w:r>
        <w:t xml:space="preserve">Research Paper. Caucasus Institute.</w:t>
      </w:r>
      <w:r>
        <w:t xml:space="preserve"> </w:t>
      </w:r>
      <w:hyperlink r:id="rId100">
        <w:r>
          <w:rPr>
            <w:rStyle w:val="Hyperlink"/>
          </w:rPr>
          <w:t xml:space="preserve">https://caucasusinstitute.org/wp-content/uploads/2015/12/Research-Paper_Migration-of-Population-of-Armenia_Hrant-Mikayelyan_Eng.pdf</w:t>
        </w:r>
      </w:hyperlink>
      <w:r>
        <w:t xml:space="preserve">.</w:t>
      </w:r>
    </w:p>
    <w:bookmarkEnd w:id="101"/>
    <w:bookmarkStart w:id="103" w:name="ref-navicke2016work"/>
    <w:p>
      <w:pPr>
        <w:pStyle w:val="Bibliography"/>
      </w:pPr>
      <w:r>
        <w:t xml:space="preserve">Navickė, Jekaterina, and Romas Lazutka. 2016.</w:t>
      </w:r>
      <w:r>
        <w:t xml:space="preserve"> </w:t>
      </w:r>
      <w:r>
        <w:t xml:space="preserve">“Work Incentives Across the Income Distribution and for Model Families in Lithuania: 2005–2013.”</w:t>
      </w:r>
      <w:r>
        <w:t xml:space="preserve"> </w:t>
      </w:r>
      <w:r>
        <w:rPr>
          <w:i/>
          <w:iCs/>
        </w:rPr>
        <w:t xml:space="preserve">Baltic Journal of Economics</w:t>
      </w:r>
      <w:r>
        <w:t xml:space="preserve"> </w:t>
      </w:r>
      <w:r>
        <w:t xml:space="preserve">16 (2): 175–91.</w:t>
      </w:r>
      <w:r>
        <w:t xml:space="preserve"> </w:t>
      </w:r>
      <w:hyperlink r:id="rId102">
        <w:r>
          <w:rPr>
            <w:rStyle w:val="Hyperlink"/>
          </w:rPr>
          <w:t xml:space="preserve">https://doi.org/10.1080/1406099X.2016.1205404</w:t>
        </w:r>
      </w:hyperlink>
      <w:r>
        <w:t xml:space="preserve">.</w:t>
      </w:r>
    </w:p>
    <w:bookmarkEnd w:id="103"/>
    <w:bookmarkStart w:id="105" w:name="ref-nissanov2017economic"/>
    <w:p>
      <w:pPr>
        <w:pStyle w:val="Bibliography"/>
      </w:pPr>
      <w:r>
        <w:t xml:space="preserve">Nissanov, Zoya. 2017.</w:t>
      </w:r>
      <w:r>
        <w:t xml:space="preserve"> </w:t>
      </w:r>
      <w:r>
        <w:rPr>
          <w:i/>
          <w:iCs/>
        </w:rPr>
        <w:t xml:space="preserve">Economic Growth and the Middle Class in an Economy in Transition: The Case of Russia</w:t>
      </w:r>
      <w:r>
        <w:t xml:space="preserve">. Springer.</w:t>
      </w:r>
      <w:r>
        <w:t xml:space="preserve"> </w:t>
      </w:r>
      <w:hyperlink r:id="rId104">
        <w:r>
          <w:rPr>
            <w:rStyle w:val="Hyperlink"/>
          </w:rPr>
          <w:t xml:space="preserve">https://doi.org/10.1007/978-3-319-58166-2</w:t>
        </w:r>
      </w:hyperlink>
      <w:r>
        <w:t xml:space="preserve">.</w:t>
      </w:r>
    </w:p>
    <w:bookmarkEnd w:id="105"/>
    <w:bookmarkStart w:id="107" w:name="ref-petrakos2001patterns"/>
    <w:p>
      <w:pPr>
        <w:pStyle w:val="Bibliography"/>
      </w:pPr>
      <w:r>
        <w:t xml:space="preserve">Petrakos, George. 2001.</w:t>
      </w:r>
      <w:r>
        <w:t xml:space="preserve"> </w:t>
      </w:r>
      <w:r>
        <w:t xml:space="preserve">“Patterns of Regional Inequality in Transition Economies.”</w:t>
      </w:r>
      <w:r>
        <w:t xml:space="preserve"> </w:t>
      </w:r>
      <w:r>
        <w:rPr>
          <w:i/>
          <w:iCs/>
        </w:rPr>
        <w:t xml:space="preserve">European Planning Studies</w:t>
      </w:r>
      <w:r>
        <w:t xml:space="preserve"> </w:t>
      </w:r>
      <w:r>
        <w:t xml:space="preserve">9 (3): 359–83.</w:t>
      </w:r>
      <w:r>
        <w:t xml:space="preserve"> </w:t>
      </w:r>
      <w:hyperlink r:id="rId106">
        <w:r>
          <w:rPr>
            <w:rStyle w:val="Hyperlink"/>
          </w:rPr>
          <w:t xml:space="preserve">https://doi.org/10.1080/09654310120038946</w:t>
        </w:r>
      </w:hyperlink>
      <w:r>
        <w:t xml:space="preserve">.</w:t>
      </w:r>
    </w:p>
    <w:bookmarkEnd w:id="107"/>
    <w:bookmarkStart w:id="109" w:name="ref-putnins2011size"/>
    <w:p>
      <w:pPr>
        <w:pStyle w:val="Bibliography"/>
      </w:pPr>
      <w:r>
        <w:t xml:space="preserve">Putniņš, Tālis J., and Arnis Sauka. 2011.</w:t>
      </w:r>
      <w:r>
        <w:t xml:space="preserve"> </w:t>
      </w:r>
      <w:r>
        <w:t xml:space="preserve">“Size and Determinants of Shadow Economies in the Baltic States.”</w:t>
      </w:r>
      <w:r>
        <w:t xml:space="preserve"> </w:t>
      </w:r>
      <w:r>
        <w:rPr>
          <w:i/>
          <w:iCs/>
        </w:rPr>
        <w:t xml:space="preserve">Baltic Journal of Economics</w:t>
      </w:r>
      <w:r>
        <w:t xml:space="preserve"> </w:t>
      </w:r>
      <w:r>
        <w:t xml:space="preserve">11 (2): 5–25.</w:t>
      </w:r>
      <w:r>
        <w:t xml:space="preserve"> </w:t>
      </w:r>
      <w:hyperlink r:id="rId108">
        <w:r>
          <w:rPr>
            <w:rStyle w:val="Hyperlink"/>
          </w:rPr>
          <w:t xml:space="preserve">https://doi.org/10.1080/1406099X.2011.10840498</w:t>
        </w:r>
      </w:hyperlink>
      <w:r>
        <w:t xml:space="preserve">.</w:t>
      </w:r>
    </w:p>
    <w:bookmarkEnd w:id="109"/>
    <w:bookmarkStart w:id="111" w:name="ref-roberts2011class"/>
    <w:p>
      <w:pPr>
        <w:pStyle w:val="Bibliography"/>
      </w:pPr>
      <w:r>
        <w:t xml:space="preserve">Roberts, Ken, and Gary Pollock. 2011.</w:t>
      </w:r>
      <w:r>
        <w:t xml:space="preserve"> </w:t>
      </w:r>
      <w:r>
        <w:t xml:space="preserve">“Class in the South Caucasus.”</w:t>
      </w:r>
      <w:r>
        <w:t xml:space="preserve"> </w:t>
      </w:r>
      <w:r>
        <w:rPr>
          <w:i/>
          <w:iCs/>
        </w:rPr>
        <w:t xml:space="preserve">European Societies</w:t>
      </w:r>
      <w:r>
        <w:t xml:space="preserve"> </w:t>
      </w:r>
      <w:r>
        <w:t xml:space="preserve">13 (5): 757–82.</w:t>
      </w:r>
      <w:r>
        <w:t xml:space="preserve"> </w:t>
      </w:r>
      <w:hyperlink r:id="rId110">
        <w:r>
          <w:rPr>
            <w:rStyle w:val="Hyperlink"/>
          </w:rPr>
          <w:t xml:space="preserve">https://doi.org/10.1080/14616696.2011.617707</w:t>
        </w:r>
      </w:hyperlink>
      <w:r>
        <w:t xml:space="preserve">.</w:t>
      </w:r>
    </w:p>
    <w:bookmarkEnd w:id="111"/>
    <w:bookmarkStart w:id="113" w:name="ref-salukvadze2019changing"/>
    <w:p>
      <w:pPr>
        <w:pStyle w:val="Bibliography"/>
      </w:pPr>
      <w:r>
        <w:t xml:space="preserve">Salukvadze, Joseph, and David Sichinava. 2019.</w:t>
      </w:r>
      <w:r>
        <w:t xml:space="preserve"> </w:t>
      </w:r>
      <w:r>
        <w:t xml:space="preserve">“Changing Times, Persistent Inequalities?: Patterns of Housing Infrastructure Development in the South Caucasus.”</w:t>
      </w:r>
      <w:r>
        <w:t xml:space="preserve"> </w:t>
      </w:r>
      <w:r>
        <w:t xml:space="preserve">In</w:t>
      </w:r>
      <w:r>
        <w:t xml:space="preserve"> </w:t>
      </w:r>
      <w:r>
        <w:rPr>
          <w:i/>
          <w:iCs/>
        </w:rPr>
        <w:t xml:space="preserve">Post-Socialist Urban Infrastructures</w:t>
      </w:r>
      <w:r>
        <w:t xml:space="preserve">, edited by T. Tuvikene, W. Sgibnev, and C. S. Neugebauer, 72–88. Routledge.</w:t>
      </w:r>
      <w:r>
        <w:t xml:space="preserve"> </w:t>
      </w:r>
      <w:hyperlink r:id="rId112">
        <w:r>
          <w:rPr>
            <w:rStyle w:val="Hyperlink"/>
          </w:rPr>
          <w:t xml:space="preserve">https://doi.org/10.4324/97804293Post-socialistUrbanInfrastructures-4</w:t>
        </w:r>
      </w:hyperlink>
      <w:r>
        <w:t xml:space="preserve">.</w:t>
      </w:r>
    </w:p>
    <w:bookmarkEnd w:id="113"/>
    <w:bookmarkStart w:id="115" w:name="ref-sandoyan2022main"/>
    <w:p>
      <w:pPr>
        <w:pStyle w:val="Bibliography"/>
      </w:pPr>
      <w:r>
        <w:t xml:space="preserve">Sandoyan, E. M., M. A. Voskanyan, and A. G. Galstyan. 2022.</w:t>
      </w:r>
      <w:r>
        <w:t xml:space="preserve"> </w:t>
      </w:r>
      <w:r>
        <w:t xml:space="preserve">“Main Drivers of Economic Growth in Armenia: Analysis and Evaluation.”</w:t>
      </w:r>
      <w:r>
        <w:t xml:space="preserve"> </w:t>
      </w:r>
      <w:r>
        <w:rPr>
          <w:i/>
          <w:iCs/>
        </w:rPr>
        <w:t xml:space="preserve">Finance: Theory and Practice</w:t>
      </w:r>
      <w:r>
        <w:t xml:space="preserve"> </w:t>
      </w:r>
      <w:r>
        <w:t xml:space="preserve">26 (4): 44–59.</w:t>
      </w:r>
      <w:r>
        <w:t xml:space="preserve"> </w:t>
      </w:r>
      <w:hyperlink r:id="rId114">
        <w:r>
          <w:rPr>
            <w:rStyle w:val="Hyperlink"/>
          </w:rPr>
          <w:t xml:space="preserve">https://doi.org/10.26794/2587-5671-2022-26-4-44-59</w:t>
        </w:r>
      </w:hyperlink>
      <w:r>
        <w:t xml:space="preserve">.</w:t>
      </w:r>
    </w:p>
    <w:bookmarkEnd w:id="115"/>
    <w:bookmarkStart w:id="117" w:name="ref-tavadyan2021risks"/>
    <w:p>
      <w:pPr>
        <w:pStyle w:val="Bibliography"/>
      </w:pPr>
      <w:r>
        <w:t xml:space="preserve">Tavadyan, Aghasi. 2021.</w:t>
      </w:r>
      <w:r>
        <w:t xml:space="preserve"> </w:t>
      </w:r>
      <w:r>
        <w:t xml:space="preserve">“The Risks of a Stable Exchange Rate in the Crisis Situations.”</w:t>
      </w:r>
      <w:r>
        <w:t xml:space="preserve"> </w:t>
      </w:r>
      <w:r>
        <w:rPr>
          <w:i/>
          <w:iCs/>
        </w:rPr>
        <w:t xml:space="preserve">Հայկական Տնտեսագիտական Հանդես (Armenian Economic Journal)</w:t>
      </w:r>
      <w:r>
        <w:t xml:space="preserve">, no. 1: 44–53.</w:t>
      </w:r>
      <w:r>
        <w:t xml:space="preserve"> </w:t>
      </w:r>
      <w:hyperlink r:id="rId116">
        <w:r>
          <w:rPr>
            <w:rStyle w:val="Hyperlink"/>
          </w:rPr>
          <w:t xml:space="preserve">https://doi.org/10.52174/1829-4200_2021_1_44</w:t>
        </w:r>
      </w:hyperlink>
      <w:r>
        <w:t xml:space="preserve">.</w:t>
      </w:r>
    </w:p>
    <w:bookmarkEnd w:id="117"/>
    <w:bookmarkStart w:id="119" w:name="ref-tavadyan2022foreign"/>
    <w:p>
      <w:pPr>
        <w:pStyle w:val="Bibliography"/>
      </w:pPr>
      <w:r>
        <w:t xml:space="preserve">Tavadyan, Aghasi, and Romik Ghazaryan. 2022.</w:t>
      </w:r>
      <w:r>
        <w:t xml:space="preserve"> </w:t>
      </w:r>
      <w:r>
        <w:t xml:space="preserve">“Foreign Direct Investment and Income Inequality in Armenia: An Econometric Analysis.”</w:t>
      </w:r>
      <w:r>
        <w:t xml:space="preserve"> </w:t>
      </w:r>
      <w:r>
        <w:rPr>
          <w:i/>
          <w:iCs/>
        </w:rPr>
        <w:t xml:space="preserve">Alternative Quarterly</w:t>
      </w:r>
      <w:r>
        <w:t xml:space="preserve"> </w:t>
      </w:r>
      <w:r>
        <w:t xml:space="preserve">3 (3): 92–99.</w:t>
      </w:r>
      <w:r>
        <w:t xml:space="preserve"> </w:t>
      </w:r>
      <w:hyperlink r:id="rId118">
        <w:r>
          <w:rPr>
            <w:rStyle w:val="Hyperlink"/>
          </w:rPr>
          <w:t xml:space="preserve">https://dergipark.org.tr/en/pub/alternatifpolitika/issue/71216/1146165</w:t>
        </w:r>
      </w:hyperlink>
      <w:r>
        <w:t xml:space="preserve">.</w:t>
      </w:r>
    </w:p>
    <w:bookmarkEnd w:id="119"/>
    <w:bookmarkStart w:id="120" w:name="ref-thorez2014post"/>
    <w:p>
      <w:pPr>
        <w:pStyle w:val="Bibliography"/>
      </w:pPr>
      <w:r>
        <w:t xml:space="preserve">Thorez, Julien. 2014.</w:t>
      </w:r>
      <w:r>
        <w:t xml:space="preserve"> </w:t>
      </w:r>
      <w:r>
        <w:t xml:space="preserve">“The Post-Soviet Space Between North and South: Discontinuities, Disparities and Migrations.”</w:t>
      </w:r>
      <w:r>
        <w:t xml:space="preserve"> </w:t>
      </w:r>
      <w:r>
        <w:t xml:space="preserve">In</w:t>
      </w:r>
      <w:r>
        <w:t xml:space="preserve"> </w:t>
      </w:r>
      <w:r>
        <w:rPr>
          <w:i/>
          <w:iCs/>
        </w:rPr>
        <w:t xml:space="preserve">Development in Central Asia and the Caucasus: Migration, Democratisation and Inequality in the Post-Soviet Era</w:t>
      </w:r>
      <w:r>
        <w:t xml:space="preserve">, edited by Sophie Hohmann, Claire Mouradian, Silvia Serrano, and Julien Thorez, 215–41. I.B. Tauris.</w:t>
      </w:r>
    </w:p>
    <w:bookmarkEnd w:id="120"/>
    <w:bookmarkStart w:id="122" w:name="ref-tiwari2018south"/>
    <w:p>
      <w:pPr>
        <w:pStyle w:val="Bibliography"/>
      </w:pPr>
      <w:r>
        <w:t xml:space="preserve">Tiwari, Sailesh, Cesar Cancho, Moritz Meyer, and Alan Fuchs. 2018.</w:t>
      </w:r>
      <w:r>
        <w:t xml:space="preserve"> </w:t>
      </w:r>
      <w:r>
        <w:t xml:space="preserve">“South Caucasus in Motion: Economic and Social Mobility in Armenia, Azerbaijan and Georgia.”</w:t>
      </w:r>
      <w:r>
        <w:t xml:space="preserve"> </w:t>
      </w:r>
      <w:r>
        <w:t xml:space="preserve">Policy Research Working Paper 8431. World Bank.</w:t>
      </w:r>
      <w:r>
        <w:t xml:space="preserve"> </w:t>
      </w:r>
      <w:hyperlink r:id="rId121">
        <w:r>
          <w:rPr>
            <w:rStyle w:val="Hyperlink"/>
          </w:rPr>
          <w:t xml:space="preserve">https://openknowledge.worldbank.org/handle/10986/29741</w:t>
        </w:r>
      </w:hyperlink>
      <w:r>
        <w:t xml:space="preserve">.</w:t>
      </w:r>
    </w:p>
    <w:bookmarkEnd w:id="122"/>
    <w:bookmarkStart w:id="124" w:name="ref-zasova2011labour"/>
    <w:p>
      <w:pPr>
        <w:pStyle w:val="Bibliography"/>
      </w:pPr>
      <w:r>
        <w:t xml:space="preserve">Zasova, Anna. 2011.</w:t>
      </w:r>
      <w:r>
        <w:t xml:space="preserve"> </w:t>
      </w:r>
      <w:r>
        <w:t xml:space="preserve">“Labour Market Institutions: An Obstacle or Support to Latvian Labour Market Recovery?”</w:t>
      </w:r>
      <w:r>
        <w:t xml:space="preserve"> </w:t>
      </w:r>
      <w:r>
        <w:rPr>
          <w:i/>
          <w:iCs/>
        </w:rPr>
        <w:t xml:space="preserve">Baltic Journal of Economics</w:t>
      </w:r>
      <w:r>
        <w:t xml:space="preserve"> </w:t>
      </w:r>
      <w:r>
        <w:t xml:space="preserve">11 (1): 5–23.</w:t>
      </w:r>
      <w:r>
        <w:t xml:space="preserve"> </w:t>
      </w:r>
      <w:hyperlink r:id="rId123">
        <w:r>
          <w:rPr>
            <w:rStyle w:val="Hyperlink"/>
          </w:rPr>
          <w:t xml:space="preserve">https://doi.org/10.1080/1406099X.2011.10840493</w:t>
        </w:r>
      </w:hyperlink>
      <w:r>
        <w:t xml:space="preserve">.</w:t>
      </w:r>
    </w:p>
    <w:bookmarkEnd w:id="124"/>
    <w:bookmarkStart w:id="126" w:name="ref-zubarevich2024interregional"/>
    <w:p>
      <w:pPr>
        <w:pStyle w:val="Bibliography"/>
      </w:pPr>
      <w:r>
        <w:t xml:space="preserve">Zubarevich, Natalia V., and Sergey G. Safronov. 2024.</w:t>
      </w:r>
      <w:r>
        <w:t xml:space="preserve"> </w:t>
      </w:r>
      <w:r>
        <w:t xml:space="preserve">“Interregional Inequality in Russia and Post-Soviet Countries in the 21st Century.”</w:t>
      </w:r>
      <w:r>
        <w:t xml:space="preserve"> </w:t>
      </w:r>
      <w:r>
        <w:rPr>
          <w:i/>
          <w:iCs/>
        </w:rPr>
        <w:t xml:space="preserve">Regional Research of Russia</w:t>
      </w:r>
      <w:r>
        <w:t xml:space="preserve"> </w:t>
      </w:r>
      <w:r>
        <w:t xml:space="preserve">14 (4): 513–24.</w:t>
      </w:r>
      <w:r>
        <w:t xml:space="preserve"> </w:t>
      </w:r>
      <w:hyperlink r:id="rId125">
        <w:r>
          <w:rPr>
            <w:rStyle w:val="Hyperlink"/>
          </w:rPr>
          <w:t xml:space="preserve">https://doi.org/10.1134/s207997052404013x</w:t>
        </w:r>
      </w:hyperlink>
      <w:r>
        <w:t xml:space="preserve">.</w:t>
      </w:r>
    </w:p>
    <w:bookmarkEnd w:id="126"/>
    <w:bookmarkStart w:id="128" w:name="ref-дунамалян2023экономическое"/>
    <w:p>
      <w:pPr>
        <w:pStyle w:val="Bibliography"/>
      </w:pPr>
      <w:r>
        <w:t xml:space="preserve">Дунамалян, Норайр Арменович, Ваге Самвелович Давтян, and Агаси Ашотович Тавадян. 2023.</w:t>
      </w:r>
      <w:r>
        <w:t xml:space="preserve"> </w:t>
      </w:r>
      <w:r>
        <w:t xml:space="preserve">“</w:t>
      </w:r>
      <w:r>
        <w:t xml:space="preserve">Экономическое развитие как способ компенсации внешнеполитических рисков: пример Армении</w:t>
      </w:r>
      <w:r>
        <w:t xml:space="preserve">.”</w:t>
      </w:r>
      <w:r>
        <w:t xml:space="preserve"> </w:t>
      </w:r>
      <w:r>
        <w:rPr>
          <w:i/>
          <w:iCs/>
        </w:rPr>
        <w:t xml:space="preserve">Международная Аналитика</w:t>
      </w:r>
      <w:r>
        <w:t xml:space="preserve"> </w:t>
      </w:r>
      <w:r>
        <w:t xml:space="preserve">14 (1): 92–110.</w:t>
      </w:r>
      <w:r>
        <w:t xml:space="preserve"> </w:t>
      </w:r>
      <w:hyperlink r:id="rId127">
        <w:r>
          <w:rPr>
            <w:rStyle w:val="Hyperlink"/>
          </w:rPr>
          <w:t xml:space="preserve">https://doi.org/10.46272/2587-8476-2023-14-1-92-110</w:t>
        </w:r>
      </w:hyperlink>
      <w:r>
        <w:t xml:space="preserve">.</w:t>
      </w:r>
    </w:p>
    <w:bookmarkEnd w:id="128"/>
    <w:bookmarkEnd w:id="129"/>
    <w:bookmarkEnd w:id="130"/>
    <w:sectPr w:rsidR="00E125AE">
      <w:footerReference r:id="rId9" w:type="even"/>
      <w:pgSz w:code="9" w:h="16838" w:w="11906"/>
      <w:pgMar w:bottom="2211" w:footer="1701" w:gutter="0" w:header="1701" w:left="2268" w:right="2268" w:top="221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MU Serif Roman">
    <w:panose1 w:val="02000603000000000000"/>
    <w:charset w:val="00"/>
    <w:family w:val="auto"/>
    <w:pitch w:val="variable"/>
    <w:sig w:usb0="E10002FF" w:usb1="5201E9EB" w:usb2="02020004" w:usb3="00000000" w:csb0="0000019F"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 w:name="CMU Serif">
    <w:altName w:val="CMU Serif Roman"/>
    <w:charset w:val="00"/>
    <w:family w:val="auto"/>
    <w:pitch w:val="variable"/>
    <w:sig w:usb0="E10002FF" w:usb1="5201E1EB" w:usb2="00020004" w:usb3="00000000" w:csb0="0000011F"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E125AE" w:rsidRDefault="00E125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94C12">
      <w:rPr>
        <w:rStyle w:val="PageNumber"/>
        <w:noProof/>
      </w:rPr>
      <w:t>6</w:t>
    </w:r>
    <w:r>
      <w:rPr>
        <w:rStyle w:val="PageNumber"/>
      </w:rPr>
      <w:fldChar w:fldCharType="end"/>
    </w:r>
  </w:p>
  <w:p w:rsidR="00E125AE" w:rsidRDefault="00E125A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Data available at:</w:t>
      </w:r>
      <w:r>
        <w:t xml:space="preserve"> </w:t>
      </w:r>
      <w:hyperlink r:id="rId29">
        <w:r>
          <w:rPr>
            <w:rStyle w:val="Hyperlink"/>
          </w:rPr>
          <w:t xml:space="preserve">https://www.armstat.am/en/?nid=205</w:t>
        </w:r>
      </w:hyperlink>
    </w:p>
  </w:footnote>
  <w:footnote w:id="30">
    <w:p>
      <w:pPr>
        <w:pStyle w:val="FootnoteText"/>
      </w:pPr>
      <w:r>
        <w:rPr>
          <w:rStyle w:val="FootnoteReference"/>
        </w:rPr>
        <w:footnoteRef/>
      </w:r>
      <w:r>
        <w:t xml:space="preserve"> </w:t>
      </w:r>
      <w:r>
        <w:t xml:space="preserve">CPI data sourced from:</w:t>
      </w:r>
      <w:r>
        <w:t xml:space="preserve"> </w:t>
      </w:r>
      <w:hyperlink r:id="rId31">
        <w:r>
          <w:rPr>
            <w:rStyle w:val="Hyperlink"/>
          </w:rPr>
          <w:t xml:space="preserve">https://www.cba.am/stat/stat_data_eng/6_CPI_eng.xls</w:t>
        </w:r>
      </w:hyperlink>
    </w:p>
  </w:footnote>
  <w:footnote w:id="32">
    <w:p>
      <w:pPr>
        <w:pStyle w:val="FootnoteText"/>
      </w:pPr>
      <w:r>
        <w:rPr>
          <w:rStyle w:val="FootnoteReference"/>
        </w:rPr>
        <w:footnoteRef/>
      </w:r>
      <w:r>
        <w:t xml:space="preserve"> </w:t>
      </w:r>
      <w:r>
        <w:t xml:space="preserve">Replication materials:</w:t>
      </w:r>
      <w:r>
        <w:t xml:space="preserve"> </w:t>
      </w:r>
      <w:hyperlink r:id="rId33">
        <w:r>
          <w:rPr>
            <w:rStyle w:val="Hyperlink"/>
          </w:rPr>
          <w:t xml:space="preserve">https://github.com/tavad/articles/tree/main/2025_01_household_income</w:t>
        </w:r>
      </w:hyperlink>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14404728"/>
    <w:lvl w:ilvl="0">
      <w:start w:val="1"/>
      <w:numFmt w:val="decimal"/>
      <w:lvlText w:val="%1."/>
      <w:lvlJc w:val="left"/>
      <w:pPr>
        <w:tabs>
          <w:tab w:pos="1492" w:val="num"/>
        </w:tabs>
        <w:ind w:hanging="360" w:left="1492"/>
      </w:pPr>
    </w:lvl>
  </w:abstractNum>
  <w:abstractNum w:abstractNumId="1">
    <w:nsid w:val="FFFFFF7D"/>
    <w:multiLevelType w:val="singleLevel"/>
    <w:tmpl w:val="96EA22B0"/>
    <w:lvl w:ilvl="0">
      <w:start w:val="1"/>
      <w:numFmt w:val="decimal"/>
      <w:lvlText w:val="%1."/>
      <w:lvlJc w:val="left"/>
      <w:pPr>
        <w:tabs>
          <w:tab w:pos="1209" w:val="num"/>
        </w:tabs>
        <w:ind w:hanging="360" w:left="1209"/>
      </w:pPr>
    </w:lvl>
  </w:abstractNum>
  <w:abstractNum w:abstractNumId="2">
    <w:nsid w:val="FFFFFF7E"/>
    <w:multiLevelType w:val="singleLevel"/>
    <w:tmpl w:val="CDDE5A0A"/>
    <w:lvl w:ilvl="0">
      <w:start w:val="1"/>
      <w:numFmt w:val="decimal"/>
      <w:lvlText w:val="%1."/>
      <w:lvlJc w:val="left"/>
      <w:pPr>
        <w:tabs>
          <w:tab w:pos="926" w:val="num"/>
        </w:tabs>
        <w:ind w:hanging="360" w:left="926"/>
      </w:pPr>
    </w:lvl>
  </w:abstractNum>
  <w:abstractNum w:abstractNumId="3">
    <w:nsid w:val="FFFFFF7F"/>
    <w:multiLevelType w:val="singleLevel"/>
    <w:tmpl w:val="F5E87D56"/>
    <w:lvl w:ilvl="0">
      <w:start w:val="1"/>
      <w:numFmt w:val="decimal"/>
      <w:lvlText w:val="%1."/>
      <w:lvlJc w:val="left"/>
      <w:pPr>
        <w:tabs>
          <w:tab w:pos="643" w:val="num"/>
        </w:tabs>
        <w:ind w:hanging="360" w:left="643"/>
      </w:pPr>
    </w:lvl>
  </w:abstractNum>
  <w:abstractNum w:abstractNumId="4">
    <w:nsid w:val="FFFFFF80"/>
    <w:multiLevelType w:val="singleLevel"/>
    <w:tmpl w:val="553C323E"/>
    <w:lvl w:ilvl="0">
      <w:start w:val="1"/>
      <w:numFmt w:val="bullet"/>
      <w:lvlText w:val=""/>
      <w:lvlJc w:val="left"/>
      <w:pPr>
        <w:tabs>
          <w:tab w:pos="1492" w:val="num"/>
        </w:tabs>
        <w:ind w:hanging="360" w:left="1492"/>
      </w:pPr>
      <w:rPr>
        <w:rFonts w:ascii="Symbol" w:hAnsi="Symbol" w:hint="default"/>
      </w:rPr>
    </w:lvl>
  </w:abstractNum>
  <w:abstractNum w:abstractNumId="5">
    <w:nsid w:val="FFFFFF81"/>
    <w:multiLevelType w:val="singleLevel"/>
    <w:tmpl w:val="46221412"/>
    <w:lvl w:ilvl="0">
      <w:start w:val="1"/>
      <w:numFmt w:val="bullet"/>
      <w:lvlText w:val=""/>
      <w:lvlJc w:val="left"/>
      <w:pPr>
        <w:tabs>
          <w:tab w:pos="1209" w:val="num"/>
        </w:tabs>
        <w:ind w:hanging="360" w:left="1209"/>
      </w:pPr>
      <w:rPr>
        <w:rFonts w:ascii="Symbol" w:hAnsi="Symbol" w:hint="default"/>
      </w:rPr>
    </w:lvl>
  </w:abstractNum>
  <w:abstractNum w:abstractNumId="6">
    <w:nsid w:val="FFFFFF82"/>
    <w:multiLevelType w:val="singleLevel"/>
    <w:tmpl w:val="7C66BAF2"/>
    <w:lvl w:ilvl="0">
      <w:start w:val="1"/>
      <w:numFmt w:val="bullet"/>
      <w:lvlText w:val=""/>
      <w:lvlJc w:val="left"/>
      <w:pPr>
        <w:tabs>
          <w:tab w:pos="926" w:val="num"/>
        </w:tabs>
        <w:ind w:hanging="360" w:left="926"/>
      </w:pPr>
      <w:rPr>
        <w:rFonts w:ascii="Symbol" w:hAnsi="Symbol" w:hint="default"/>
      </w:rPr>
    </w:lvl>
  </w:abstractNum>
  <w:abstractNum w:abstractNumId="7">
    <w:nsid w:val="FFFFFF83"/>
    <w:multiLevelType w:val="singleLevel"/>
    <w:tmpl w:val="9D22AA48"/>
    <w:lvl w:ilvl="0">
      <w:start w:val="1"/>
      <w:numFmt w:val="bullet"/>
      <w:lvlText w:val=""/>
      <w:lvlJc w:val="left"/>
      <w:pPr>
        <w:tabs>
          <w:tab w:pos="643" w:val="num"/>
        </w:tabs>
        <w:ind w:hanging="360" w:left="643"/>
      </w:pPr>
      <w:rPr>
        <w:rFonts w:ascii="Symbol" w:hAnsi="Symbol" w:hint="default"/>
      </w:rPr>
    </w:lvl>
  </w:abstractNum>
  <w:abstractNum w:abstractNumId="8">
    <w:nsid w:val="FFFFFF88"/>
    <w:multiLevelType w:val="singleLevel"/>
    <w:tmpl w:val="C532BFBA"/>
    <w:lvl w:ilvl="0">
      <w:start w:val="1"/>
      <w:numFmt w:val="decimal"/>
      <w:lvlText w:val="%1."/>
      <w:lvlJc w:val="left"/>
      <w:pPr>
        <w:tabs>
          <w:tab w:pos="360" w:val="num"/>
        </w:tabs>
        <w:ind w:hanging="360" w:left="360"/>
      </w:pPr>
    </w:lvl>
  </w:abstractNum>
  <w:abstractNum w:abstractNumId="9">
    <w:nsid w:val="FFFFFF89"/>
    <w:multiLevelType w:val="singleLevel"/>
    <w:tmpl w:val="B8AC1978"/>
    <w:lvl w:ilvl="0">
      <w:start w:val="1"/>
      <w:numFmt w:val="bullet"/>
      <w:lvlText w:val=""/>
      <w:lvlJc w:val="left"/>
      <w:pPr>
        <w:tabs>
          <w:tab w:pos="360" w:val="num"/>
        </w:tabs>
        <w:ind w:hanging="360" w:left="360"/>
      </w:pPr>
      <w:rPr>
        <w:rFonts w:ascii="Symbol" w:hAnsi="Symbol" w:hint="default"/>
      </w:rPr>
    </w:lvl>
  </w:abstractNum>
  <w:abstractNum w:abstractNumId="10">
    <w:nsid w:val="2BD839E3"/>
    <w:multiLevelType w:val="multilevel"/>
    <w:tmpl w:val="A5CAB3EC"/>
    <w:lvl w:ilvl="0">
      <w:start w:val="1"/>
      <w:numFmt w:val="decimal"/>
      <w:lvlText w:val="%1"/>
      <w:lvlJc w:val="left"/>
      <w:pPr>
        <w:tabs>
          <w:tab w:pos="360" w:val="num"/>
        </w:tabs>
        <w:ind w:firstLine="0" w:left="0"/>
      </w:pPr>
      <w:rPr>
        <w:rFonts w:hint="default"/>
      </w:rPr>
    </w:lvl>
    <w:lvl w:ilvl="1">
      <w:start w:val="1"/>
      <w:numFmt w:val="decimal"/>
      <w:lvlText w:val="%1.%2."/>
      <w:lvlJc w:val="left"/>
      <w:pPr>
        <w:tabs>
          <w:tab w:pos="792" w:val="num"/>
        </w:tabs>
        <w:ind w:hanging="432" w:left="792"/>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1">
    <w:nsid w:val="5F6C7427"/>
    <w:multiLevelType w:val="multilevel"/>
    <w:tmpl w:val="12C44240"/>
    <w:lvl w:ilvl="0">
      <w:start w:val="1"/>
      <w:numFmt w:val="decimal"/>
      <w:pStyle w:val="Heading1"/>
      <w:lvlText w:val="%1"/>
      <w:lvlJc w:val="left"/>
      <w:pPr>
        <w:tabs>
          <w:tab w:pos="360" w:val="num"/>
        </w:tabs>
        <w:ind w:firstLine="0" w:left="0"/>
      </w:pPr>
      <w:rPr>
        <w:rFonts w:hint="default"/>
      </w:rPr>
    </w:lvl>
    <w:lvl w:ilvl="1">
      <w:start w:val="1"/>
      <w:numFmt w:val="decimal"/>
      <w:pStyle w:val="Heading2"/>
      <w:lvlText w:val="%1.%2"/>
      <w:lvlJc w:val="left"/>
      <w:pPr>
        <w:tabs>
          <w:tab w:pos="720" w:val="num"/>
        </w:tabs>
        <w:ind w:firstLine="0" w:left="0"/>
      </w:pPr>
      <w:rPr>
        <w:rFonts w:hint="default"/>
      </w:rPr>
    </w:lvl>
    <w:lvl w:ilvl="2">
      <w:start w:val="1"/>
      <w:numFmt w:val="decimal"/>
      <w:pStyle w:val="Heading3"/>
      <w:lvlText w:val="%1.%2.%3"/>
      <w:lvlJc w:val="left"/>
      <w:pPr>
        <w:tabs>
          <w:tab w:pos="1080" w:val="num"/>
        </w:tabs>
        <w:ind w:firstLine="0" w:left="0"/>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2">
    <w:nsid w:val="6F9E5CAC"/>
    <w:multiLevelType w:val="multilevel"/>
    <w:tmpl w:val="E45E8E5C"/>
    <w:lvl w:ilvl="0">
      <w:start w:val="1"/>
      <w:numFmt w:val="decimal"/>
      <w:lvlText w:val="%1"/>
      <w:lvlJc w:val="left"/>
      <w:pPr>
        <w:tabs>
          <w:tab w:pos="360" w:val="num"/>
        </w:tabs>
        <w:ind w:firstLine="0" w:left="0"/>
      </w:pPr>
      <w:rPr>
        <w:rFonts w:hint="default"/>
      </w:rPr>
    </w:lvl>
    <w:lvl w:ilvl="1">
      <w:start w:val="1"/>
      <w:numFmt w:val="decimal"/>
      <w:lvlText w:val="%1.%2"/>
      <w:lvlJc w:val="left"/>
      <w:pPr>
        <w:tabs>
          <w:tab w:pos="720" w:val="num"/>
        </w:tabs>
        <w:ind w:firstLine="0" w:left="0"/>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2"/>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1"/>
  </w:num>
  <w:num w:numId="16">
    <w:abstractNumId w:val="11"/>
  </w:num>
  <w:num w:numId="17">
    <w:abstractNumId w:val="11"/>
  </w:num>
  <w:num w:numId="18">
    <w:abstractNumId w:val="11"/>
  </w:num>
  <w:num w:numId="19">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hideSpellingErrors/>
  <w:hideGrammaticalErrors/>
  <w:activeWritingStyle w:appName="MSWord" w:checkStyle="1" w:dllVersion="131077" w:lang="en-US"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5AE"/>
    <w:rsid w:val="00226E4E"/>
    <w:rsid w:val="00394C12"/>
    <w:rsid w:val="003C77E1"/>
    <w:rsid w:val="00811330"/>
    <w:rsid w:val="00934289"/>
    <w:rsid w:val="009D2176"/>
    <w:rsid w:val="009F152B"/>
    <w:rsid w:val="00AD0F2C"/>
    <w:rsid w:val="00BE49F9"/>
    <w:rsid w:val="00DD4E5A"/>
    <w:rsid w:val="00E125AE"/>
    <w:rsid w:val="00E92A4E"/>
    <w:rsid w:val="00ED5FB5"/>
    <w:rsid w:val="00F61A29"/>
  </w:rsids>
  <w:themeFontLang w:eastAsia="ja-JP" w:val="sv-SE"/>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lang w:bidi="ar-SA" w:eastAsia="sv-SE" w:val="sv-SE"/>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226E4E"/>
    <w:pPr>
      <w:spacing w:line="312" w:lineRule="auto"/>
      <w:ind w:firstLine="340"/>
      <w:jc w:val="both"/>
    </w:pPr>
    <w:rPr>
      <w:rFonts w:ascii="CMU Serif Roman" w:hAnsi="CMU Serif Roman"/>
      <w:sz w:val="21"/>
      <w:szCs w:val="24"/>
      <w:lang w:eastAsia="en-US" w:val="en-GB"/>
    </w:rPr>
  </w:style>
  <w:style w:styleId="Heading1" w:type="paragraph">
    <w:name w:val="heading 1"/>
    <w:basedOn w:val="Normal"/>
    <w:next w:val="Firstparagraph"/>
    <w:qFormat/>
    <w:rsid w:val="00DD4E5A"/>
    <w:pPr>
      <w:keepNext/>
      <w:numPr>
        <w:numId w:val="19"/>
      </w:numPr>
      <w:tabs>
        <w:tab w:pos="482" w:val="left"/>
      </w:tabs>
      <w:spacing w:after="180" w:before="360"/>
      <w:jc w:val="left"/>
      <w:outlineLvl w:val="0"/>
    </w:pPr>
    <w:rPr>
      <w:rFonts w:cs="Arial"/>
      <w:b/>
      <w:bCs/>
      <w:sz w:val="28"/>
      <w:szCs w:val="32"/>
    </w:rPr>
  </w:style>
  <w:style w:styleId="Heading2" w:type="paragraph">
    <w:name w:val="heading 2"/>
    <w:basedOn w:val="Normal"/>
    <w:next w:val="Firstparagraph"/>
    <w:qFormat/>
    <w:rsid w:val="00DD4E5A"/>
    <w:pPr>
      <w:keepNext/>
      <w:numPr>
        <w:ilvl w:val="1"/>
        <w:numId w:val="19"/>
      </w:numPr>
      <w:tabs>
        <w:tab w:pos="624" w:val="left"/>
      </w:tabs>
      <w:spacing w:after="120" w:before="300"/>
      <w:jc w:val="left"/>
      <w:outlineLvl w:val="1"/>
    </w:pPr>
    <w:rPr>
      <w:rFonts w:cs="Arial"/>
      <w:b/>
      <w:bCs/>
      <w:iCs/>
      <w:sz w:val="24"/>
      <w:szCs w:val="28"/>
    </w:rPr>
  </w:style>
  <w:style w:styleId="Heading3" w:type="paragraph">
    <w:name w:val="heading 3"/>
    <w:basedOn w:val="Normal"/>
    <w:next w:val="Firstparagraph"/>
    <w:qFormat/>
    <w:rsid w:val="00DD4E5A"/>
    <w:pPr>
      <w:keepNext/>
      <w:numPr>
        <w:ilvl w:val="2"/>
        <w:numId w:val="19"/>
      </w:numPr>
      <w:tabs>
        <w:tab w:pos="765" w:val="left"/>
      </w:tabs>
      <w:spacing w:after="120" w:before="300"/>
      <w:jc w:val="left"/>
      <w:outlineLvl w:val="2"/>
    </w:pPr>
    <w:rPr>
      <w:rFonts w:cs="Arial"/>
      <w:b/>
      <w:bCs/>
      <w:szCs w:val="26"/>
    </w:rPr>
  </w:style>
  <w:style w:styleId="Heading4" w:type="paragraph">
    <w:name w:val="heading 4"/>
    <w:basedOn w:val="Normal"/>
    <w:next w:val="Normal"/>
    <w:link w:val="Heading4Char"/>
    <w:uiPriority w:val="9"/>
    <w:semiHidden/>
    <w:unhideWhenUsed/>
    <w:qFormat/>
    <w:rsid w:val="00BE49F9"/>
    <w:pPr>
      <w:keepNext/>
      <w:keepLines/>
      <w:spacing w:before="200"/>
      <w:outlineLvl w:val="3"/>
    </w:pPr>
    <w:rPr>
      <w:rFonts w:cstheme="majorBid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semiHidden/>
    <w:pPr>
      <w:tabs>
        <w:tab w:pos="4153" w:val="center"/>
        <w:tab w:pos="8306" w:val="right"/>
      </w:tabs>
    </w:pPr>
  </w:style>
  <w:style w:customStyle="1" w:styleId="Firstparagraph" w:type="paragraph">
    <w:name w:val="First paragraph"/>
    <w:basedOn w:val="Normal"/>
    <w:next w:val="Normal"/>
    <w:pPr>
      <w:ind w:firstLine="0"/>
    </w:pPr>
  </w:style>
  <w:style w:styleId="PageNumber" w:type="character">
    <w:name w:val="page number"/>
    <w:basedOn w:val="DefaultParagraphFont"/>
    <w:semiHidden/>
  </w:style>
  <w:style w:styleId="Header" w:type="paragraph">
    <w:name w:val="header"/>
    <w:basedOn w:val="Normal"/>
    <w:semiHidden/>
    <w:pPr>
      <w:tabs>
        <w:tab w:pos="4153" w:val="center"/>
        <w:tab w:pos="8306" w:val="right"/>
      </w:tabs>
    </w:pPr>
  </w:style>
  <w:style w:styleId="Caption" w:type="paragraph">
    <w:name w:val="caption"/>
    <w:basedOn w:val="Normal"/>
    <w:next w:val="Normal"/>
    <w:uiPriority w:val="35"/>
    <w:unhideWhenUsed/>
    <w:qFormat/>
    <w:rsid w:val="00BE49F9"/>
    <w:rPr>
      <w:bCs/>
      <w:sz w:val="20"/>
      <w:szCs w:val="20"/>
    </w:rPr>
  </w:style>
  <w:style w:styleId="Title" w:type="paragraph">
    <w:name w:val="Title"/>
    <w:basedOn w:val="Normal"/>
    <w:next w:val="Normal"/>
    <w:link w:val="TitleChar"/>
    <w:uiPriority w:val="10"/>
    <w:qFormat/>
    <w:rsid w:val="00226E4E"/>
    <w:pPr>
      <w:spacing w:after="60" w:before="240"/>
      <w:jc w:val="center"/>
      <w:outlineLvl w:val="0"/>
    </w:pPr>
    <w:rPr>
      <w:rFonts w:cstheme="majorBidi" w:eastAsiaTheme="majorEastAsia"/>
      <w:b/>
      <w:bCs/>
      <w:kern w:val="28"/>
      <w:sz w:val="32"/>
      <w:szCs w:val="32"/>
    </w:rPr>
  </w:style>
  <w:style w:customStyle="1" w:styleId="TitleChar" w:type="character">
    <w:name w:val="Title Char"/>
    <w:basedOn w:val="DefaultParagraphFont"/>
    <w:link w:val="Title"/>
    <w:uiPriority w:val="10"/>
    <w:rsid w:val="00226E4E"/>
    <w:rPr>
      <w:rFonts w:ascii="CMU Serif Roman" w:cstheme="majorBidi" w:eastAsiaTheme="majorEastAsia" w:hAnsi="CMU Serif Roman"/>
      <w:b/>
      <w:bCs/>
      <w:kern w:val="28"/>
      <w:sz w:val="32"/>
      <w:szCs w:val="32"/>
      <w:lang w:eastAsia="en-US" w:val="en-GB"/>
    </w:rPr>
  </w:style>
  <w:style w:customStyle="1" w:styleId="Heading4Char" w:type="character">
    <w:name w:val="Heading 4 Char"/>
    <w:basedOn w:val="DefaultParagraphFont"/>
    <w:link w:val="Heading4"/>
    <w:uiPriority w:val="9"/>
    <w:semiHidden/>
    <w:rsid w:val="00BE49F9"/>
    <w:rPr>
      <w:rFonts w:ascii="CMU Serif" w:cstheme="majorBidi" w:eastAsiaTheme="majorEastAsia" w:hAnsi="CMU Serif"/>
      <w:b/>
      <w:bCs/>
      <w:iCs/>
      <w:sz w:val="21"/>
      <w:szCs w:val="24"/>
      <w:lang w:eastAsia="en-US" w:val="en-GB"/>
    </w:rPr>
  </w:style>
  <w:style w:styleId="TOCHeading" w:type="paragraph">
    <w:name w:val="TOC Heading"/>
    <w:basedOn w:val="Heading1"/>
    <w:next w:val="Normal"/>
    <w:uiPriority w:val="39"/>
    <w:unhideWhenUsed/>
    <w:qFormat/>
    <w:rsid w:val="00E125AE"/>
    <w:pPr>
      <w:keepLines/>
      <w:numPr>
        <w:numId w:val="0"/>
      </w:numPr>
      <w:tabs>
        <w:tab w:pos="482" w:val="clear"/>
      </w:tabs>
      <w:spacing w:after="0" w:before="480" w:line="276" w:lineRule="auto"/>
      <w:outlineLvl w:val="9"/>
    </w:pPr>
    <w:rPr>
      <w:rFonts w:asciiTheme="majorHAnsi" w:cstheme="majorBidi" w:eastAsiaTheme="majorEastAsia" w:hAnsiTheme="majorHAnsi"/>
      <w:szCs w:val="28"/>
      <w:lang w:val="en-US"/>
    </w:rPr>
  </w:style>
  <w:style w:styleId="TOC1" w:type="paragraph">
    <w:name w:val="toc 1"/>
    <w:basedOn w:val="Normal"/>
    <w:next w:val="Normal"/>
    <w:autoRedefine/>
    <w:uiPriority w:val="39"/>
    <w:unhideWhenUsed/>
    <w:rsid w:val="00394C12"/>
    <w:pPr>
      <w:spacing w:before="120"/>
      <w:jc w:val="left"/>
    </w:pPr>
    <w:rPr>
      <w:rFonts w:asciiTheme="minorHAnsi" w:hAnsiTheme="minorHAnsi"/>
      <w:b/>
      <w:sz w:val="24"/>
    </w:rPr>
  </w:style>
  <w:style w:styleId="BalloonText" w:type="paragraph">
    <w:name w:val="Balloon Text"/>
    <w:basedOn w:val="Normal"/>
    <w:link w:val="BalloonTextChar"/>
    <w:uiPriority w:val="99"/>
    <w:semiHidden/>
    <w:unhideWhenUsed/>
    <w:rsid w:val="00E125AE"/>
    <w:pPr>
      <w:spacing w:line="240" w:lineRule="auto"/>
    </w:pPr>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E125AE"/>
    <w:rPr>
      <w:rFonts w:ascii="Lucida Grande" w:cs="Lucida Grande" w:hAnsi="Lucida Grande"/>
      <w:sz w:val="18"/>
      <w:szCs w:val="18"/>
      <w:lang w:eastAsia="en-US" w:val="en-GB"/>
    </w:rPr>
  </w:style>
  <w:style w:styleId="TOC2" w:type="paragraph">
    <w:name w:val="toc 2"/>
    <w:basedOn w:val="Normal"/>
    <w:next w:val="Normal"/>
    <w:autoRedefine/>
    <w:uiPriority w:val="39"/>
    <w:unhideWhenUsed/>
    <w:rsid w:val="00394C12"/>
    <w:pPr>
      <w:ind w:left="210"/>
      <w:jc w:val="left"/>
    </w:pPr>
    <w:rPr>
      <w:rFonts w:asciiTheme="minorHAnsi" w:hAnsiTheme="minorHAnsi"/>
      <w:b/>
      <w:szCs w:val="22"/>
    </w:rPr>
  </w:style>
  <w:style w:styleId="TOC3" w:type="paragraph">
    <w:name w:val="toc 3"/>
    <w:basedOn w:val="Normal"/>
    <w:next w:val="Normal"/>
    <w:autoRedefine/>
    <w:uiPriority w:val="39"/>
    <w:unhideWhenUsed/>
    <w:rsid w:val="00394C12"/>
    <w:pPr>
      <w:ind w:left="420"/>
      <w:jc w:val="left"/>
    </w:pPr>
    <w:rPr>
      <w:rFonts w:asciiTheme="minorHAnsi" w:hAnsiTheme="minorHAnsi"/>
      <w:szCs w:val="22"/>
    </w:rPr>
  </w:style>
  <w:style w:styleId="TOC4" w:type="paragraph">
    <w:name w:val="toc 4"/>
    <w:basedOn w:val="Normal"/>
    <w:next w:val="Normal"/>
    <w:autoRedefine/>
    <w:uiPriority w:val="39"/>
    <w:unhideWhenUsed/>
    <w:rsid w:val="00E125AE"/>
    <w:pPr>
      <w:ind w:left="630"/>
      <w:jc w:val="left"/>
    </w:pPr>
    <w:rPr>
      <w:rFonts w:asciiTheme="minorHAnsi" w:hAnsiTheme="minorHAnsi"/>
      <w:sz w:val="20"/>
      <w:szCs w:val="20"/>
    </w:rPr>
  </w:style>
  <w:style w:styleId="TOC5" w:type="paragraph">
    <w:name w:val="toc 5"/>
    <w:basedOn w:val="Normal"/>
    <w:next w:val="Normal"/>
    <w:autoRedefine/>
    <w:uiPriority w:val="39"/>
    <w:unhideWhenUsed/>
    <w:rsid w:val="00E125AE"/>
    <w:pPr>
      <w:ind w:left="840"/>
      <w:jc w:val="left"/>
    </w:pPr>
    <w:rPr>
      <w:rFonts w:asciiTheme="minorHAnsi" w:hAnsiTheme="minorHAnsi"/>
      <w:sz w:val="20"/>
      <w:szCs w:val="20"/>
    </w:rPr>
  </w:style>
  <w:style w:styleId="TOC6" w:type="paragraph">
    <w:name w:val="toc 6"/>
    <w:basedOn w:val="Normal"/>
    <w:next w:val="Normal"/>
    <w:autoRedefine/>
    <w:uiPriority w:val="39"/>
    <w:unhideWhenUsed/>
    <w:rsid w:val="00E125AE"/>
    <w:pPr>
      <w:ind w:left="1050"/>
      <w:jc w:val="left"/>
    </w:pPr>
    <w:rPr>
      <w:rFonts w:asciiTheme="minorHAnsi" w:hAnsiTheme="minorHAnsi"/>
      <w:sz w:val="20"/>
      <w:szCs w:val="20"/>
    </w:rPr>
  </w:style>
  <w:style w:styleId="TOC7" w:type="paragraph">
    <w:name w:val="toc 7"/>
    <w:basedOn w:val="Normal"/>
    <w:next w:val="Normal"/>
    <w:autoRedefine/>
    <w:uiPriority w:val="39"/>
    <w:unhideWhenUsed/>
    <w:rsid w:val="00E125AE"/>
    <w:pPr>
      <w:ind w:left="1260"/>
      <w:jc w:val="left"/>
    </w:pPr>
    <w:rPr>
      <w:rFonts w:asciiTheme="minorHAnsi" w:hAnsiTheme="minorHAnsi"/>
      <w:sz w:val="20"/>
      <w:szCs w:val="20"/>
    </w:rPr>
  </w:style>
  <w:style w:styleId="TOC8" w:type="paragraph">
    <w:name w:val="toc 8"/>
    <w:basedOn w:val="Normal"/>
    <w:next w:val="Normal"/>
    <w:autoRedefine/>
    <w:uiPriority w:val="39"/>
    <w:unhideWhenUsed/>
    <w:rsid w:val="00E125AE"/>
    <w:pPr>
      <w:ind w:left="1470"/>
      <w:jc w:val="left"/>
    </w:pPr>
    <w:rPr>
      <w:rFonts w:asciiTheme="minorHAnsi" w:hAnsiTheme="minorHAnsi"/>
      <w:sz w:val="20"/>
      <w:szCs w:val="20"/>
    </w:rPr>
  </w:style>
  <w:style w:styleId="TOC9" w:type="paragraph">
    <w:name w:val="toc 9"/>
    <w:basedOn w:val="Normal"/>
    <w:next w:val="Normal"/>
    <w:autoRedefine/>
    <w:uiPriority w:val="39"/>
    <w:unhideWhenUsed/>
    <w:rsid w:val="00E125AE"/>
    <w:pPr>
      <w:ind w:left="1680"/>
      <w:jc w:val="left"/>
    </w:pPr>
    <w:rPr>
      <w:rFonts w:asciiTheme="minorHAnsi" w:hAnsiTheme="minorHAnsi"/>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94" Target="http://www.levyinstitute.org/pubs/wp_858.pdf" TargetMode="External" /><Relationship Type="http://schemas.openxmlformats.org/officeDocument/2006/relationships/hyperlink" Id="rId100" Target="https://caucasusinstitute.org/wp-content/uploads/2015/12/Research-Paper_Migration-of-Population-of-Armenia_Hrant-Mikayelyan_Eng.pdf" TargetMode="External" /><Relationship Type="http://schemas.openxmlformats.org/officeDocument/2006/relationships/hyperlink" Id="rId118" Target="https://dergipark.org.tr/en/pub/alternatifpolitika/issue/71216/1146165" TargetMode="External" /><Relationship Type="http://schemas.openxmlformats.org/officeDocument/2006/relationships/hyperlink" Id="rId104" Target="https://doi.org/10.1007/978-3-319-58166-2" TargetMode="External" /><Relationship Type="http://schemas.openxmlformats.org/officeDocument/2006/relationships/hyperlink" Id="rId75" Target="https://doi.org/10.1016/j.jce.2006.02.003" TargetMode="External" /><Relationship Type="http://schemas.openxmlformats.org/officeDocument/2006/relationships/hyperlink" Id="rId106" Target="https://doi.org/10.1080/09654310120038946" TargetMode="External" /><Relationship Type="http://schemas.openxmlformats.org/officeDocument/2006/relationships/hyperlink" Id="rId96" Target="https://doi.org/10.1080/13504851.2019.1695389" TargetMode="External" /><Relationship Type="http://schemas.openxmlformats.org/officeDocument/2006/relationships/hyperlink" Id="rId123" Target="https://doi.org/10.1080/1406099X.2011.10840493" TargetMode="External" /><Relationship Type="http://schemas.openxmlformats.org/officeDocument/2006/relationships/hyperlink" Id="rId108" Target="https://doi.org/10.1080/1406099X.2011.10840498" TargetMode="External" /><Relationship Type="http://schemas.openxmlformats.org/officeDocument/2006/relationships/hyperlink" Id="rId102" Target="https://doi.org/10.1080/1406099X.2016.1205404" TargetMode="External" /><Relationship Type="http://schemas.openxmlformats.org/officeDocument/2006/relationships/hyperlink" Id="rId86" Target="https://doi.org/10.1080/1406099X.2023.2263420" TargetMode="External" /><Relationship Type="http://schemas.openxmlformats.org/officeDocument/2006/relationships/hyperlink" Id="rId73" Target="https://doi.org/10.1080/1406099X.2025.2488720" TargetMode="External" /><Relationship Type="http://schemas.openxmlformats.org/officeDocument/2006/relationships/hyperlink" Id="rId110" Target="https://doi.org/10.1080/14616696.2011.617707" TargetMode="External" /><Relationship Type="http://schemas.openxmlformats.org/officeDocument/2006/relationships/hyperlink" Id="rId77" Target="https://doi.org/10.1080/1463137042000253454" TargetMode="External" /><Relationship Type="http://schemas.openxmlformats.org/officeDocument/2006/relationships/hyperlink" Id="rId82" Target="https://doi.org/10.1080/14631377.2011.595143" TargetMode="External" /><Relationship Type="http://schemas.openxmlformats.org/officeDocument/2006/relationships/hyperlink" Id="rId88" Target="https://doi.org/10.1080/17486830.2012.699279" TargetMode="External" /><Relationship Type="http://schemas.openxmlformats.org/officeDocument/2006/relationships/hyperlink" Id="rId92" Target="https://doi.org/10.1111/j.1746-1049.1987.tb00127.x" TargetMode="External" /><Relationship Type="http://schemas.openxmlformats.org/officeDocument/2006/relationships/hyperlink" Id="rId80" Target="https://doi.org/10.1111/jmcb.12131" TargetMode="External" /><Relationship Type="http://schemas.openxmlformats.org/officeDocument/2006/relationships/hyperlink" Id="rId125" Target="https://doi.org/10.1134/s207997052404013x" TargetMode="External" /><Relationship Type="http://schemas.openxmlformats.org/officeDocument/2006/relationships/hyperlink" Id="rId114" Target="https://doi.org/10.26794/2587-5671-2022-26-4-44-59" TargetMode="External" /><Relationship Type="http://schemas.openxmlformats.org/officeDocument/2006/relationships/hyperlink" Id="rId112" Target="https://doi.org/10.4324/97804293Post-socialistUrbanInfrastructures-4" TargetMode="External" /><Relationship Type="http://schemas.openxmlformats.org/officeDocument/2006/relationships/hyperlink" Id="rId127" Target="https://doi.org/10.46272/2587-8476-2023-14-1-92-110" TargetMode="External" /><Relationship Type="http://schemas.openxmlformats.org/officeDocument/2006/relationships/hyperlink" Id="rId116" Target="https://doi.org/10.52174/1829-4200_2021_1_44" TargetMode="External" /><Relationship Type="http://schemas.openxmlformats.org/officeDocument/2006/relationships/hyperlink" Id="rId98"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1" Target="https://openknowledge.worldbank.org/handle/10986/29741" TargetMode="External" /><Relationship Type="http://schemas.openxmlformats.org/officeDocument/2006/relationships/hyperlink" Id="rId84"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90" Target="https://www.etd.ceu.edu/2023/hambardzumyan_tigran.pdf" TargetMode="External" /><Relationship Type="http://schemas.openxmlformats.org/officeDocument/2006/relationships/hyperlink" Id="rId69" Target="https://www.tvyal.com/newsletter/2025/2025_01_14" TargetMode="External" /></Relationships>
</file>

<file path=word/_rels/footnotes.xml.rels><?xml version="1.0" encoding="UTF-8"?><Relationships xmlns="http://schemas.openxmlformats.org/package/2006/relationships"><Relationship Type="http://schemas.openxmlformats.org/officeDocument/2006/relationships/hyperlink" Id="rId94" Target="http://www.levyinstitute.org/pubs/wp_858.pdf" TargetMode="External" /><Relationship Type="http://schemas.openxmlformats.org/officeDocument/2006/relationships/hyperlink" Id="rId100" Target="https://caucasusinstitute.org/wp-content/uploads/2015/12/Research-Paper_Migration-of-Population-of-Armenia_Hrant-Mikayelyan_Eng.pdf" TargetMode="External" /><Relationship Type="http://schemas.openxmlformats.org/officeDocument/2006/relationships/hyperlink" Id="rId118" Target="https://dergipark.org.tr/en/pub/alternatifpolitika/issue/71216/1146165" TargetMode="External" /><Relationship Type="http://schemas.openxmlformats.org/officeDocument/2006/relationships/hyperlink" Id="rId104" Target="https://doi.org/10.1007/978-3-319-58166-2" TargetMode="External" /><Relationship Type="http://schemas.openxmlformats.org/officeDocument/2006/relationships/hyperlink" Id="rId75" Target="https://doi.org/10.1016/j.jce.2006.02.003" TargetMode="External" /><Relationship Type="http://schemas.openxmlformats.org/officeDocument/2006/relationships/hyperlink" Id="rId106" Target="https://doi.org/10.1080/09654310120038946" TargetMode="External" /><Relationship Type="http://schemas.openxmlformats.org/officeDocument/2006/relationships/hyperlink" Id="rId96" Target="https://doi.org/10.1080/13504851.2019.1695389" TargetMode="External" /><Relationship Type="http://schemas.openxmlformats.org/officeDocument/2006/relationships/hyperlink" Id="rId123" Target="https://doi.org/10.1080/1406099X.2011.10840493" TargetMode="External" /><Relationship Type="http://schemas.openxmlformats.org/officeDocument/2006/relationships/hyperlink" Id="rId108" Target="https://doi.org/10.1080/1406099X.2011.10840498" TargetMode="External" /><Relationship Type="http://schemas.openxmlformats.org/officeDocument/2006/relationships/hyperlink" Id="rId102" Target="https://doi.org/10.1080/1406099X.2016.1205404" TargetMode="External" /><Relationship Type="http://schemas.openxmlformats.org/officeDocument/2006/relationships/hyperlink" Id="rId86" Target="https://doi.org/10.1080/1406099X.2023.2263420" TargetMode="External" /><Relationship Type="http://schemas.openxmlformats.org/officeDocument/2006/relationships/hyperlink" Id="rId73" Target="https://doi.org/10.1080/1406099X.2025.2488720" TargetMode="External" /><Relationship Type="http://schemas.openxmlformats.org/officeDocument/2006/relationships/hyperlink" Id="rId110" Target="https://doi.org/10.1080/14616696.2011.617707" TargetMode="External" /><Relationship Type="http://schemas.openxmlformats.org/officeDocument/2006/relationships/hyperlink" Id="rId77" Target="https://doi.org/10.1080/1463137042000253454" TargetMode="External" /><Relationship Type="http://schemas.openxmlformats.org/officeDocument/2006/relationships/hyperlink" Id="rId82" Target="https://doi.org/10.1080/14631377.2011.595143" TargetMode="External" /><Relationship Type="http://schemas.openxmlformats.org/officeDocument/2006/relationships/hyperlink" Id="rId88" Target="https://doi.org/10.1080/17486830.2012.699279" TargetMode="External" /><Relationship Type="http://schemas.openxmlformats.org/officeDocument/2006/relationships/hyperlink" Id="rId92" Target="https://doi.org/10.1111/j.1746-1049.1987.tb00127.x" TargetMode="External" /><Relationship Type="http://schemas.openxmlformats.org/officeDocument/2006/relationships/hyperlink" Id="rId80" Target="https://doi.org/10.1111/jmcb.12131" TargetMode="External" /><Relationship Type="http://schemas.openxmlformats.org/officeDocument/2006/relationships/hyperlink" Id="rId125" Target="https://doi.org/10.1134/s207997052404013x" TargetMode="External" /><Relationship Type="http://schemas.openxmlformats.org/officeDocument/2006/relationships/hyperlink" Id="rId114" Target="https://doi.org/10.26794/2587-5671-2022-26-4-44-59" TargetMode="External" /><Relationship Type="http://schemas.openxmlformats.org/officeDocument/2006/relationships/hyperlink" Id="rId112" Target="https://doi.org/10.4324/97804293Post-socialistUrbanInfrastructures-4" TargetMode="External" /><Relationship Type="http://schemas.openxmlformats.org/officeDocument/2006/relationships/hyperlink" Id="rId127" Target="https://doi.org/10.46272/2587-8476-2023-14-1-92-110" TargetMode="External" /><Relationship Type="http://schemas.openxmlformats.org/officeDocument/2006/relationships/hyperlink" Id="rId116" Target="https://doi.org/10.52174/1829-4200_2021_1_44" TargetMode="External" /><Relationship Type="http://schemas.openxmlformats.org/officeDocument/2006/relationships/hyperlink" Id="rId98" Target="https://doi.org/10.52174/2579-2989_2023.5_40" TargetMode="External" /><Relationship Type="http://schemas.openxmlformats.org/officeDocument/2006/relationships/hyperlink" Id="rId33" Target="https://github.com/tavad/articles/tree/main/2025_01_household_income" TargetMode="External" /><Relationship Type="http://schemas.openxmlformats.org/officeDocument/2006/relationships/hyperlink" Id="rId121" Target="https://openknowledge.worldbank.org/handle/10986/29741" TargetMode="External" /><Relationship Type="http://schemas.openxmlformats.org/officeDocument/2006/relationships/hyperlink" Id="rId84" Target="https://openknowledge.worldbank.org/handle/10986/29742" TargetMode="External" /><Relationship Type="http://schemas.openxmlformats.org/officeDocument/2006/relationships/hyperlink" Id="rId67"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90" Target="https://www.etd.ceu.edu/2023/hambardzumyan_tigran.pdf" TargetMode="External" /><Relationship Type="http://schemas.openxmlformats.org/officeDocument/2006/relationships/hyperlink" Id="rId69" Target="https://www.tvyal.com/newsletter/2025/2025_01_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LaTex 6.dotx</Template>
  <TotalTime>17</TotalTime>
  <Pages>6</Pages>
  <Words>86</Words>
  <Characters>494</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Growing but Not Prospering: Armenia’s Paradox of Economic Growth and Household Welfare</dc:title>
  <dc:creator/>
  <cp:keywords/>
  <dcterms:created xsi:type="dcterms:W3CDTF">2025-05-23T11:05:04Z</dcterms:created>
  <dcterms:modified xsi:type="dcterms:W3CDTF">2025-05-23T11:05:04Z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