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78F0" w14:textId="77777777" w:rsidR="00C1297B" w:rsidRPr="00EC78D0" w:rsidRDefault="00692504" w:rsidP="00692504">
      <w:pPr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b/>
          <w:sz w:val="28"/>
          <w:szCs w:val="28"/>
          <w:lang w:val="ru-RU"/>
        </w:rPr>
        <w:t>Система мотивации для дилерского отдела</w:t>
      </w:r>
    </w:p>
    <w:p w14:paraId="75D45C49" w14:textId="77777777" w:rsidR="00692504" w:rsidRPr="00EC78D0" w:rsidRDefault="00692504" w:rsidP="00692504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>Вступает в силу индивидуальная система мотивации.</w:t>
      </w:r>
    </w:p>
    <w:p w14:paraId="6EE55933" w14:textId="77777777" w:rsidR="00692504" w:rsidRPr="00EC78D0" w:rsidRDefault="00692504" w:rsidP="00692504">
      <w:pPr>
        <w:pStyle w:val="a3"/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>- Оборот: 0,001%</w:t>
      </w:r>
    </w:p>
    <w:p w14:paraId="6F9BDCF4" w14:textId="77777777" w:rsidR="00692504" w:rsidRPr="00EC78D0" w:rsidRDefault="00692504" w:rsidP="00692504">
      <w:pPr>
        <w:pStyle w:val="a3"/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>- Маржа: 0,03%</w:t>
      </w:r>
    </w:p>
    <w:p w14:paraId="49787E57" w14:textId="77777777" w:rsidR="00692504" w:rsidRPr="00EC78D0" w:rsidRDefault="00692504" w:rsidP="00692504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             2)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Дебиторка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>, общий показатель:</w:t>
      </w:r>
    </w:p>
    <w:p w14:paraId="2E93B9A1" w14:textId="77777777" w:rsidR="00692504" w:rsidRPr="00EC78D0" w:rsidRDefault="00692504" w:rsidP="00692504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              -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Дебиторка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gramStart"/>
      <w:r w:rsidRPr="00EC78D0">
        <w:rPr>
          <w:rFonts w:asciiTheme="majorBidi" w:hAnsiTheme="majorBidi" w:cstheme="majorBidi"/>
          <w:sz w:val="28"/>
          <w:szCs w:val="28"/>
          <w:lang w:val="ru-RU"/>
        </w:rPr>
        <w:t>( дельта</w:t>
      </w:r>
      <w:proofErr w:type="gram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0,002% + штраф за её увеличение 0,005%)</w:t>
      </w:r>
    </w:p>
    <w:p w14:paraId="74453026" w14:textId="77777777" w:rsidR="00692504" w:rsidRPr="00EC78D0" w:rsidRDefault="00692504" w:rsidP="00692504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              - Простроченная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дебиторка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gramStart"/>
      <w:r w:rsidRPr="00EC78D0">
        <w:rPr>
          <w:rFonts w:asciiTheme="majorBidi" w:hAnsiTheme="majorBidi" w:cstheme="majorBidi"/>
          <w:sz w:val="28"/>
          <w:szCs w:val="28"/>
          <w:lang w:val="ru-RU"/>
        </w:rPr>
        <w:t>( дельта</w:t>
      </w:r>
      <w:proofErr w:type="gram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0,002% + штраф за увеличение 0,005%)</w:t>
      </w:r>
    </w:p>
    <w:p w14:paraId="1D5519C4" w14:textId="77777777" w:rsidR="00692504" w:rsidRPr="00EC78D0" w:rsidRDefault="00692504" w:rsidP="00692504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              3) Клиенты: «квартальная премия, фонд общий». </w:t>
      </w:r>
    </w:p>
    <w:p w14:paraId="64CA46B2" w14:textId="77777777" w:rsidR="0072670A" w:rsidRPr="00EC78D0" w:rsidRDefault="00692504" w:rsidP="00692504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              - Прирост клиентов + 50уе.</w:t>
      </w:r>
      <w:r w:rsidR="0072670A" w:rsidRPr="00EC78D0">
        <w:rPr>
          <w:rFonts w:asciiTheme="majorBidi" w:hAnsiTheme="majorBidi" w:cstheme="majorBidi"/>
          <w:sz w:val="28"/>
          <w:szCs w:val="28"/>
          <w:lang w:val="ru-RU"/>
        </w:rPr>
        <w:t xml:space="preserve"> (За каждого)</w:t>
      </w:r>
    </w:p>
    <w:p w14:paraId="3F071A58" w14:textId="77777777" w:rsidR="00692504" w:rsidRPr="00EC78D0" w:rsidRDefault="0072670A" w:rsidP="00692504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(Клиентом дилерского отдела являются – магазины, интернет-магазины, </w:t>
      </w:r>
      <w:r w:rsidR="00BB4E19" w:rsidRPr="00EC78D0">
        <w:rPr>
          <w:rFonts w:asciiTheme="majorBidi" w:hAnsiTheme="majorBidi" w:cstheme="majorBidi"/>
          <w:sz w:val="28"/>
          <w:szCs w:val="28"/>
          <w:lang w:val="ru-RU"/>
        </w:rPr>
        <w:t>Оптовая фирма,</w:t>
      </w: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занимающаяся торговлей техники)</w:t>
      </w:r>
    </w:p>
    <w:p w14:paraId="0E8A693B" w14:textId="5A1B1256" w:rsidR="000F5E4E" w:rsidRPr="00EC78D0" w:rsidRDefault="00E62F80" w:rsidP="00692504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Итоги </w:t>
      </w:r>
      <w:r w:rsidR="00123832"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</w:p>
    <w:p w14:paraId="0F2B066A" w14:textId="77777777" w:rsidR="00CF274A" w:rsidRPr="00EC78D0" w:rsidRDefault="00CF274A" w:rsidP="00CF274A">
      <w:pPr>
        <w:pStyle w:val="3"/>
        <w:rPr>
          <w:rFonts w:asciiTheme="majorBidi" w:hAnsiTheme="majorBidi"/>
          <w:sz w:val="28"/>
          <w:szCs w:val="28"/>
        </w:rPr>
      </w:pPr>
      <w:proofErr w:type="spellStart"/>
      <w:r w:rsidRPr="00EC78D0">
        <w:rPr>
          <w:rFonts w:asciiTheme="majorBidi" w:hAnsiTheme="majorBidi"/>
          <w:sz w:val="28"/>
          <w:szCs w:val="28"/>
        </w:rPr>
        <w:t>Анализ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/>
          <w:sz w:val="28"/>
          <w:szCs w:val="28"/>
        </w:rPr>
        <w:t>годового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/>
          <w:sz w:val="28"/>
          <w:szCs w:val="28"/>
        </w:rPr>
        <w:t>оборота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и </w:t>
      </w:r>
      <w:proofErr w:type="spellStart"/>
      <w:r w:rsidRPr="00EC78D0">
        <w:rPr>
          <w:rFonts w:asciiTheme="majorBidi" w:hAnsiTheme="majorBidi"/>
          <w:sz w:val="28"/>
          <w:szCs w:val="28"/>
        </w:rPr>
        <w:t>маржинальности</w:t>
      </w:r>
      <w:proofErr w:type="spellEnd"/>
    </w:p>
    <w:p w14:paraId="00A1D452" w14:textId="77777777" w:rsidR="00CF274A" w:rsidRPr="00EC78D0" w:rsidRDefault="00CF274A" w:rsidP="00CF274A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По итогам финансового года 2024:</w:t>
      </w:r>
    </w:p>
    <w:p w14:paraId="5B5B1006" w14:textId="77777777" w:rsidR="00CF274A" w:rsidRPr="00EC78D0" w:rsidRDefault="00CF274A" w:rsidP="00CF27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Общий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оборот по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авторским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продажам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составил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2 514 230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у.е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>.</w:t>
      </w:r>
      <w:r w:rsidRPr="00EC78D0">
        <w:rPr>
          <w:rFonts w:asciiTheme="majorBidi" w:hAnsiTheme="majorBidi" w:cstheme="majorBidi"/>
          <w:sz w:val="28"/>
          <w:szCs w:val="28"/>
        </w:rPr>
        <w:t>,</w:t>
      </w:r>
    </w:p>
    <w:p w14:paraId="4F82A5E6" w14:textId="77777777" w:rsidR="00CF274A" w:rsidRPr="00EC78D0" w:rsidRDefault="00CF274A" w:rsidP="00CF27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Валовая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маржа —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184 236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у.е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>.</w:t>
      </w:r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62234730" w14:textId="77777777" w:rsidR="00CF274A" w:rsidRPr="00EC78D0" w:rsidRDefault="00CF274A" w:rsidP="00CF274A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В сравнении с предыдущим годом (2023):</w:t>
      </w:r>
    </w:p>
    <w:p w14:paraId="7E6EE615" w14:textId="77777777" w:rsidR="00CF274A" w:rsidRPr="00EC78D0" w:rsidRDefault="00CF274A" w:rsidP="00CF27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2023 году оборот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составлял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2 812 910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у.е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>.</w:t>
      </w:r>
      <w:r w:rsidRPr="00EC78D0">
        <w:rPr>
          <w:rFonts w:asciiTheme="majorBidi" w:hAnsiTheme="majorBidi" w:cstheme="majorBidi"/>
          <w:sz w:val="28"/>
          <w:szCs w:val="28"/>
        </w:rPr>
        <w:t>,</w:t>
      </w:r>
    </w:p>
    <w:p w14:paraId="7F7DB82C" w14:textId="77777777" w:rsidR="00CF274A" w:rsidRPr="00EC78D0" w:rsidRDefault="00CF274A" w:rsidP="00CF27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Валовая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маржа —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212 251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у.е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>.</w:t>
      </w:r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150F7CA1" w14:textId="77777777" w:rsidR="00CF274A" w:rsidRPr="00EC78D0" w:rsidRDefault="00CF274A" w:rsidP="00CF274A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Ключевые изменения:</w:t>
      </w:r>
    </w:p>
    <w:p w14:paraId="0E2CDDB8" w14:textId="77777777" w:rsidR="00CF274A" w:rsidRPr="00EC78D0" w:rsidRDefault="00CF274A" w:rsidP="00CF27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Годовой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оборот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снизился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10,6%</w:t>
      </w:r>
      <w:r w:rsidRPr="00EC78D0">
        <w:rPr>
          <w:rFonts w:asciiTheme="majorBidi" w:hAnsiTheme="majorBidi" w:cstheme="majorBidi"/>
          <w:sz w:val="28"/>
          <w:szCs w:val="28"/>
        </w:rPr>
        <w:t xml:space="preserve"> по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сравнению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с 2023 годом.</w:t>
      </w:r>
    </w:p>
    <w:p w14:paraId="6A429C48" w14:textId="77777777" w:rsidR="00CF274A" w:rsidRPr="00EC78D0" w:rsidRDefault="00CF274A" w:rsidP="00CF27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Валовая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маржа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сократилась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13%</w:t>
      </w:r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что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указывает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как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общее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снижение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объёмов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продаж, так и на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некоторое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ухудшение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структуры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маржинальности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сделок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7BECB9B7" w14:textId="717D8201" w:rsidR="008D5075" w:rsidRPr="00EC78D0" w:rsidRDefault="000105B9" w:rsidP="00692504">
      <w:pPr>
        <w:rPr>
          <w:rFonts w:asciiTheme="majorBidi" w:hAnsiTheme="majorBidi" w:cstheme="majorBidi"/>
          <w:sz w:val="28"/>
          <w:szCs w:val="28"/>
          <w:lang w:val="ru-RU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Снижение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показателей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объясняется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как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внешними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факторами (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общей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нестабильностью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рынка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последствиями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военных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действий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регионе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), так и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изменением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покупательской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активности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. Тем не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менее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текущий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уровень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оборота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и маржи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остаётся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достаточным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обеспечения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эффективности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целесообразности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дальнейшего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функционирования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оптового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отдела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06B8DC99" w14:textId="46F967D2" w:rsidR="000105B9" w:rsidRPr="00EC78D0" w:rsidRDefault="008D5075" w:rsidP="00EC78D0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       </w:t>
      </w:r>
    </w:p>
    <w:p w14:paraId="01F07B39" w14:textId="77777777" w:rsidR="00EC78D0" w:rsidRPr="00EC78D0" w:rsidRDefault="00EC78D0" w:rsidP="00EC78D0">
      <w:pPr>
        <w:pStyle w:val="3"/>
        <w:rPr>
          <w:rFonts w:asciiTheme="majorBidi" w:hAnsiTheme="majorBidi"/>
          <w:sz w:val="28"/>
          <w:szCs w:val="28"/>
        </w:rPr>
      </w:pPr>
      <w:proofErr w:type="spellStart"/>
      <w:r w:rsidRPr="00EC78D0">
        <w:rPr>
          <w:rFonts w:asciiTheme="majorBidi" w:hAnsiTheme="majorBidi"/>
          <w:sz w:val="28"/>
          <w:szCs w:val="28"/>
        </w:rPr>
        <w:lastRenderedPageBreak/>
        <w:t>Анализ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/>
          <w:sz w:val="28"/>
          <w:szCs w:val="28"/>
        </w:rPr>
        <w:t>квартальных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продаж и </w:t>
      </w:r>
      <w:proofErr w:type="spellStart"/>
      <w:r w:rsidRPr="00EC78D0">
        <w:rPr>
          <w:rFonts w:asciiTheme="majorBidi" w:hAnsiTheme="majorBidi"/>
          <w:sz w:val="28"/>
          <w:szCs w:val="28"/>
        </w:rPr>
        <w:t>динамики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по </w:t>
      </w:r>
      <w:proofErr w:type="spellStart"/>
      <w:r w:rsidRPr="00EC78D0">
        <w:rPr>
          <w:rFonts w:asciiTheme="majorBidi" w:hAnsiTheme="majorBidi"/>
          <w:sz w:val="28"/>
          <w:szCs w:val="28"/>
        </w:rPr>
        <w:t>подразделениям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(4 квартал 2024 </w:t>
      </w:r>
      <w:proofErr w:type="spellStart"/>
      <w:r w:rsidRPr="00EC78D0">
        <w:rPr>
          <w:rFonts w:asciiTheme="majorBidi" w:hAnsiTheme="majorBidi"/>
          <w:sz w:val="28"/>
          <w:szCs w:val="28"/>
        </w:rPr>
        <w:t>года</w:t>
      </w:r>
      <w:proofErr w:type="spellEnd"/>
      <w:r w:rsidRPr="00EC78D0">
        <w:rPr>
          <w:rFonts w:asciiTheme="majorBidi" w:hAnsiTheme="majorBidi"/>
          <w:sz w:val="28"/>
          <w:szCs w:val="28"/>
        </w:rPr>
        <w:t>)</w:t>
      </w:r>
    </w:p>
    <w:p w14:paraId="01B3EDB6" w14:textId="77777777" w:rsidR="00EC78D0" w:rsidRPr="00EC78D0" w:rsidRDefault="00EC78D0" w:rsidP="00EC78D0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Общий итог по авторским продажам:</w:t>
      </w:r>
    </w:p>
    <w:p w14:paraId="6EB314D7" w14:textId="77777777" w:rsidR="00EC78D0" w:rsidRPr="00EC78D0" w:rsidRDefault="00EC78D0" w:rsidP="00EC78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За 4 квартал 2024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года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общий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оборот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составил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590 630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у.е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>.</w:t>
      </w:r>
      <w:r w:rsidRPr="00EC78D0">
        <w:rPr>
          <w:rFonts w:asciiTheme="majorBidi" w:hAnsiTheme="majorBidi" w:cstheme="majorBidi"/>
          <w:sz w:val="28"/>
          <w:szCs w:val="28"/>
        </w:rPr>
        <w:t>,</w:t>
      </w:r>
    </w:p>
    <w:p w14:paraId="67337602" w14:textId="77777777" w:rsidR="00EC78D0" w:rsidRPr="00EC78D0" w:rsidRDefault="00EC78D0" w:rsidP="00EC78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Валовая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маржа —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35 275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у.е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>.</w:t>
      </w:r>
      <w:r w:rsidRPr="00EC78D0">
        <w:rPr>
          <w:rFonts w:asciiTheme="majorBidi" w:hAnsiTheme="majorBidi" w:cstheme="majorBidi"/>
          <w:sz w:val="28"/>
          <w:szCs w:val="28"/>
        </w:rPr>
        <w:t>,</w:t>
      </w:r>
    </w:p>
    <w:p w14:paraId="3C43114E" w14:textId="77777777" w:rsidR="00EC78D0" w:rsidRPr="00EC78D0" w:rsidRDefault="00EC78D0" w:rsidP="00EC78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Средняя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наценка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итогам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квартала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составила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около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8%</w:t>
      </w:r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73FBAA5C" w14:textId="77777777" w:rsidR="00EC78D0" w:rsidRPr="00EC78D0" w:rsidRDefault="00EC78D0" w:rsidP="00EC78D0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Сравнение с аналогичным периодом прошлого года:</w:t>
      </w:r>
    </w:p>
    <w:p w14:paraId="18C38123" w14:textId="77777777" w:rsidR="00EC78D0" w:rsidRPr="00EC78D0" w:rsidRDefault="00EC78D0" w:rsidP="00EC7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4 квартале 2023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года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продажи достигли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622 212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у.е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>.</w:t>
      </w:r>
      <w:r w:rsidRPr="00EC78D0">
        <w:rPr>
          <w:rFonts w:asciiTheme="majorBidi" w:hAnsiTheme="majorBidi" w:cstheme="majorBidi"/>
          <w:sz w:val="28"/>
          <w:szCs w:val="28"/>
        </w:rPr>
        <w:t>,</w:t>
      </w:r>
    </w:p>
    <w:p w14:paraId="1F3DDCFB" w14:textId="77777777" w:rsidR="00EC78D0" w:rsidRPr="00EC78D0" w:rsidRDefault="00EC78D0" w:rsidP="00EC78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Валовая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маржа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составила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54 703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у.е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>.</w:t>
      </w:r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235344AE" w14:textId="77777777" w:rsidR="00EC78D0" w:rsidRPr="00EC78D0" w:rsidRDefault="00EC78D0" w:rsidP="00EC78D0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Таким образом:</w:t>
      </w:r>
    </w:p>
    <w:p w14:paraId="4C7E833A" w14:textId="77777777" w:rsidR="00EC78D0" w:rsidRPr="00EC78D0" w:rsidRDefault="00EC78D0" w:rsidP="00EC7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Оборот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снизился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примерно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5%</w:t>
      </w:r>
      <w:r w:rsidRPr="00EC78D0">
        <w:rPr>
          <w:rFonts w:asciiTheme="majorBidi" w:hAnsiTheme="majorBidi" w:cstheme="majorBidi"/>
          <w:sz w:val="28"/>
          <w:szCs w:val="28"/>
        </w:rPr>
        <w:t xml:space="preserve"> по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сравнению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аналогичным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периодом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2023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года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,</w:t>
      </w:r>
    </w:p>
    <w:p w14:paraId="2C7D34DE" w14:textId="77777777" w:rsidR="00EC78D0" w:rsidRPr="00EC78D0" w:rsidRDefault="00EC78D0" w:rsidP="00EC78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При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этом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маржинальность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2023 году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была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выше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чем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2024 году.</w:t>
      </w:r>
    </w:p>
    <w:p w14:paraId="5A61F898" w14:textId="77777777" w:rsidR="00EC78D0" w:rsidRPr="00EC78D0" w:rsidRDefault="00EC78D0" w:rsidP="00EC78D0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Анализ розничных и корпоративных продаж:</w:t>
      </w:r>
    </w:p>
    <w:p w14:paraId="7B8AD826" w14:textId="082A5721" w:rsidR="00EC78D0" w:rsidRPr="00EC78D0" w:rsidRDefault="00EC78D0" w:rsidP="00EC7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Херсоне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розничные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продажи по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моим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данным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снизились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1</w:t>
      </w:r>
      <w:r>
        <w:rPr>
          <w:rStyle w:val="ac"/>
          <w:rFonts w:asciiTheme="majorBidi" w:hAnsiTheme="majorBidi" w:cstheme="majorBidi"/>
          <w:sz w:val="28"/>
          <w:szCs w:val="28"/>
          <w:lang w:val="ru-RU"/>
        </w:rPr>
        <w:t>6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%</w:t>
      </w:r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что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связано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продолжающимися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военными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действиями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нестабильной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ситуацией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регионе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18933074" w14:textId="77777777" w:rsidR="00EC78D0" w:rsidRPr="00EC78D0" w:rsidRDefault="00EC78D0" w:rsidP="00EC7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Корпоративный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отдел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показал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небольшое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снижение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оборота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— на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2%</w:t>
      </w:r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61B69559" w14:textId="77777777" w:rsidR="00EC78D0" w:rsidRPr="00EC78D0" w:rsidRDefault="00EC78D0" w:rsidP="00EC78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Николаеве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напротив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розничные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продажи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продемонстрировали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рост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что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можно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объяснить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увеличением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числа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переселенцев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из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Херсона, 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также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присутствием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большого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количества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военнослужащих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ближайших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населённых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пунктах (в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радиусе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около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10 км от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города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).</w:t>
      </w:r>
    </w:p>
    <w:p w14:paraId="348C74EA" w14:textId="77777777" w:rsidR="00EC78D0" w:rsidRPr="00EC78D0" w:rsidRDefault="00EC78D0" w:rsidP="00EC78D0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Динамика продаж по подразделениям: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1944"/>
        <w:gridCol w:w="1944"/>
        <w:gridCol w:w="1453"/>
      </w:tblGrid>
      <w:tr w:rsidR="00EC78D0" w:rsidRPr="00EC78D0" w14:paraId="4D52151C" w14:textId="77777777" w:rsidTr="00EC78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DF8F9" w14:textId="77777777" w:rsidR="00EC78D0" w:rsidRPr="00EC78D0" w:rsidRDefault="00EC78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Подразделение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51245" w14:textId="77777777" w:rsidR="00EC78D0" w:rsidRPr="00EC78D0" w:rsidRDefault="00EC78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4 </w:t>
            </w:r>
            <w:proofErr w:type="spellStart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кв</w:t>
            </w:r>
            <w:proofErr w:type="spellEnd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2024 (</w:t>
            </w:r>
            <w:proofErr w:type="spellStart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у.е</w:t>
            </w:r>
            <w:proofErr w:type="spellEnd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18CAA22F" w14:textId="77777777" w:rsidR="00EC78D0" w:rsidRPr="00EC78D0" w:rsidRDefault="00EC78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4 </w:t>
            </w:r>
            <w:proofErr w:type="spellStart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кв</w:t>
            </w:r>
            <w:proofErr w:type="spellEnd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2023 (</w:t>
            </w:r>
            <w:proofErr w:type="spellStart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у.е</w:t>
            </w:r>
            <w:proofErr w:type="spellEnd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30BC92A2" w14:textId="77777777" w:rsidR="00EC78D0" w:rsidRPr="00EC78D0" w:rsidRDefault="00EC78D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Изменение</w:t>
            </w:r>
            <w:proofErr w:type="spellEnd"/>
          </w:p>
        </w:tc>
      </w:tr>
      <w:tr w:rsidR="00EC78D0" w:rsidRPr="00EC78D0" w14:paraId="4C0A31D0" w14:textId="77777777" w:rsidTr="00EC7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0BF37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Кулика</w:t>
            </w:r>
          </w:p>
        </w:tc>
        <w:tc>
          <w:tcPr>
            <w:tcW w:w="0" w:type="auto"/>
            <w:vAlign w:val="center"/>
            <w:hideMark/>
          </w:tcPr>
          <w:p w14:paraId="74B49E55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77 631</w:t>
            </w:r>
          </w:p>
        </w:tc>
        <w:tc>
          <w:tcPr>
            <w:tcW w:w="0" w:type="auto"/>
            <w:vAlign w:val="center"/>
            <w:hideMark/>
          </w:tcPr>
          <w:p w14:paraId="502B1EA9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92 945</w:t>
            </w:r>
          </w:p>
        </w:tc>
        <w:tc>
          <w:tcPr>
            <w:tcW w:w="0" w:type="auto"/>
            <w:vAlign w:val="center"/>
            <w:hideMark/>
          </w:tcPr>
          <w:p w14:paraId="214415EF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-16%</w:t>
            </w:r>
          </w:p>
        </w:tc>
      </w:tr>
      <w:tr w:rsidR="00EC78D0" w:rsidRPr="00EC78D0" w14:paraId="5830AEAA" w14:textId="77777777" w:rsidTr="00EC7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5D70C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Центральный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7C312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128 585</w:t>
            </w:r>
          </w:p>
        </w:tc>
        <w:tc>
          <w:tcPr>
            <w:tcW w:w="0" w:type="auto"/>
            <w:vAlign w:val="center"/>
            <w:hideMark/>
          </w:tcPr>
          <w:p w14:paraId="40C36FF7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106 085</w:t>
            </w:r>
          </w:p>
        </w:tc>
        <w:tc>
          <w:tcPr>
            <w:tcW w:w="0" w:type="auto"/>
            <w:vAlign w:val="center"/>
            <w:hideMark/>
          </w:tcPr>
          <w:p w14:paraId="24AB3C2F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+21%</w:t>
            </w:r>
          </w:p>
        </w:tc>
      </w:tr>
      <w:tr w:rsidR="00EC78D0" w:rsidRPr="00EC78D0" w14:paraId="716BBE84" w14:textId="77777777" w:rsidTr="00EC7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968F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Корпоративный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отдел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1CDE2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88 700</w:t>
            </w:r>
          </w:p>
        </w:tc>
        <w:tc>
          <w:tcPr>
            <w:tcW w:w="0" w:type="auto"/>
            <w:vAlign w:val="center"/>
            <w:hideMark/>
          </w:tcPr>
          <w:p w14:paraId="7F441A15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90 500</w:t>
            </w:r>
          </w:p>
        </w:tc>
        <w:tc>
          <w:tcPr>
            <w:tcW w:w="0" w:type="auto"/>
            <w:vAlign w:val="center"/>
            <w:hideMark/>
          </w:tcPr>
          <w:p w14:paraId="72A9A6AA" w14:textId="77777777" w:rsidR="00EC78D0" w:rsidRPr="00EC78D0" w:rsidRDefault="00EC78D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-2%</w:t>
            </w:r>
          </w:p>
        </w:tc>
      </w:tr>
    </w:tbl>
    <w:p w14:paraId="4D78CA69" w14:textId="77777777" w:rsidR="00EC78D0" w:rsidRPr="00EC78D0" w:rsidRDefault="00EC78D0" w:rsidP="00EC78D0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Выводы:</w:t>
      </w:r>
    </w:p>
    <w:p w14:paraId="2DF9ECBF" w14:textId="77777777" w:rsidR="00EC78D0" w:rsidRPr="00EC78D0" w:rsidRDefault="00EC78D0" w:rsidP="00EC78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Основное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снижение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зафиксировано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подразделении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Кулика (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-16%</w:t>
      </w:r>
      <w:r w:rsidRPr="00EC78D0">
        <w:rPr>
          <w:rFonts w:asciiTheme="majorBidi" w:hAnsiTheme="majorBidi" w:cstheme="majorBidi"/>
          <w:sz w:val="28"/>
          <w:szCs w:val="28"/>
        </w:rPr>
        <w:t>).</w:t>
      </w:r>
    </w:p>
    <w:p w14:paraId="67FC239E" w14:textId="77777777" w:rsidR="00EC78D0" w:rsidRPr="00EC78D0" w:rsidRDefault="00EC78D0" w:rsidP="00EC78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Центральный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магазин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показал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уверенный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рост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продаж на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21%</w:t>
      </w:r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4EEF4222" w14:textId="77777777" w:rsidR="00EC78D0" w:rsidRPr="00EC78D0" w:rsidRDefault="00EC78D0" w:rsidP="00EC78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sz w:val="28"/>
          <w:szCs w:val="28"/>
        </w:rPr>
        <w:t>Корпоративный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отдел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удержал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позиции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показав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лишь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незначительное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снижение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оборота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4BC8F51B" w14:textId="77777777" w:rsidR="00EC78D0" w:rsidRPr="00EC78D0" w:rsidRDefault="00EC78D0" w:rsidP="00EC78D0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lastRenderedPageBreak/>
        <w:t>Общий итог</w:t>
      </w:r>
      <w:proofErr w:type="gramStart"/>
      <w:r w:rsidRPr="00EC78D0">
        <w:rPr>
          <w:rStyle w:val="ac"/>
          <w:rFonts w:asciiTheme="majorBidi" w:hAnsiTheme="majorBidi" w:cstheme="majorBidi"/>
          <w:sz w:val="28"/>
          <w:szCs w:val="28"/>
        </w:rPr>
        <w:t>:</w:t>
      </w:r>
      <w:r w:rsidRPr="00EC78D0">
        <w:rPr>
          <w:rFonts w:asciiTheme="majorBidi" w:hAnsiTheme="majorBidi" w:cstheme="majorBidi"/>
          <w:sz w:val="28"/>
          <w:szCs w:val="28"/>
        </w:rPr>
        <w:t xml:space="preserve"> Несмотря</w:t>
      </w:r>
      <w:proofErr w:type="gramEnd"/>
      <w:r w:rsidRPr="00EC78D0">
        <w:rPr>
          <w:rFonts w:asciiTheme="majorBidi" w:hAnsiTheme="majorBidi" w:cstheme="majorBidi"/>
          <w:sz w:val="28"/>
          <w:szCs w:val="28"/>
        </w:rPr>
        <w:t xml:space="preserve"> на внешние факторы и сложную ситуацию в отдельных регионах, компании удаётся удерживать стабильные показатели и адаптироваться за счёт увеличения продаж в более устойчивых локация</w:t>
      </w:r>
    </w:p>
    <w:p w14:paraId="774547CF" w14:textId="0737A327" w:rsidR="001537A3" w:rsidRPr="00EC78D0" w:rsidRDefault="001537A3" w:rsidP="001537A3">
      <w:pPr>
        <w:pStyle w:val="3"/>
        <w:rPr>
          <w:rFonts w:asciiTheme="majorBidi" w:hAnsiTheme="majorBidi"/>
          <w:sz w:val="28"/>
          <w:szCs w:val="28"/>
          <w:lang w:val="ru-RU"/>
        </w:rPr>
      </w:pPr>
    </w:p>
    <w:p w14:paraId="0EBB9684" w14:textId="1694EC79" w:rsidR="00640544" w:rsidRPr="00EC78D0" w:rsidRDefault="00640544" w:rsidP="00640544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Ситуация на рынке и работа с клиентами в Херсоне в </w:t>
      </w:r>
      <w:proofErr w:type="gramStart"/>
      <w:r w:rsidR="00CF274A" w:rsidRPr="00EC78D0">
        <w:rPr>
          <w:rStyle w:val="ac"/>
          <w:rFonts w:asciiTheme="majorBidi" w:hAnsiTheme="majorBidi" w:cstheme="majorBidi"/>
          <w:sz w:val="28"/>
          <w:szCs w:val="28"/>
        </w:rPr>
        <w:t xml:space="preserve">четвертый 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квартале</w:t>
      </w:r>
      <w:proofErr w:type="gramEnd"/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 2024 года</w:t>
      </w:r>
    </w:p>
    <w:p w14:paraId="4D89FE99" w14:textId="5E489114" w:rsidR="00640544" w:rsidRPr="00EC78D0" w:rsidRDefault="00640544" w:rsidP="00640544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</w:t>
      </w:r>
      <w:proofErr w:type="gramStart"/>
      <w:r w:rsidRPr="00EC78D0">
        <w:rPr>
          <w:rFonts w:asciiTheme="majorBidi" w:hAnsiTheme="majorBidi" w:cstheme="majorBidi"/>
          <w:sz w:val="28"/>
          <w:szCs w:val="28"/>
        </w:rPr>
        <w:t>четвертом  квартале</w:t>
      </w:r>
      <w:proofErr w:type="gramEnd"/>
      <w:r w:rsidRPr="00EC78D0">
        <w:rPr>
          <w:rFonts w:asciiTheme="majorBidi" w:hAnsiTheme="majorBidi" w:cstheme="majorBidi"/>
          <w:sz w:val="28"/>
          <w:szCs w:val="28"/>
        </w:rPr>
        <w:t xml:space="preserve"> 2024 года город Херсон продолжил сталкиваться с серьезными вызовами, что оказало негативное влияние на нашу клиентскую базу. Местные покупатели значительно сократили объемы закупок, что привело к заметному снижению объемов оптовых продаж в регионе.</w:t>
      </w:r>
    </w:p>
    <w:p w14:paraId="41F919B6" w14:textId="6910BED9" w:rsidR="00640544" w:rsidRPr="00EC78D0" w:rsidRDefault="00640544" w:rsidP="00640544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Тем не менее, наш сотрудник Сергей Горобец сообщает, что значительная часть новых клиентов в розничном сегменте — это представители Вооруженных сил и обычные клиенты, которые ранее сотрудничали с нашими оптовыми партнерами до начала военных действий, упоминая их названия. Эти клиенты теперь обращаются к нам напрямую, что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свиде</w:t>
      </w:r>
      <w:r w:rsidR="00EC78D0" w:rsidRPr="00EC78D0">
        <w:rPr>
          <w:rFonts w:asciiTheme="majorBidi" w:hAnsiTheme="majorBidi" w:cstheme="majorBidi"/>
          <w:sz w:val="28"/>
          <w:szCs w:val="28"/>
        </w:rPr>
        <w:t>ф</w:t>
      </w:r>
      <w:r w:rsidRPr="00EC78D0">
        <w:rPr>
          <w:rFonts w:asciiTheme="majorBidi" w:hAnsiTheme="majorBidi" w:cstheme="majorBidi"/>
          <w:sz w:val="28"/>
          <w:szCs w:val="28"/>
        </w:rPr>
        <w:t>тельствует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о высоком уровне доверия и лояльности к нашей компании.</w:t>
      </w:r>
    </w:p>
    <w:p w14:paraId="0C5C24B3" w14:textId="77777777" w:rsidR="00640544" w:rsidRPr="00EC78D0" w:rsidRDefault="00640544" w:rsidP="00640544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Сергей также отмечает, что многие компании и государственные учреждения обращаются к нам, так как не могут наладить контакт с предыдущими менеджерами компании. В этих случаях он активно работает с ними, обеспечивая покупки через нашу розничную сеть. Это не только способствует удержанию прибыли внутри филиала, но и укрепляет позиции компании в условиях нестабильности на рынке.</w:t>
      </w:r>
    </w:p>
    <w:p w14:paraId="45F8A8BD" w14:textId="77777777" w:rsidR="00640544" w:rsidRPr="00EC78D0" w:rsidRDefault="00640544" w:rsidP="00640544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В условиях продолжающихся вызовов в Херсоне, мы видим перспективы для роста только в розничном сегменте, что позволяет нам адаптировать стратегию под текущие реалии и обеспечивать стабильное функционирование.</w:t>
      </w:r>
    </w:p>
    <w:p w14:paraId="6F6E3FF6" w14:textId="50DC355B" w:rsidR="00640544" w:rsidRPr="00EC78D0" w:rsidRDefault="00640544" w:rsidP="00640544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Кроме того, важной частью работы остается освоение бюджетных средств. Мы продолжаем успешное сотрудничество с Главными Управлениями Национальной полиции Херсонской, Черновицкой и Николаевской областей, что позволяет нам эффективно развивать взаимодействие с государственными структурами и поддерживать высокий уровень стабильности в операционной деятельности.</w:t>
      </w:r>
    </w:p>
    <w:p w14:paraId="1DC846D3" w14:textId="1D3AD816" w:rsidR="00DC71A7" w:rsidRPr="00EC78D0" w:rsidRDefault="00B17E39" w:rsidP="00B17E39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</w:p>
    <w:p w14:paraId="38A4715B" w14:textId="77777777" w:rsidR="00AA0684" w:rsidRPr="00EC78D0" w:rsidRDefault="00AA0684" w:rsidP="003B34E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61FC9F3" w14:textId="77777777" w:rsidR="0031496B" w:rsidRPr="00EC78D0" w:rsidRDefault="0031496B" w:rsidP="003B34E4">
      <w:pPr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По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дебиторской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задолженности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работаем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исключительно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условиях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наличного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расчета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также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возможен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расчет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безналичному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расчету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случае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предварительного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согласования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условий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398643CD" w14:textId="77777777" w:rsidR="007463F9" w:rsidRPr="00EC78D0" w:rsidRDefault="007463F9" w:rsidP="007463F9">
      <w:pPr>
        <w:pStyle w:val="3"/>
        <w:rPr>
          <w:rFonts w:asciiTheme="majorBidi" w:hAnsiTheme="majorBidi"/>
          <w:sz w:val="28"/>
          <w:szCs w:val="28"/>
        </w:rPr>
      </w:pPr>
      <w:proofErr w:type="spellStart"/>
      <w:r w:rsidRPr="00EC78D0">
        <w:rPr>
          <w:rFonts w:asciiTheme="majorBidi" w:hAnsiTheme="majorBidi"/>
          <w:sz w:val="28"/>
          <w:szCs w:val="28"/>
        </w:rPr>
        <w:lastRenderedPageBreak/>
        <w:t>Анализ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/>
          <w:sz w:val="28"/>
          <w:szCs w:val="28"/>
        </w:rPr>
        <w:t>динамики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/>
          <w:sz w:val="28"/>
          <w:szCs w:val="28"/>
        </w:rPr>
        <w:t>просроченной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/>
          <w:sz w:val="28"/>
          <w:szCs w:val="28"/>
        </w:rPr>
        <w:t>задолженности</w:t>
      </w:r>
      <w:proofErr w:type="spellEnd"/>
    </w:p>
    <w:p w14:paraId="6EE3E02B" w14:textId="77777777" w:rsidR="007463F9" w:rsidRPr="00EC78D0" w:rsidRDefault="007463F9" w:rsidP="007463F9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В результате проведённой работы по управлению дебиторской задолженностью, наблюдаются следующие изменения в показателях между предыдущим и текущим периодами:</w:t>
      </w:r>
    </w:p>
    <w:tbl>
      <w:tblPr>
        <w:tblW w:w="9747" w:type="dxa"/>
        <w:tblInd w:w="108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680"/>
        <w:gridCol w:w="2427"/>
      </w:tblGrid>
      <w:tr w:rsidR="005644D5" w:rsidRPr="00EC78D0" w14:paraId="6F4ABB2D" w14:textId="77777777" w:rsidTr="005A1887">
        <w:trPr>
          <w:trHeight w:val="255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E7160" w14:textId="77777777" w:rsidR="005644D5" w:rsidRPr="00EC78D0" w:rsidRDefault="005644D5" w:rsidP="002460CF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Параметры: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049B8" w14:textId="77777777" w:rsidR="005644D5" w:rsidRPr="00EC78D0" w:rsidRDefault="005644D5" w:rsidP="002460CF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3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8C326" w14:textId="197D47BC" w:rsidR="005644D5" w:rsidRPr="00EC78D0" w:rsidRDefault="005644D5" w:rsidP="002460CF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="Calibri" w:eastAsia="Times New Roman" w:hAnsi="Calibri" w:cs="Calibri"/>
                <w:sz w:val="28"/>
                <w:szCs w:val="28"/>
                <w:lang w:val="ru-RU" w:eastAsia="zh-CN"/>
              </w:rPr>
              <w:t>﻿</w:t>
            </w: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Период: </w:t>
            </w:r>
            <w:r w:rsidR="005A1887"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3</w:t>
            </w:r>
            <w:r w:rsidR="007463F9"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1</w:t>
            </w:r>
            <w:r w:rsidR="005A1887"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.0</w:t>
            </w:r>
            <w:r w:rsidR="007463F9"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3</w:t>
            </w:r>
            <w:r w:rsidR="005A1887"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.2024 23:59:59</w:t>
            </w: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888F" w14:textId="77777777" w:rsidR="005644D5" w:rsidRPr="00EC78D0" w:rsidRDefault="005644D5" w:rsidP="002460CF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</w:tr>
      <w:tr w:rsidR="005644D5" w:rsidRPr="00EC78D0" w14:paraId="2354CCA2" w14:textId="77777777" w:rsidTr="005A1887">
        <w:trPr>
          <w:trHeight w:val="255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B9666" w14:textId="77777777" w:rsidR="005644D5" w:rsidRPr="00EC78D0" w:rsidRDefault="005644D5" w:rsidP="002460CF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Отбор: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59401" w14:textId="77777777" w:rsidR="005644D5" w:rsidRPr="00EC78D0" w:rsidRDefault="005644D5" w:rsidP="002460CF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61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BD91C" w14:textId="77777777" w:rsidR="005644D5" w:rsidRPr="00EC78D0" w:rsidRDefault="005644D5" w:rsidP="002460CF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Ответственный В группе из списка "Оптовый Отдел"</w:t>
            </w:r>
          </w:p>
        </w:tc>
      </w:tr>
      <w:tr w:rsidR="005644D5" w:rsidRPr="00EC78D0" w14:paraId="1DE4BFE7" w14:textId="77777777" w:rsidTr="005A1887">
        <w:trPr>
          <w:trHeight w:val="20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24F1" w14:textId="77777777" w:rsidR="005644D5" w:rsidRPr="00EC78D0" w:rsidRDefault="005644D5" w:rsidP="002460CF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ECF9" w14:textId="77777777" w:rsidR="005644D5" w:rsidRPr="00EC78D0" w:rsidRDefault="005644D5" w:rsidP="002460C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C181" w14:textId="77777777" w:rsidR="005644D5" w:rsidRPr="00EC78D0" w:rsidRDefault="005644D5" w:rsidP="002460C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62C7" w14:textId="77777777" w:rsidR="005644D5" w:rsidRPr="00EC78D0" w:rsidRDefault="005644D5" w:rsidP="002460C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793C" w14:textId="77777777" w:rsidR="005644D5" w:rsidRPr="00EC78D0" w:rsidRDefault="005644D5" w:rsidP="002460C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</w:tr>
      <w:tr w:rsidR="005644D5" w:rsidRPr="00EC78D0" w14:paraId="79A32A1B" w14:textId="77777777" w:rsidTr="005A1887">
        <w:trPr>
          <w:trHeight w:val="510"/>
        </w:trPr>
        <w:tc>
          <w:tcPr>
            <w:tcW w:w="1788" w:type="dxa"/>
            <w:tcBorders>
              <w:top w:val="single" w:sz="4" w:space="0" w:color="CCC085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6BA2B0DF" w14:textId="77777777" w:rsidR="005644D5" w:rsidRPr="00EC78D0" w:rsidRDefault="005644D5" w:rsidP="002460C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Проблемная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задолженность</w:t>
            </w:r>
            <w:proofErr w:type="spellEnd"/>
          </w:p>
        </w:tc>
        <w:tc>
          <w:tcPr>
            <w:tcW w:w="1788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5B683E71" w14:textId="77777777" w:rsidR="005644D5" w:rsidRPr="00EC78D0" w:rsidRDefault="005644D5" w:rsidP="002460C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Сомнительная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задолженность</w:t>
            </w:r>
            <w:proofErr w:type="spellEnd"/>
          </w:p>
        </w:tc>
        <w:tc>
          <w:tcPr>
            <w:tcW w:w="1788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49305063" w14:textId="77777777" w:rsidR="005644D5" w:rsidRPr="00EC78D0" w:rsidRDefault="005644D5" w:rsidP="002460C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Просроченная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задолженность</w:t>
            </w:r>
            <w:proofErr w:type="spellEnd"/>
          </w:p>
        </w:tc>
        <w:tc>
          <w:tcPr>
            <w:tcW w:w="179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5D88CFE9" w14:textId="77777777" w:rsidR="005644D5" w:rsidRPr="00EC78D0" w:rsidRDefault="005644D5" w:rsidP="002460C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Сумма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резерва</w:t>
            </w:r>
            <w:proofErr w:type="spellEnd"/>
          </w:p>
        </w:tc>
        <w:tc>
          <w:tcPr>
            <w:tcW w:w="2593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649D17B3" w14:textId="77777777" w:rsidR="005644D5" w:rsidRPr="00EC78D0" w:rsidRDefault="005644D5" w:rsidP="002460CF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Текущая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∆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резерва</w:t>
            </w:r>
            <w:proofErr w:type="spellEnd"/>
          </w:p>
        </w:tc>
      </w:tr>
      <w:tr w:rsidR="005A1887" w:rsidRPr="00EC78D0" w14:paraId="40250AE2" w14:textId="77777777" w:rsidTr="005A1887">
        <w:trPr>
          <w:trHeight w:val="360"/>
        </w:trPr>
        <w:tc>
          <w:tcPr>
            <w:tcW w:w="1788" w:type="dxa"/>
            <w:tcBorders>
              <w:top w:val="nil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03934639" w14:textId="4722F3DB" w:rsidR="005A1887" w:rsidRPr="00EC78D0" w:rsidRDefault="005A1887" w:rsidP="005A188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4 174,03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43F9A849" w14:textId="373AA13C" w:rsidR="005A1887" w:rsidRPr="00EC78D0" w:rsidRDefault="005A1887" w:rsidP="005A188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20 749,44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5BB9DF78" w14:textId="75651D10" w:rsidR="005A1887" w:rsidRPr="00EC78D0" w:rsidRDefault="005A1887" w:rsidP="005A188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24 923,47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04BEEE77" w14:textId="2F79540F" w:rsidR="005A1887" w:rsidRPr="00EC78D0" w:rsidRDefault="005A1887" w:rsidP="005A188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23 585,30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2BCF05FA" w14:textId="31CA9A7B" w:rsidR="005A1887" w:rsidRPr="00EC78D0" w:rsidRDefault="005A1887" w:rsidP="005A1887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-2 835,86</w:t>
            </w:r>
          </w:p>
        </w:tc>
      </w:tr>
    </w:tbl>
    <w:p w14:paraId="72A0A47D" w14:textId="1697ECED" w:rsidR="003C48C3" w:rsidRPr="00EC78D0" w:rsidRDefault="003C48C3" w:rsidP="003B34E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9740BC4" w14:textId="77777777" w:rsidR="007434F4" w:rsidRPr="00EC78D0" w:rsidRDefault="007434F4" w:rsidP="003B34E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163671F" w14:textId="79C95010" w:rsidR="007434F4" w:rsidRPr="00EC78D0" w:rsidRDefault="007434F4" w:rsidP="003B34E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4151561" w14:textId="77777777" w:rsidR="00D927D3" w:rsidRPr="00EC78D0" w:rsidRDefault="00D927D3" w:rsidP="00D927D3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Стало </w:t>
      </w:r>
    </w:p>
    <w:tbl>
      <w:tblPr>
        <w:tblW w:w="9747" w:type="dxa"/>
        <w:tblInd w:w="108" w:type="dxa"/>
        <w:tblLook w:val="04A0" w:firstRow="1" w:lastRow="0" w:firstColumn="1" w:lastColumn="0" w:noHBand="0" w:noVBand="1"/>
      </w:tblPr>
      <w:tblGrid>
        <w:gridCol w:w="1961"/>
        <w:gridCol w:w="1960"/>
        <w:gridCol w:w="1960"/>
        <w:gridCol w:w="1584"/>
        <w:gridCol w:w="2282"/>
      </w:tblGrid>
      <w:tr w:rsidR="00D927D3" w:rsidRPr="00EC78D0" w14:paraId="561069F1" w14:textId="77777777" w:rsidTr="007463F9">
        <w:trPr>
          <w:trHeight w:val="255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2DD5E" w14:textId="77777777" w:rsidR="00D927D3" w:rsidRPr="00EC78D0" w:rsidRDefault="00D927D3" w:rsidP="00B4645C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Параметры: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33C6F" w14:textId="77777777" w:rsidR="00D927D3" w:rsidRPr="00EC78D0" w:rsidRDefault="00D927D3" w:rsidP="00B4645C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3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24DA1" w14:textId="492F4B79" w:rsidR="00D927D3" w:rsidRPr="00EC78D0" w:rsidRDefault="00D927D3" w:rsidP="00B4645C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="Calibri" w:eastAsia="Times New Roman" w:hAnsi="Calibri" w:cs="Calibri"/>
                <w:sz w:val="28"/>
                <w:szCs w:val="28"/>
                <w:lang w:val="ru-RU" w:eastAsia="zh-CN"/>
              </w:rPr>
              <w:t>﻿</w:t>
            </w: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Период: 3</w:t>
            </w:r>
            <w:r w:rsidR="007463F9"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1</w:t>
            </w: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.0</w:t>
            </w:r>
            <w:r w:rsidR="007463F9"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3</w:t>
            </w: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.202</w:t>
            </w:r>
            <w:r w:rsidR="00CF274A"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5</w:t>
            </w: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 23:59:59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1B7D" w14:textId="77777777" w:rsidR="00D927D3" w:rsidRPr="00EC78D0" w:rsidRDefault="00D927D3" w:rsidP="00B4645C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</w:tr>
      <w:tr w:rsidR="00D927D3" w:rsidRPr="00EC78D0" w14:paraId="1BCBD6FE" w14:textId="77777777" w:rsidTr="007463F9">
        <w:trPr>
          <w:trHeight w:val="255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D3318" w14:textId="77777777" w:rsidR="00D927D3" w:rsidRPr="00EC78D0" w:rsidRDefault="00D927D3" w:rsidP="00B4645C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Отбор: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DF2D0" w14:textId="77777777" w:rsidR="00D927D3" w:rsidRPr="00EC78D0" w:rsidRDefault="00D927D3" w:rsidP="00B4645C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58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90042" w14:textId="77777777" w:rsidR="00D927D3" w:rsidRPr="00EC78D0" w:rsidRDefault="00D927D3" w:rsidP="00B4645C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Ответственный В группе из списка "Оптовый Отдел"</w:t>
            </w:r>
          </w:p>
        </w:tc>
      </w:tr>
      <w:tr w:rsidR="00D927D3" w:rsidRPr="00EC78D0" w14:paraId="70C278DD" w14:textId="77777777" w:rsidTr="007463F9">
        <w:trPr>
          <w:trHeight w:val="2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A137" w14:textId="77777777" w:rsidR="00D927D3" w:rsidRPr="00EC78D0" w:rsidRDefault="00D927D3" w:rsidP="00B4645C">
            <w:pPr>
              <w:spacing w:after="0" w:line="240" w:lineRule="auto"/>
              <w:outlineLvl w:val="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BE1C" w14:textId="77777777" w:rsidR="00D927D3" w:rsidRPr="00EC78D0" w:rsidRDefault="00D927D3" w:rsidP="00B4645C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E6DB" w14:textId="77777777" w:rsidR="00D927D3" w:rsidRPr="00EC78D0" w:rsidRDefault="00D927D3" w:rsidP="00B4645C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1941" w14:textId="77777777" w:rsidR="00D927D3" w:rsidRPr="00EC78D0" w:rsidRDefault="00D927D3" w:rsidP="00B4645C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A735" w14:textId="77777777" w:rsidR="00D927D3" w:rsidRPr="00EC78D0" w:rsidRDefault="00D927D3" w:rsidP="00B4645C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</w:p>
        </w:tc>
      </w:tr>
      <w:tr w:rsidR="00D927D3" w:rsidRPr="00EC78D0" w14:paraId="6B6F67C4" w14:textId="77777777" w:rsidTr="007463F9">
        <w:trPr>
          <w:trHeight w:val="510"/>
        </w:trPr>
        <w:tc>
          <w:tcPr>
            <w:tcW w:w="1931" w:type="dxa"/>
            <w:tcBorders>
              <w:top w:val="single" w:sz="4" w:space="0" w:color="CCC085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6FA3A39A" w14:textId="77777777" w:rsidR="00D927D3" w:rsidRPr="00EC78D0" w:rsidRDefault="00D927D3" w:rsidP="00B4645C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Проблемная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задолженность</w:t>
            </w:r>
            <w:proofErr w:type="spellEnd"/>
          </w:p>
        </w:tc>
        <w:tc>
          <w:tcPr>
            <w:tcW w:w="1931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73C84BBF" w14:textId="77777777" w:rsidR="00D927D3" w:rsidRPr="00EC78D0" w:rsidRDefault="00D927D3" w:rsidP="00B4645C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Сомнительная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задолженность</w:t>
            </w:r>
            <w:proofErr w:type="spellEnd"/>
          </w:p>
        </w:tc>
        <w:tc>
          <w:tcPr>
            <w:tcW w:w="1931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660EC184" w14:textId="77777777" w:rsidR="00D927D3" w:rsidRPr="00EC78D0" w:rsidRDefault="00D927D3" w:rsidP="00B4645C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Просроченная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задолженность</w:t>
            </w:r>
            <w:proofErr w:type="spellEnd"/>
          </w:p>
        </w:tc>
        <w:tc>
          <w:tcPr>
            <w:tcW w:w="1619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5F22CAC7" w14:textId="77777777" w:rsidR="00D927D3" w:rsidRPr="00EC78D0" w:rsidRDefault="00D927D3" w:rsidP="00B4645C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Сумма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резерва</w:t>
            </w:r>
            <w:proofErr w:type="spellEnd"/>
          </w:p>
        </w:tc>
        <w:tc>
          <w:tcPr>
            <w:tcW w:w="2335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hideMark/>
          </w:tcPr>
          <w:p w14:paraId="54CA2EBA" w14:textId="77777777" w:rsidR="00D927D3" w:rsidRPr="00EC78D0" w:rsidRDefault="00D927D3" w:rsidP="00B4645C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Текущая</w:t>
            </w:r>
            <w:proofErr w:type="spellEnd"/>
            <w:r w:rsidRPr="00EC78D0">
              <w:rPr>
                <w:rFonts w:asciiTheme="majorBidi" w:hAnsiTheme="majorBidi" w:cstheme="majorBidi"/>
                <w:sz w:val="28"/>
                <w:szCs w:val="28"/>
              </w:rPr>
              <w:t xml:space="preserve"> ∆ </w:t>
            </w:r>
            <w:proofErr w:type="spellStart"/>
            <w:r w:rsidRPr="00EC78D0">
              <w:rPr>
                <w:rFonts w:asciiTheme="majorBidi" w:hAnsiTheme="majorBidi" w:cstheme="majorBidi"/>
                <w:sz w:val="28"/>
                <w:szCs w:val="28"/>
              </w:rPr>
              <w:t>резерва</w:t>
            </w:r>
            <w:proofErr w:type="spellEnd"/>
          </w:p>
        </w:tc>
      </w:tr>
      <w:tr w:rsidR="00D927D3" w:rsidRPr="00EC78D0" w14:paraId="3785899E" w14:textId="77777777" w:rsidTr="007463F9">
        <w:trPr>
          <w:trHeight w:val="360"/>
        </w:trPr>
        <w:tc>
          <w:tcPr>
            <w:tcW w:w="1931" w:type="dxa"/>
            <w:tcBorders>
              <w:top w:val="nil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2BECAE02" w14:textId="598E4A78" w:rsidR="00D927D3" w:rsidRPr="00EC78D0" w:rsidRDefault="00D927D3" w:rsidP="00D927D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2 665,76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31DC5A78" w14:textId="1F1D4E69" w:rsidR="00D927D3" w:rsidRPr="00EC78D0" w:rsidRDefault="00D927D3" w:rsidP="00D927D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22 525,64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6D877BF7" w14:textId="6F127BDD" w:rsidR="00D927D3" w:rsidRPr="00EC78D0" w:rsidRDefault="00D927D3" w:rsidP="00D927D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25 191,40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01ABB2C9" w14:textId="6FC62743" w:rsidR="00D927D3" w:rsidRPr="00EC78D0" w:rsidRDefault="00D927D3" w:rsidP="00D927D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23 585,30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CCC085"/>
              <w:right w:val="single" w:sz="4" w:space="0" w:color="CCC085"/>
            </w:tcBorders>
            <w:shd w:val="clear" w:color="000000" w:fill="F4ECC5"/>
            <w:noWrap/>
            <w:hideMark/>
          </w:tcPr>
          <w:p w14:paraId="32F68CD5" w14:textId="02761D2E" w:rsidR="00D927D3" w:rsidRPr="00EC78D0" w:rsidRDefault="00D927D3" w:rsidP="00D927D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hAnsiTheme="majorBidi" w:cstheme="majorBidi"/>
                <w:sz w:val="28"/>
                <w:szCs w:val="28"/>
              </w:rPr>
              <w:t>-1 059,66</w:t>
            </w:r>
          </w:p>
        </w:tc>
      </w:tr>
    </w:tbl>
    <w:p w14:paraId="62666A58" w14:textId="77777777" w:rsidR="00CF274A" w:rsidRPr="00EC78D0" w:rsidRDefault="00CF274A" w:rsidP="007463F9">
      <w:pPr>
        <w:pStyle w:val="a9"/>
        <w:rPr>
          <w:rStyle w:val="ac"/>
          <w:rFonts w:asciiTheme="majorBidi" w:hAnsiTheme="majorBidi" w:cstheme="majorBidi"/>
          <w:sz w:val="28"/>
          <w:szCs w:val="28"/>
        </w:rPr>
      </w:pPr>
    </w:p>
    <w:p w14:paraId="4606F158" w14:textId="77777777" w:rsidR="00CF274A" w:rsidRPr="00EC78D0" w:rsidRDefault="00CF274A" w:rsidP="007463F9">
      <w:pPr>
        <w:pStyle w:val="a9"/>
        <w:rPr>
          <w:rStyle w:val="ac"/>
          <w:rFonts w:asciiTheme="majorBidi" w:hAnsiTheme="majorBidi" w:cstheme="majorBidi"/>
          <w:sz w:val="28"/>
          <w:szCs w:val="28"/>
        </w:rPr>
      </w:pPr>
    </w:p>
    <w:p w14:paraId="3CA7A5BE" w14:textId="77777777" w:rsidR="00CF274A" w:rsidRPr="00EC78D0" w:rsidRDefault="00CF274A" w:rsidP="007463F9">
      <w:pPr>
        <w:pStyle w:val="a9"/>
        <w:rPr>
          <w:rStyle w:val="ac"/>
          <w:rFonts w:asciiTheme="majorBidi" w:hAnsiTheme="majorBidi" w:cstheme="majorBidi"/>
          <w:sz w:val="28"/>
          <w:szCs w:val="28"/>
        </w:rPr>
      </w:pPr>
    </w:p>
    <w:p w14:paraId="17788D5F" w14:textId="77777777" w:rsidR="00CF274A" w:rsidRPr="00EC78D0" w:rsidRDefault="00CF274A" w:rsidP="007463F9">
      <w:pPr>
        <w:pStyle w:val="a9"/>
        <w:rPr>
          <w:rStyle w:val="ac"/>
          <w:rFonts w:asciiTheme="majorBidi" w:hAnsiTheme="majorBidi" w:cstheme="majorBidi"/>
          <w:sz w:val="28"/>
          <w:szCs w:val="28"/>
        </w:rPr>
      </w:pPr>
    </w:p>
    <w:p w14:paraId="61A538B6" w14:textId="068E2D9D" w:rsidR="007463F9" w:rsidRPr="00EC78D0" w:rsidRDefault="007463F9" w:rsidP="007463F9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Основные выводы:</w:t>
      </w:r>
    </w:p>
    <w:p w14:paraId="1A7D80BA" w14:textId="77777777" w:rsidR="007463F9" w:rsidRPr="00EC78D0" w:rsidRDefault="007463F9" w:rsidP="007463F9">
      <w:pPr>
        <w:pStyle w:val="a9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Проблемная задолженность</w:t>
      </w:r>
      <w:r w:rsidRPr="00EC78D0">
        <w:rPr>
          <w:rFonts w:asciiTheme="majorBidi" w:hAnsiTheme="majorBidi" w:cstheme="majorBidi"/>
          <w:sz w:val="28"/>
          <w:szCs w:val="28"/>
        </w:rPr>
        <w:t xml:space="preserve"> сократилась на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36%</w:t>
      </w:r>
      <w:r w:rsidRPr="00EC78D0">
        <w:rPr>
          <w:rFonts w:asciiTheme="majorBidi" w:hAnsiTheme="majorBidi" w:cstheme="majorBidi"/>
          <w:sz w:val="28"/>
          <w:szCs w:val="28"/>
        </w:rPr>
        <w:t xml:space="preserve"> — с 4 174,03 до 2 665,76. Это положительный результат, свидетельствующий о частичном погашении задолженностей либо переводе части сумм в более благоприятную категорию.</w:t>
      </w:r>
    </w:p>
    <w:p w14:paraId="5BC0148B" w14:textId="77777777" w:rsidR="007463F9" w:rsidRPr="00EC78D0" w:rsidRDefault="007463F9" w:rsidP="007463F9">
      <w:pPr>
        <w:pStyle w:val="a9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lastRenderedPageBreak/>
        <w:t>Сомнительная задолженность</w:t>
      </w:r>
      <w:r w:rsidRPr="00EC78D0">
        <w:rPr>
          <w:rFonts w:asciiTheme="majorBidi" w:hAnsiTheme="majorBidi" w:cstheme="majorBidi"/>
          <w:sz w:val="28"/>
          <w:szCs w:val="28"/>
        </w:rPr>
        <w:t xml:space="preserve"> увеличилась с 20 749,44 до 22 525,64. Рост может быть связан как с ухудшением платёжной дисциплины ряда клиентов, так и с изменением оценки риска по ряду контрактов.</w:t>
      </w:r>
    </w:p>
    <w:p w14:paraId="72E10271" w14:textId="77777777" w:rsidR="007463F9" w:rsidRPr="00EC78D0" w:rsidRDefault="007463F9" w:rsidP="007463F9">
      <w:pPr>
        <w:pStyle w:val="a9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Просроченная задолженность</w:t>
      </w:r>
      <w:r w:rsidRPr="00EC78D0">
        <w:rPr>
          <w:rFonts w:asciiTheme="majorBidi" w:hAnsiTheme="majorBidi" w:cstheme="majorBidi"/>
          <w:sz w:val="28"/>
          <w:szCs w:val="28"/>
        </w:rPr>
        <w:t xml:space="preserve"> выросла незначительно — с 24 923,47 до 25 191,40. Данный показатель остаётся на контролируемом уровне, без резких скачков.</w:t>
      </w:r>
    </w:p>
    <w:p w14:paraId="3D27A31C" w14:textId="77777777" w:rsidR="007463F9" w:rsidRPr="00EC78D0" w:rsidRDefault="007463F9" w:rsidP="007463F9">
      <w:pPr>
        <w:pStyle w:val="a9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Сумма резерва</w:t>
      </w:r>
      <w:r w:rsidRPr="00EC78D0">
        <w:rPr>
          <w:rFonts w:asciiTheme="majorBidi" w:hAnsiTheme="majorBidi" w:cstheme="majorBidi"/>
          <w:sz w:val="28"/>
          <w:szCs w:val="28"/>
        </w:rPr>
        <w:t xml:space="preserve"> на покрытие потерь по сомнительным долгам осталась неизменной — 23 585,30.</w:t>
      </w:r>
    </w:p>
    <w:p w14:paraId="34A93EF7" w14:textId="77777777" w:rsidR="007463F9" w:rsidRPr="00EC78D0" w:rsidRDefault="007463F9" w:rsidP="007463F9">
      <w:pPr>
        <w:pStyle w:val="a9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Текущее изменение резерва (∆)</w:t>
      </w:r>
      <w:r w:rsidRPr="00EC78D0">
        <w:rPr>
          <w:rFonts w:asciiTheme="majorBidi" w:hAnsiTheme="majorBidi" w:cstheme="majorBidi"/>
          <w:sz w:val="28"/>
          <w:szCs w:val="28"/>
        </w:rPr>
        <w:t xml:space="preserve"> улучшилось: отрицательное значение уменьшилось с -2 835,86 до -1 059,66. Это указывает на снижение потенциальных убытков компании от проблемной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дебиторки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5BE162BE" w14:textId="77777777" w:rsidR="007463F9" w:rsidRPr="00EC78D0" w:rsidRDefault="007463F9" w:rsidP="007463F9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Общий итог:</w:t>
      </w:r>
      <w:r w:rsidRPr="00EC78D0">
        <w:rPr>
          <w:rFonts w:asciiTheme="majorBidi" w:hAnsiTheme="majorBidi" w:cstheme="majorBidi"/>
          <w:sz w:val="28"/>
          <w:szCs w:val="28"/>
        </w:rPr>
        <w:t xml:space="preserve"> Работа по снижению проблемной задолженности приносит ощутимые результаты. Несмотря на незначительное увеличение общего уровня сомнительной задолженности, риски для компании остаются под контролем благодаря стабильному резервированию и активной работе с клиентами.</w:t>
      </w:r>
    </w:p>
    <w:p w14:paraId="641CC8F7" w14:textId="77777777" w:rsidR="007463F9" w:rsidRPr="00EC78D0" w:rsidRDefault="007463F9" w:rsidP="003B34E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96A8223" w14:textId="77777777" w:rsidR="006532EF" w:rsidRPr="00EC78D0" w:rsidRDefault="006532EF" w:rsidP="006532EF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Работа с клиентами по погашению дебиторской задолженности продолжается. В связи с ограничениями на передвижение по городу, связанными с последними сбросами с дронов, Сергей Горобец сосредоточился на дистанционном взаимодействии с должниками. Он активно проводит переговоры по телефону, пытаясь добиться погашения задолженности.</w:t>
      </w:r>
    </w:p>
    <w:p w14:paraId="760F2E96" w14:textId="77777777" w:rsidR="006532EF" w:rsidRPr="00EC78D0" w:rsidRDefault="006532EF" w:rsidP="006532EF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Ниже представлен список задолженностей, вероятность погашения которых составляет менее 10%. Также стоит отметить наличие негативных факторов, таких как отсутствие связи с некоторыми должниками или их пребывание за границей, с неизвестными сроками возвращения. Эти обстоятельства значительно снижают шансы на возврат задолженности.</w:t>
      </w:r>
    </w:p>
    <w:p w14:paraId="3F7B2156" w14:textId="77777777" w:rsidR="006532EF" w:rsidRPr="00EC78D0" w:rsidRDefault="006532EF" w:rsidP="006532EF">
      <w:pPr>
        <w:rPr>
          <w:rFonts w:asciiTheme="majorBidi" w:hAnsiTheme="majorBidi" w:cstheme="majorBidi"/>
          <w:sz w:val="28"/>
          <w:szCs w:val="28"/>
        </w:rPr>
      </w:pPr>
    </w:p>
    <w:tbl>
      <w:tblPr>
        <w:tblW w:w="8780" w:type="dxa"/>
        <w:tblInd w:w="113" w:type="dxa"/>
        <w:tblLook w:val="04A0" w:firstRow="1" w:lastRow="0" w:firstColumn="1" w:lastColumn="0" w:noHBand="0" w:noVBand="1"/>
      </w:tblPr>
      <w:tblGrid>
        <w:gridCol w:w="5980"/>
        <w:gridCol w:w="1400"/>
        <w:gridCol w:w="1400"/>
      </w:tblGrid>
      <w:tr w:rsidR="006532EF" w:rsidRPr="00EC78D0" w14:paraId="5B909785" w14:textId="77777777" w:rsidTr="00921836">
        <w:trPr>
          <w:trHeight w:val="225"/>
        </w:trPr>
        <w:tc>
          <w:tcPr>
            <w:tcW w:w="5980" w:type="dxa"/>
            <w:tcBorders>
              <w:top w:val="single" w:sz="4" w:space="0" w:color="CCC085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auto" w:fill="auto"/>
            <w:hideMark/>
          </w:tcPr>
          <w:p w14:paraId="71BAA8FF" w14:textId="77777777" w:rsidR="006532EF" w:rsidRPr="00EC78D0" w:rsidRDefault="006532EF" w:rsidP="00921836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Чп</w:t>
            </w:r>
            <w:proofErr w:type="spellEnd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Иванов</w:t>
            </w:r>
            <w:proofErr w:type="spellEnd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 xml:space="preserve"> (Іванова Надія Григорівна)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auto" w:fill="auto"/>
            <w:noWrap/>
            <w:hideMark/>
          </w:tcPr>
          <w:p w14:paraId="20F226CA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550,32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</w:tcPr>
          <w:p w14:paraId="04C6D972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Недозвон</w:t>
            </w:r>
            <w:proofErr w:type="spellEnd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</w:p>
        </w:tc>
      </w:tr>
      <w:tr w:rsidR="006532EF" w:rsidRPr="00EC78D0" w14:paraId="6C046F79" w14:textId="77777777" w:rsidTr="00921836">
        <w:trPr>
          <w:trHeight w:val="225"/>
        </w:trPr>
        <w:tc>
          <w:tcPr>
            <w:tcW w:w="5980" w:type="dxa"/>
            <w:tcBorders>
              <w:top w:val="single" w:sz="4" w:space="0" w:color="CCC085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auto" w:fill="auto"/>
            <w:hideMark/>
          </w:tcPr>
          <w:p w14:paraId="5511B07E" w14:textId="77777777" w:rsidR="006532EF" w:rsidRPr="00EC78D0" w:rsidRDefault="006532EF" w:rsidP="00921836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Лиманець</w:t>
            </w:r>
            <w:proofErr w:type="spellEnd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 xml:space="preserve"> Ігор Анатолійович .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auto" w:fill="auto"/>
            <w:noWrap/>
            <w:hideMark/>
          </w:tcPr>
          <w:p w14:paraId="22ACB02F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406,04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</w:tcPr>
          <w:p w14:paraId="55EFCFD1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Не берет трубку </w:t>
            </w:r>
          </w:p>
        </w:tc>
      </w:tr>
      <w:tr w:rsidR="006532EF" w:rsidRPr="00EC78D0" w14:paraId="60E8996D" w14:textId="77777777" w:rsidTr="00921836">
        <w:trPr>
          <w:trHeight w:val="225"/>
        </w:trPr>
        <w:tc>
          <w:tcPr>
            <w:tcW w:w="5980" w:type="dxa"/>
            <w:tcBorders>
              <w:top w:val="single" w:sz="4" w:space="0" w:color="CCC085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auto" w:fill="auto"/>
            <w:hideMark/>
          </w:tcPr>
          <w:p w14:paraId="01355A0A" w14:textId="77777777" w:rsidR="006532EF" w:rsidRPr="00EC78D0" w:rsidRDefault="006532EF" w:rsidP="00921836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 xml:space="preserve">ЧП </w:t>
            </w:r>
            <w:proofErr w:type="spellStart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Ник-Сервис</w:t>
            </w:r>
            <w:proofErr w:type="spellEnd"/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auto" w:fill="auto"/>
            <w:noWrap/>
            <w:hideMark/>
          </w:tcPr>
          <w:p w14:paraId="76CBE674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4 209,07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</w:tcPr>
          <w:p w14:paraId="0754F285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(тут </w:t>
            </w:r>
            <w:proofErr w:type="spellStart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понятно</w:t>
            </w:r>
            <w:proofErr w:type="spellEnd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)</w:t>
            </w:r>
          </w:p>
        </w:tc>
      </w:tr>
      <w:tr w:rsidR="006532EF" w:rsidRPr="00EC78D0" w14:paraId="6BA63995" w14:textId="77777777" w:rsidTr="00921836">
        <w:trPr>
          <w:trHeight w:val="225"/>
        </w:trPr>
        <w:tc>
          <w:tcPr>
            <w:tcW w:w="5980" w:type="dxa"/>
            <w:tcBorders>
              <w:top w:val="single" w:sz="4" w:space="0" w:color="CCC085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auto" w:fill="auto"/>
            <w:hideMark/>
          </w:tcPr>
          <w:p w14:paraId="5652E4E1" w14:textId="77777777" w:rsidR="006532EF" w:rsidRPr="00EC78D0" w:rsidRDefault="006532EF" w:rsidP="00921836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HiTec</w:t>
            </w:r>
            <w:proofErr w:type="spellEnd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 xml:space="preserve"> .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auto" w:fill="auto"/>
            <w:noWrap/>
            <w:hideMark/>
          </w:tcPr>
          <w:p w14:paraId="4523765C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444,32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</w:tcPr>
          <w:p w14:paraId="7C809377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У </w:t>
            </w:r>
            <w:proofErr w:type="spellStart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ехал</w:t>
            </w:r>
            <w:proofErr w:type="spellEnd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в </w:t>
            </w:r>
            <w:proofErr w:type="spellStart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Норвегий</w:t>
            </w:r>
            <w:proofErr w:type="spellEnd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вернеться </w:t>
            </w:r>
            <w:proofErr w:type="spellStart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отдаст</w:t>
            </w:r>
            <w:proofErr w:type="spellEnd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</w:p>
        </w:tc>
      </w:tr>
      <w:tr w:rsidR="006532EF" w:rsidRPr="00EC78D0" w14:paraId="086F1065" w14:textId="77777777" w:rsidTr="00921836">
        <w:trPr>
          <w:trHeight w:val="225"/>
        </w:trPr>
        <w:tc>
          <w:tcPr>
            <w:tcW w:w="5980" w:type="dxa"/>
            <w:tcBorders>
              <w:top w:val="single" w:sz="4" w:space="0" w:color="CCC085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auto" w:fill="auto"/>
            <w:hideMark/>
          </w:tcPr>
          <w:p w14:paraId="62FC04FC" w14:textId="77777777" w:rsidR="006532EF" w:rsidRPr="00EC78D0" w:rsidRDefault="006532EF" w:rsidP="00921836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Югспецснаб</w:t>
            </w:r>
            <w:proofErr w:type="spellEnd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 xml:space="preserve"> ПП "</w:t>
            </w:r>
            <w:proofErr w:type="spellStart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Вист</w:t>
            </w:r>
            <w:proofErr w:type="spellEnd"/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"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auto" w:fill="auto"/>
            <w:noWrap/>
            <w:hideMark/>
          </w:tcPr>
          <w:p w14:paraId="79581B20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2 126,37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</w:tcPr>
          <w:p w14:paraId="441583D3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Окупация</w:t>
            </w:r>
            <w:proofErr w:type="spellEnd"/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27D4A4E5" w14:textId="77777777" w:rsidR="006532EF" w:rsidRPr="00EC78D0" w:rsidRDefault="006532EF" w:rsidP="006532EF">
      <w:pPr>
        <w:rPr>
          <w:rFonts w:asciiTheme="majorBidi" w:hAnsiTheme="majorBidi" w:cstheme="majorBidi"/>
          <w:color w:val="1F3864" w:themeColor="accent5" w:themeShade="80"/>
          <w:sz w:val="28"/>
          <w:szCs w:val="28"/>
        </w:rPr>
      </w:pPr>
    </w:p>
    <w:p w14:paraId="23C6B37E" w14:textId="77777777" w:rsidR="006532EF" w:rsidRPr="00EC78D0" w:rsidRDefault="006532EF" w:rsidP="006532EF">
      <w:pPr>
        <w:rPr>
          <w:rFonts w:asciiTheme="majorBidi" w:hAnsiTheme="majorBidi" w:cstheme="majorBidi"/>
          <w:color w:val="1F3864" w:themeColor="accent5" w:themeShade="80"/>
          <w:sz w:val="28"/>
          <w:szCs w:val="28"/>
        </w:rPr>
      </w:pPr>
      <w:r w:rsidRPr="00EC78D0">
        <w:rPr>
          <w:rFonts w:asciiTheme="majorBidi" w:hAnsiTheme="majorBidi" w:cstheme="majorBidi"/>
          <w:color w:val="1F3864" w:themeColor="accent5" w:themeShade="80"/>
          <w:sz w:val="28"/>
          <w:szCs w:val="28"/>
        </w:rPr>
        <w:lastRenderedPageBreak/>
        <w:t xml:space="preserve">Тут я </w:t>
      </w:r>
      <w:proofErr w:type="spellStart"/>
      <w:r w:rsidRPr="00EC78D0">
        <w:rPr>
          <w:rFonts w:asciiTheme="majorBidi" w:hAnsiTheme="majorBidi" w:cstheme="majorBidi"/>
          <w:color w:val="1F3864" w:themeColor="accent5" w:themeShade="80"/>
          <w:sz w:val="28"/>
          <w:szCs w:val="28"/>
        </w:rPr>
        <w:t>вобше</w:t>
      </w:r>
      <w:proofErr w:type="spellEnd"/>
      <w:r w:rsidRPr="00EC78D0">
        <w:rPr>
          <w:rFonts w:asciiTheme="majorBidi" w:hAnsiTheme="majorBidi" w:cstheme="majorBidi"/>
          <w:color w:val="1F3864" w:themeColor="accent5" w:themeShade="80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color w:val="1F3864" w:themeColor="accent5" w:themeShade="80"/>
          <w:sz w:val="28"/>
          <w:szCs w:val="28"/>
        </w:rPr>
        <w:t>хз</w:t>
      </w:r>
      <w:proofErr w:type="spellEnd"/>
      <w:r w:rsidRPr="00EC78D0">
        <w:rPr>
          <w:rFonts w:asciiTheme="majorBidi" w:hAnsiTheme="majorBidi" w:cstheme="majorBidi"/>
          <w:color w:val="1F3864" w:themeColor="accent5" w:themeShade="80"/>
          <w:sz w:val="28"/>
          <w:szCs w:val="28"/>
        </w:rPr>
        <w:t xml:space="preserve"> </w:t>
      </w:r>
    </w:p>
    <w:tbl>
      <w:tblPr>
        <w:tblW w:w="8780" w:type="dxa"/>
        <w:tblInd w:w="113" w:type="dxa"/>
        <w:tblLook w:val="04A0" w:firstRow="1" w:lastRow="0" w:firstColumn="1" w:lastColumn="0" w:noHBand="0" w:noVBand="1"/>
      </w:tblPr>
      <w:tblGrid>
        <w:gridCol w:w="5980"/>
        <w:gridCol w:w="1400"/>
        <w:gridCol w:w="1400"/>
      </w:tblGrid>
      <w:tr w:rsidR="006532EF" w:rsidRPr="00EC78D0" w14:paraId="74B0ED67" w14:textId="77777777" w:rsidTr="00921836">
        <w:trPr>
          <w:trHeight w:val="225"/>
        </w:trPr>
        <w:tc>
          <w:tcPr>
            <w:tcW w:w="5980" w:type="dxa"/>
            <w:tcBorders>
              <w:top w:val="single" w:sz="4" w:space="0" w:color="CCC085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shd w:val="clear" w:color="auto" w:fill="auto"/>
            <w:hideMark/>
          </w:tcPr>
          <w:p w14:paraId="18E0BB7F" w14:textId="77777777" w:rsidR="006532EF" w:rsidRPr="00EC78D0" w:rsidRDefault="006532EF" w:rsidP="00921836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IT АУТСОРСИНГ и Комп .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  <w:shd w:val="clear" w:color="auto" w:fill="auto"/>
            <w:noWrap/>
            <w:hideMark/>
          </w:tcPr>
          <w:p w14:paraId="0085BEFF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</w:rPr>
              <w:t>7 807,82</w:t>
            </w:r>
          </w:p>
        </w:tc>
        <w:tc>
          <w:tcPr>
            <w:tcW w:w="1400" w:type="dxa"/>
            <w:tcBorders>
              <w:top w:val="single" w:sz="4" w:space="0" w:color="CCC085"/>
              <w:left w:val="nil"/>
              <w:bottom w:val="single" w:sz="4" w:space="0" w:color="CCC085"/>
              <w:right w:val="single" w:sz="4" w:space="0" w:color="CCC085"/>
            </w:tcBorders>
          </w:tcPr>
          <w:p w14:paraId="25FCF788" w14:textId="77777777" w:rsidR="006532EF" w:rsidRPr="00EC78D0" w:rsidRDefault="006532EF" w:rsidP="00921836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Тут солянка  </w:t>
            </w:r>
          </w:p>
        </w:tc>
      </w:tr>
    </w:tbl>
    <w:p w14:paraId="42907B52" w14:textId="77777777" w:rsidR="006532EF" w:rsidRPr="00EC78D0" w:rsidRDefault="006532EF" w:rsidP="006532EF">
      <w:pPr>
        <w:rPr>
          <w:rFonts w:asciiTheme="majorBidi" w:hAnsiTheme="majorBidi" w:cstheme="majorBidi"/>
          <w:sz w:val="28"/>
          <w:szCs w:val="28"/>
        </w:rPr>
      </w:pPr>
    </w:p>
    <w:p w14:paraId="4FA036D8" w14:textId="5EB2FD21" w:rsidR="00CD6F04" w:rsidRPr="00EC78D0" w:rsidRDefault="00CD6F04" w:rsidP="006532EF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E58B246" w14:textId="77777777" w:rsidR="00B0325F" w:rsidRPr="00EC78D0" w:rsidRDefault="00B0325F" w:rsidP="00B0325F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Позитивные результаты</w:t>
      </w:r>
    </w:p>
    <w:p w14:paraId="3BBBFECC" w14:textId="77777777" w:rsidR="00B0325F" w:rsidRPr="00EC78D0" w:rsidRDefault="00B0325F" w:rsidP="00B0325F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Одним из положительных моментов отчетного периода стало погашение задолженности нашим дилером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>Зебра</w:t>
      </w:r>
      <w:r w:rsidRPr="00EC78D0">
        <w:rPr>
          <w:rFonts w:asciiTheme="majorBidi" w:hAnsiTheme="majorBidi" w:cstheme="majorBidi"/>
          <w:sz w:val="28"/>
          <w:szCs w:val="28"/>
        </w:rPr>
        <w:t xml:space="preserve">. В результате этого, сумма долга была снижена на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18 000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грн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 за квартал</w:t>
      </w:r>
      <w:r w:rsidRPr="00EC78D0">
        <w:rPr>
          <w:rFonts w:asciiTheme="majorBidi" w:hAnsiTheme="majorBidi" w:cstheme="majorBidi"/>
          <w:sz w:val="28"/>
          <w:szCs w:val="28"/>
        </w:rPr>
        <w:t xml:space="preserve"> и на </w:t>
      </w:r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112 700 </w:t>
      </w:r>
      <w:proofErr w:type="spellStart"/>
      <w:r w:rsidRPr="00EC78D0">
        <w:rPr>
          <w:rStyle w:val="ac"/>
          <w:rFonts w:asciiTheme="majorBidi" w:hAnsiTheme="majorBidi" w:cstheme="majorBidi"/>
          <w:sz w:val="28"/>
          <w:szCs w:val="28"/>
        </w:rPr>
        <w:t>грн</w:t>
      </w:r>
      <w:proofErr w:type="spellEnd"/>
      <w:r w:rsidRPr="00EC78D0">
        <w:rPr>
          <w:rStyle w:val="ac"/>
          <w:rFonts w:asciiTheme="majorBidi" w:hAnsiTheme="majorBidi" w:cstheme="majorBidi"/>
          <w:sz w:val="28"/>
          <w:szCs w:val="28"/>
        </w:rPr>
        <w:t xml:space="preserve"> за год</w:t>
      </w:r>
      <w:r w:rsidRPr="00EC78D0">
        <w:rPr>
          <w:rFonts w:asciiTheme="majorBidi" w:hAnsiTheme="majorBidi" w:cstheme="majorBidi"/>
          <w:sz w:val="28"/>
          <w:szCs w:val="28"/>
        </w:rPr>
        <w:t>, что значительно улучшило финансовое состояние компании и укрепило партнерские отношения.</w:t>
      </w:r>
    </w:p>
    <w:p w14:paraId="11B1E503" w14:textId="113FDC0F" w:rsidR="00D46BAE" w:rsidRPr="00EC78D0" w:rsidRDefault="00B0325F" w:rsidP="00D46BAE">
      <w:pPr>
        <w:pStyle w:val="4"/>
        <w:rPr>
          <w:rFonts w:asciiTheme="majorBidi" w:hAnsiTheme="majorBidi" w:cstheme="majorBidi"/>
          <w:b w:val="0"/>
          <w:bCs w:val="0"/>
          <w:sz w:val="28"/>
          <w:szCs w:val="28"/>
        </w:rPr>
      </w:pPr>
      <w:r w:rsidRPr="00EC78D0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В </w:t>
      </w:r>
      <w:proofErr w:type="gramStart"/>
      <w:r w:rsidRPr="00EC78D0">
        <w:rPr>
          <w:rFonts w:asciiTheme="majorBidi" w:hAnsiTheme="majorBidi" w:cstheme="majorBidi"/>
          <w:b w:val="0"/>
          <w:bCs w:val="0"/>
          <w:sz w:val="28"/>
          <w:szCs w:val="28"/>
        </w:rPr>
        <w:t>четвертом  квартале</w:t>
      </w:r>
      <w:proofErr w:type="gramEnd"/>
      <w:r w:rsidRPr="00EC78D0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2024 года наш отдел активно сосредоточился на расширении клиентской базы в Южном регионе Украины, охватывая не только Николаев и Николаевскую область, но и Херсонскую область. В ходе целенаправленных усилий, включая стратегические мероприятия по привлечению, установлению партнерских отношений и повышению узнаваемости бренда, нам удалось существенно расширить географию нашего присутствия и привлечь значительное количество новых </w:t>
      </w:r>
      <w:proofErr w:type="spellStart"/>
      <w:proofErr w:type="gramStart"/>
      <w:r w:rsidRPr="00EC78D0">
        <w:rPr>
          <w:rFonts w:asciiTheme="majorBidi" w:hAnsiTheme="majorBidi" w:cstheme="majorBidi"/>
          <w:b w:val="0"/>
          <w:bCs w:val="0"/>
          <w:sz w:val="28"/>
          <w:szCs w:val="28"/>
        </w:rPr>
        <w:t>клиентов.</w:t>
      </w:r>
      <w:r w:rsidR="00D46BAE" w:rsidRPr="00EC78D0">
        <w:rPr>
          <w:rFonts w:asciiTheme="majorBidi" w:hAnsiTheme="majorBidi" w:cstheme="majorBidi"/>
          <w:b w:val="0"/>
          <w:bCs w:val="0"/>
          <w:sz w:val="28"/>
          <w:szCs w:val="28"/>
        </w:rPr>
        <w:t>Методы</w:t>
      </w:r>
      <w:proofErr w:type="spellEnd"/>
      <w:proofErr w:type="gramEnd"/>
      <w:r w:rsidR="00D46BAE" w:rsidRPr="00EC78D0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привлечения клиентов</w:t>
      </w:r>
    </w:p>
    <w:p w14:paraId="70AB5504" w14:textId="77777777" w:rsidR="00D46BAE" w:rsidRPr="00EC78D0" w:rsidRDefault="00D46BAE" w:rsidP="00D46BAE">
      <w:pPr>
        <w:pStyle w:val="a9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Все новые клиенты были найдены благодаря:</w:t>
      </w:r>
    </w:p>
    <w:p w14:paraId="77E96BBE" w14:textId="77777777" w:rsidR="00D46BAE" w:rsidRPr="00EC78D0" w:rsidRDefault="00D46BAE" w:rsidP="00D46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Поиску</w:t>
      </w:r>
      <w:proofErr w:type="spellEnd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 xml:space="preserve"> в </w:t>
      </w: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интернете</w:t>
      </w:r>
      <w:proofErr w:type="spellEnd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 xml:space="preserve"> и </w:t>
      </w: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социальных</w:t>
      </w:r>
      <w:proofErr w:type="spellEnd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сетях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Мы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активно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использовали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онлайн-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ресурсы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поиска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потенциальных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50D74A70" w14:textId="77777777" w:rsidR="00D46BAE" w:rsidRPr="00EC78D0" w:rsidRDefault="00D46BAE" w:rsidP="00D46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Обзвон</w:t>
      </w:r>
      <w:proofErr w:type="spellEnd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 xml:space="preserve"> и </w:t>
      </w: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переманивание</w:t>
      </w:r>
      <w:proofErr w:type="spellEnd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 xml:space="preserve"> от </w:t>
      </w: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конкурентов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: Наша команда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успешно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привлекала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от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конкурентов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таких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как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Микротрон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Софт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Ком,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Техно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Мир.</w:t>
      </w:r>
    </w:p>
    <w:p w14:paraId="6E4F929C" w14:textId="77777777" w:rsidR="00D46BAE" w:rsidRPr="00EC78D0" w:rsidRDefault="00D46BAE" w:rsidP="00D46B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Уход</w:t>
      </w:r>
      <w:proofErr w:type="spellEnd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конкурентов</w:t>
      </w:r>
      <w:proofErr w:type="spellEnd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 xml:space="preserve"> с </w:t>
      </w:r>
      <w:proofErr w:type="spellStart"/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рынка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Некоторые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клиенты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обратились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к нам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после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ухода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конкурентов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рынка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60DE0A49" w14:textId="77777777" w:rsidR="00DD5302" w:rsidRPr="00EC78D0" w:rsidRDefault="00DD5302" w:rsidP="00DD5302">
      <w:pPr>
        <w:pStyle w:val="a9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b w:val="0"/>
          <w:bCs w:val="0"/>
          <w:sz w:val="28"/>
          <w:szCs w:val="28"/>
        </w:rPr>
        <w:t>Интеграция новых клиентов</w:t>
      </w:r>
    </w:p>
    <w:p w14:paraId="413D8E27" w14:textId="77777777" w:rsidR="00DD5302" w:rsidRPr="00EC78D0" w:rsidRDefault="00DD5302" w:rsidP="00DD5302">
      <w:pPr>
        <w:pStyle w:val="a9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Большинство новых клиентов уже подключены к нашему порталу и активно используют его возможности, что приносит хорошие результаты и стабильные обороты. Для того чтобы поддерживать высокий уровень продаж и продолжать развивать отношения с клиентами, я решил передать часть этих клиентов Сергею Горобцу. Это позволит обеспечить более эффективное сопровождение и более персонализированный подход, что положительно скажется на их вовлеченности и активности.</w:t>
      </w:r>
    </w:p>
    <w:p w14:paraId="71833CC4" w14:textId="77777777" w:rsidR="00DD5302" w:rsidRPr="00EC78D0" w:rsidRDefault="00DD5302" w:rsidP="00DD5302">
      <w:pPr>
        <w:pStyle w:val="a9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Передача клиентов Сергею Горобцу поможет оперативно решать вопросы и предоставлять дополнительные предложения, что стимулирует рост продаж и увеличивает лояльность клиентов к нашей платформе. Это также позволит более эффективно выявлять и реализовывать дополнительные возможности для продаж</w:t>
      </w:r>
    </w:p>
    <w:p w14:paraId="7583A456" w14:textId="77777777" w:rsidR="00B0325F" w:rsidRPr="00EC78D0" w:rsidRDefault="00B0325F" w:rsidP="00B0325F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lastRenderedPageBreak/>
        <w:t>А7053</w:t>
      </w:r>
      <w:r w:rsidRPr="00EC78D0">
        <w:rPr>
          <w:rFonts w:asciiTheme="majorBidi" w:hAnsiTheme="majorBidi" w:cstheme="majorBidi"/>
          <w:sz w:val="28"/>
          <w:szCs w:val="28"/>
          <w:lang w:val="ru-RU"/>
        </w:rPr>
        <w:tab/>
        <w:t xml:space="preserve">Дмитренко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Сергій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proofErr w:type="gramStart"/>
      <w:r w:rsidRPr="00EC78D0">
        <w:rPr>
          <w:rFonts w:asciiTheme="majorBidi" w:hAnsiTheme="majorBidi" w:cstheme="majorBidi"/>
          <w:sz w:val="28"/>
          <w:szCs w:val="28"/>
          <w:lang w:val="ru-RU"/>
        </w:rPr>
        <w:t>Олександрович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.</w:t>
      </w:r>
      <w:proofErr w:type="gramEnd"/>
    </w:p>
    <w:p w14:paraId="56446E27" w14:textId="77777777" w:rsidR="00B0325F" w:rsidRPr="00EC78D0" w:rsidRDefault="00B0325F" w:rsidP="00B0325F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>ФОП Бабай О В</w:t>
      </w:r>
      <w:r w:rsidRPr="00EC78D0">
        <w:rPr>
          <w:rFonts w:asciiTheme="majorBidi" w:hAnsiTheme="majorBidi" w:cstheme="majorBidi"/>
          <w:sz w:val="28"/>
          <w:szCs w:val="28"/>
          <w:lang w:val="ru-RU"/>
        </w:rPr>
        <w:tab/>
        <w:t xml:space="preserve">Бабай Олександр </w:t>
      </w:r>
      <w:proofErr w:type="gramStart"/>
      <w:r w:rsidRPr="00EC78D0">
        <w:rPr>
          <w:rFonts w:asciiTheme="majorBidi" w:hAnsiTheme="majorBidi" w:cstheme="majorBidi"/>
          <w:sz w:val="28"/>
          <w:szCs w:val="28"/>
          <w:lang w:val="ru-RU"/>
        </w:rPr>
        <w:t>Вячеславович .</w:t>
      </w:r>
      <w:proofErr w:type="gramEnd"/>
    </w:p>
    <w:p w14:paraId="1A42B233" w14:textId="77777777" w:rsidR="00B0325F" w:rsidRPr="00EC78D0" w:rsidRDefault="00B0325F" w:rsidP="00B0325F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ФОП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Крікунов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ab/>
      </w:r>
      <w:proofErr w:type="gramStart"/>
      <w:r w:rsidRPr="00EC78D0">
        <w:rPr>
          <w:rFonts w:asciiTheme="majorBidi" w:hAnsiTheme="majorBidi" w:cstheme="majorBidi"/>
          <w:sz w:val="28"/>
          <w:szCs w:val="28"/>
          <w:lang w:val="ru-RU"/>
        </w:rPr>
        <w:t>Андрей .</w:t>
      </w:r>
      <w:proofErr w:type="gramEnd"/>
    </w:p>
    <w:p w14:paraId="0BBB14D0" w14:textId="77777777" w:rsidR="00B0325F" w:rsidRPr="00EC78D0" w:rsidRDefault="00B0325F" w:rsidP="00B0325F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Агро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Капітал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Юг</w:t>
      </w:r>
      <w:r w:rsidRPr="00EC78D0">
        <w:rPr>
          <w:rFonts w:asciiTheme="majorBidi" w:hAnsiTheme="majorBidi" w:cstheme="majorBidi"/>
          <w:sz w:val="28"/>
          <w:szCs w:val="28"/>
          <w:lang w:val="ru-RU"/>
        </w:rPr>
        <w:tab/>
        <w:t xml:space="preserve">ТОВ "Агро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Капітал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Юг."</w:t>
      </w:r>
    </w:p>
    <w:p w14:paraId="231A3194" w14:textId="77777777" w:rsidR="00B0325F" w:rsidRPr="00EC78D0" w:rsidRDefault="00B0325F" w:rsidP="00B0325F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ФОП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Кісельов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Д.Л.</w:t>
      </w:r>
      <w:r w:rsidRPr="00EC78D0">
        <w:rPr>
          <w:rFonts w:asciiTheme="majorBidi" w:hAnsiTheme="majorBidi" w:cstheme="majorBidi"/>
          <w:sz w:val="28"/>
          <w:szCs w:val="28"/>
          <w:lang w:val="ru-RU"/>
        </w:rPr>
        <w:tab/>
        <w:t xml:space="preserve">ФОП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Кісельов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Дмитро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Леонідович</w:t>
      </w:r>
      <w:proofErr w:type="spellEnd"/>
    </w:p>
    <w:p w14:paraId="3EECAF37" w14:textId="77777777" w:rsidR="00B0325F" w:rsidRPr="00EC78D0" w:rsidRDefault="00B0325F" w:rsidP="00B0325F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>ARB Development (ФОП Баюнов)</w:t>
      </w:r>
      <w:r w:rsidRPr="00EC78D0">
        <w:rPr>
          <w:rFonts w:asciiTheme="majorBidi" w:hAnsiTheme="majorBidi" w:cstheme="majorBidi"/>
          <w:sz w:val="28"/>
          <w:szCs w:val="28"/>
          <w:lang w:val="ru-RU"/>
        </w:rPr>
        <w:tab/>
        <w:t xml:space="preserve">Баюнов Артем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Олександрович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+380 (63) 767-89-99.</w:t>
      </w:r>
    </w:p>
    <w:p w14:paraId="190AB084" w14:textId="77777777" w:rsidR="00B0325F" w:rsidRPr="00EC78D0" w:rsidRDefault="00B0325F" w:rsidP="00B0325F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>ФІЗИЧНА ОСОБА - ПІДПРИЄМЕЦЬ НЕВИНСЬКА АЛІСА АНДРІЇВНА</w:t>
      </w:r>
      <w:r w:rsidRPr="00EC78D0">
        <w:rPr>
          <w:rFonts w:asciiTheme="majorBidi" w:hAnsiTheme="majorBidi" w:cstheme="majorBidi"/>
          <w:sz w:val="28"/>
          <w:szCs w:val="28"/>
          <w:lang w:val="ru-RU"/>
        </w:rPr>
        <w:tab/>
        <w:t xml:space="preserve">ФОП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Невинська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Аліса</w:t>
      </w:r>
      <w:proofErr w:type="spellEnd"/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  <w:lang w:val="ru-RU"/>
        </w:rPr>
        <w:t>Андріївна</w:t>
      </w:r>
      <w:proofErr w:type="spellEnd"/>
    </w:p>
    <w:p w14:paraId="264B39CB" w14:textId="4A228222" w:rsidR="003C48C3" w:rsidRPr="00EC78D0" w:rsidRDefault="00B0325F" w:rsidP="00B0325F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>ТОВ "БАВОВНА МІЛТЕК"</w:t>
      </w:r>
      <w:r w:rsidRPr="00EC78D0">
        <w:rPr>
          <w:rFonts w:asciiTheme="majorBidi" w:hAnsiTheme="majorBidi" w:cstheme="majorBidi"/>
          <w:sz w:val="28"/>
          <w:szCs w:val="28"/>
          <w:lang w:val="ru-RU"/>
        </w:rPr>
        <w:tab/>
        <w:t>ТОВ "БАВОВНА МІЛТЕК"</w:t>
      </w:r>
    </w:p>
    <w:p w14:paraId="04BA3B23" w14:textId="334F9CDE" w:rsidR="003C48C3" w:rsidRPr="00EC78D0" w:rsidRDefault="00B0325F" w:rsidP="00D46BAE">
      <w:pPr>
        <w:rPr>
          <w:rFonts w:asciiTheme="majorBidi" w:hAnsiTheme="majorBidi" w:cstheme="majorBidi"/>
          <w:sz w:val="28"/>
          <w:szCs w:val="28"/>
          <w:lang w:val="ru-RU"/>
        </w:rPr>
      </w:pPr>
      <w:r w:rsidRPr="00EC78D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</w:p>
    <w:p w14:paraId="0101B583" w14:textId="77777777" w:rsidR="008D5075" w:rsidRPr="00EC78D0" w:rsidRDefault="008D5075" w:rsidP="008D5075">
      <w:pPr>
        <w:pStyle w:val="3"/>
        <w:rPr>
          <w:rFonts w:asciiTheme="majorBidi" w:hAnsiTheme="majorBidi"/>
          <w:sz w:val="28"/>
          <w:szCs w:val="28"/>
        </w:rPr>
      </w:pPr>
      <w:proofErr w:type="spellStart"/>
      <w:r w:rsidRPr="00EC78D0">
        <w:rPr>
          <w:rFonts w:asciiTheme="majorBidi" w:hAnsiTheme="majorBidi"/>
          <w:sz w:val="28"/>
          <w:szCs w:val="28"/>
        </w:rPr>
        <w:t>Анализ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роста продаж и </w:t>
      </w:r>
      <w:proofErr w:type="spellStart"/>
      <w:r w:rsidRPr="00EC78D0">
        <w:rPr>
          <w:rFonts w:asciiTheme="majorBidi" w:hAnsiTheme="majorBidi"/>
          <w:sz w:val="28"/>
          <w:szCs w:val="28"/>
        </w:rPr>
        <w:t>динамики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/>
          <w:sz w:val="28"/>
          <w:szCs w:val="28"/>
        </w:rPr>
        <w:t>клиентской</w:t>
      </w:r>
      <w:proofErr w:type="spellEnd"/>
      <w:r w:rsidRPr="00EC78D0">
        <w:rPr>
          <w:rFonts w:asciiTheme="majorBidi" w:hAnsi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/>
          <w:sz w:val="28"/>
          <w:szCs w:val="28"/>
        </w:rPr>
        <w:t>базы</w:t>
      </w:r>
      <w:proofErr w:type="spellEnd"/>
    </w:p>
    <w:p w14:paraId="318FA0CC" w14:textId="77777777" w:rsidR="00FB7498" w:rsidRPr="00EC78D0" w:rsidRDefault="00FB7498" w:rsidP="00FB7498">
      <w:pPr>
        <w:spacing w:before="100" w:beforeAutospacing="1" w:after="100" w:afterAutospacing="1"/>
        <w:outlineLvl w:val="2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Анализ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E188607" w14:textId="77777777" w:rsidR="00FB7498" w:rsidRPr="00EC78D0" w:rsidRDefault="00FB7498" w:rsidP="00FB7498">
      <w:pPr>
        <w:numPr>
          <w:ilvl w:val="0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Диапазон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 xml:space="preserve"> 1 </w:t>
      </w: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 xml:space="preserve"> – 3 </w:t>
      </w: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DDAA52B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2023 году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было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42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этом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диапазоне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07FF2862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2024 году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количество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снизилось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до 34.</w:t>
      </w:r>
    </w:p>
    <w:p w14:paraId="62BCEF32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Изменение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уменьшение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8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может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свидетельствовать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сокращении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более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мелких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сделок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потере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этом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сегменте.</w:t>
      </w:r>
    </w:p>
    <w:p w14:paraId="053148D4" w14:textId="77777777" w:rsidR="00FB7498" w:rsidRPr="00EC78D0" w:rsidRDefault="00FB7498" w:rsidP="00FB7498">
      <w:pPr>
        <w:numPr>
          <w:ilvl w:val="0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Диапазон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 xml:space="preserve"> 3 </w:t>
      </w: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 xml:space="preserve"> – 5 </w:t>
      </w: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EC3A390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2023 году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было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14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4266AE25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2024 году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количество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снизилось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до 12.</w:t>
      </w:r>
    </w:p>
    <w:p w14:paraId="78338B51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Изменение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уменьшение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2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Снижение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также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наблюдается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но 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меньшем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объеме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по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сравнению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с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диапазоном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1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– 3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6C74A65F" w14:textId="77777777" w:rsidR="00FB7498" w:rsidRPr="00EC78D0" w:rsidRDefault="00FB7498" w:rsidP="00FB7498">
      <w:pPr>
        <w:numPr>
          <w:ilvl w:val="0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Диапазон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 xml:space="preserve"> 5 </w:t>
      </w: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 xml:space="preserve"> – 10 </w:t>
      </w: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21F85C5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2023 году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было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19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1E5BA8C4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2024 году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их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количество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увеличилось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до 20.</w:t>
      </w:r>
    </w:p>
    <w:p w14:paraId="3D6624A5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Изменение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увеличение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1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Это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может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указывать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увеличение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среднего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чека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или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рост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числа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крупных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сделок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1298A5AF" w14:textId="77777777" w:rsidR="00FB7498" w:rsidRPr="00EC78D0" w:rsidRDefault="00FB7498" w:rsidP="00FB7498">
      <w:pPr>
        <w:numPr>
          <w:ilvl w:val="0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Диапазон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 xml:space="preserve"> 10 </w:t>
      </w: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 xml:space="preserve"> и </w:t>
      </w: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выше</w:t>
      </w:r>
      <w:proofErr w:type="spellEnd"/>
      <w:r w:rsidRPr="00EC78D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518F8F4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2023 году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было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18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2A135BF8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В 2024 году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количество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снизилось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до 14.</w:t>
      </w:r>
    </w:p>
    <w:p w14:paraId="43BBFCD4" w14:textId="77777777" w:rsidR="00FB7498" w:rsidRPr="00EC78D0" w:rsidRDefault="00FB7498" w:rsidP="00FB7498">
      <w:pPr>
        <w:numPr>
          <w:ilvl w:val="1"/>
          <w:numId w:val="11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proofErr w:type="spellStart"/>
      <w:r w:rsidRPr="00EC78D0">
        <w:rPr>
          <w:rFonts w:asciiTheme="majorBidi" w:hAnsiTheme="majorBidi" w:cstheme="majorBidi"/>
          <w:b/>
          <w:bCs/>
          <w:sz w:val="28"/>
          <w:szCs w:val="28"/>
        </w:rPr>
        <w:t>Изменение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уменьшение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4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Несмотря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снижение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этой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категории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она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остается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стабильной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возможно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, за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счет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удержания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крупных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клиентов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>.</w:t>
      </w:r>
    </w:p>
    <w:p w14:paraId="1DDF32A6" w14:textId="77777777" w:rsidR="00FB7498" w:rsidRPr="00EC78D0" w:rsidRDefault="00FB7498" w:rsidP="00FB7498">
      <w:pPr>
        <w:pStyle w:val="a9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Style w:val="ac"/>
          <w:rFonts w:asciiTheme="majorBidi" w:hAnsiTheme="majorBidi" w:cstheme="majorBidi"/>
          <w:sz w:val="28"/>
          <w:szCs w:val="28"/>
        </w:rPr>
        <w:t>Общие выводы:</w:t>
      </w:r>
    </w:p>
    <w:p w14:paraId="16A6D7C9" w14:textId="77777777" w:rsidR="00FB7498" w:rsidRPr="00EC78D0" w:rsidRDefault="00FB7498" w:rsidP="00FB7498">
      <w:pPr>
        <w:pStyle w:val="a9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lastRenderedPageBreak/>
        <w:t xml:space="preserve">• Общее количество клиентов в диапазонах до 5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снизилось в 2024 году, что может свидетельствовать о сокращении числа мелких сделок.</w:t>
      </w:r>
    </w:p>
    <w:p w14:paraId="19B0E674" w14:textId="77777777" w:rsidR="00FB7498" w:rsidRPr="00EC78D0" w:rsidRDefault="00FB7498" w:rsidP="00FB7498">
      <w:pPr>
        <w:pStyle w:val="a9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• В категории 5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– 10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наблюдается небольшой рост, что может говорить о тенденции к увеличению более крупных сделок.</w:t>
      </w:r>
    </w:p>
    <w:p w14:paraId="3285BEF7" w14:textId="77777777" w:rsidR="00FB7498" w:rsidRPr="00EC78D0" w:rsidRDefault="00FB7498" w:rsidP="00FB7498">
      <w:pPr>
        <w:pStyle w:val="a9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• Снижение числа крупных клиентов в сегменте 10 </w:t>
      </w:r>
      <w:proofErr w:type="spellStart"/>
      <w:r w:rsidRPr="00EC78D0">
        <w:rPr>
          <w:rFonts w:asciiTheme="majorBidi" w:hAnsiTheme="majorBidi" w:cstheme="majorBidi"/>
          <w:sz w:val="28"/>
          <w:szCs w:val="28"/>
        </w:rPr>
        <w:t>тыс</w:t>
      </w:r>
      <w:proofErr w:type="spellEnd"/>
      <w:r w:rsidRPr="00EC78D0">
        <w:rPr>
          <w:rFonts w:asciiTheme="majorBidi" w:hAnsiTheme="majorBidi" w:cstheme="majorBidi"/>
          <w:sz w:val="28"/>
          <w:szCs w:val="28"/>
        </w:rPr>
        <w:t xml:space="preserve"> и выше может быть связано с экономической нестабильностью и логистическими проблемами, вызванными военными действиями в Херсоне. Это приводит к снижению платежеспособности клиентов и их уходу в более безопасные регионы.</w:t>
      </w:r>
    </w:p>
    <w:p w14:paraId="4FFBE6DE" w14:textId="77777777" w:rsidR="00FB7498" w:rsidRPr="00EC78D0" w:rsidRDefault="00FB7498" w:rsidP="00FB7498">
      <w:pPr>
        <w:pStyle w:val="a9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>Эти показатели демонстрируют положительную динамику в среднем сегменте оборота и подтверждают устойчивость компании в работе с крупными клиентами.</w:t>
      </w:r>
    </w:p>
    <w:p w14:paraId="0DD4A406" w14:textId="77777777" w:rsidR="00FB7498" w:rsidRPr="00EC78D0" w:rsidRDefault="00FB7498" w:rsidP="00FB7498">
      <w:pPr>
        <w:rPr>
          <w:rFonts w:asciiTheme="majorBidi" w:hAnsiTheme="majorBidi" w:cstheme="majorBidi"/>
          <w:b/>
          <w:sz w:val="28"/>
          <w:szCs w:val="28"/>
        </w:rPr>
      </w:pPr>
    </w:p>
    <w:tbl>
      <w:tblPr>
        <w:tblpPr w:leftFromText="180" w:rightFromText="180" w:vertAnchor="text" w:tblpX="439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5"/>
        <w:gridCol w:w="2445"/>
        <w:gridCol w:w="2250"/>
        <w:gridCol w:w="2010"/>
      </w:tblGrid>
      <w:tr w:rsidR="00FB7498" w:rsidRPr="00EC78D0" w14:paraId="5EBDE84C" w14:textId="77777777" w:rsidTr="00921836">
        <w:trPr>
          <w:trHeight w:val="1080"/>
        </w:trPr>
        <w:tc>
          <w:tcPr>
            <w:tcW w:w="4260" w:type="dxa"/>
            <w:gridSpan w:val="2"/>
          </w:tcPr>
          <w:p w14:paraId="31A537B2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14:paraId="2A568660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 xml:space="preserve">4 </w:t>
            </w: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квартал 20</w:t>
            </w:r>
            <w:r w:rsidRPr="00EC78D0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>2</w:t>
            </w: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3</w:t>
            </w:r>
          </w:p>
        </w:tc>
        <w:tc>
          <w:tcPr>
            <w:tcW w:w="4260" w:type="dxa"/>
            <w:gridSpan w:val="2"/>
          </w:tcPr>
          <w:p w14:paraId="546DDB21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14:paraId="157C5B0E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</w:t>
            </w:r>
            <w:r w:rsidRPr="00EC78D0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 xml:space="preserve">4 </w:t>
            </w: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квартал 202</w:t>
            </w:r>
            <w:r w:rsidRPr="00EC78D0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>4</w:t>
            </w:r>
          </w:p>
        </w:tc>
      </w:tr>
      <w:tr w:rsidR="00FB7498" w:rsidRPr="00EC78D0" w14:paraId="6026677C" w14:textId="77777777" w:rsidTr="00921836">
        <w:trPr>
          <w:trHeight w:val="555"/>
        </w:trPr>
        <w:tc>
          <w:tcPr>
            <w:tcW w:w="1815" w:type="dxa"/>
          </w:tcPr>
          <w:p w14:paraId="36859F00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Сумма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за квартал </w:t>
            </w:r>
          </w:p>
        </w:tc>
        <w:tc>
          <w:tcPr>
            <w:tcW w:w="2445" w:type="dxa"/>
          </w:tcPr>
          <w:p w14:paraId="3F319259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Кол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клиентов</w:t>
            </w:r>
            <w:proofErr w:type="spellEnd"/>
          </w:p>
        </w:tc>
        <w:tc>
          <w:tcPr>
            <w:tcW w:w="2250" w:type="dxa"/>
          </w:tcPr>
          <w:p w14:paraId="6BC847E1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Сумма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за квартал </w:t>
            </w:r>
          </w:p>
        </w:tc>
        <w:tc>
          <w:tcPr>
            <w:tcW w:w="2010" w:type="dxa"/>
          </w:tcPr>
          <w:p w14:paraId="7D7A83FC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Кол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клиентов</w:t>
            </w:r>
            <w:proofErr w:type="spellEnd"/>
          </w:p>
        </w:tc>
      </w:tr>
      <w:tr w:rsidR="00FB7498" w:rsidRPr="00EC78D0" w14:paraId="148C3E39" w14:textId="77777777" w:rsidTr="00921836">
        <w:trPr>
          <w:trHeight w:val="645"/>
        </w:trPr>
        <w:tc>
          <w:tcPr>
            <w:tcW w:w="1815" w:type="dxa"/>
          </w:tcPr>
          <w:p w14:paraId="3C5CF383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1тыс -3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45" w:type="dxa"/>
          </w:tcPr>
          <w:p w14:paraId="54F6BEE8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 xml:space="preserve"> </w:t>
            </w: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42</w:t>
            </w:r>
          </w:p>
        </w:tc>
        <w:tc>
          <w:tcPr>
            <w:tcW w:w="2250" w:type="dxa"/>
          </w:tcPr>
          <w:p w14:paraId="1906ADB7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1тыс -3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10" w:type="dxa"/>
          </w:tcPr>
          <w:p w14:paraId="3042FA62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 xml:space="preserve"> </w:t>
            </w: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34</w:t>
            </w:r>
          </w:p>
        </w:tc>
      </w:tr>
      <w:tr w:rsidR="00FB7498" w:rsidRPr="00EC78D0" w14:paraId="0277AB1C" w14:textId="77777777" w:rsidTr="00921836">
        <w:trPr>
          <w:trHeight w:val="660"/>
        </w:trPr>
        <w:tc>
          <w:tcPr>
            <w:tcW w:w="1815" w:type="dxa"/>
          </w:tcPr>
          <w:p w14:paraId="633BC228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3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– 5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45" w:type="dxa"/>
          </w:tcPr>
          <w:p w14:paraId="0694743E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14</w:t>
            </w:r>
          </w:p>
        </w:tc>
        <w:tc>
          <w:tcPr>
            <w:tcW w:w="2250" w:type="dxa"/>
          </w:tcPr>
          <w:p w14:paraId="083C1DBB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3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– 5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10" w:type="dxa"/>
          </w:tcPr>
          <w:p w14:paraId="054D530C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12</w:t>
            </w:r>
          </w:p>
        </w:tc>
      </w:tr>
      <w:tr w:rsidR="00FB7498" w:rsidRPr="00EC78D0" w14:paraId="1D50733A" w14:textId="77777777" w:rsidTr="00921836">
        <w:trPr>
          <w:trHeight w:val="1095"/>
        </w:trPr>
        <w:tc>
          <w:tcPr>
            <w:tcW w:w="1815" w:type="dxa"/>
          </w:tcPr>
          <w:p w14:paraId="43EC0A0B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5 </w:t>
            </w:r>
            <w:proofErr w:type="spellStart"/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– 10 </w:t>
            </w:r>
            <w:proofErr w:type="spellStart"/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445" w:type="dxa"/>
          </w:tcPr>
          <w:p w14:paraId="514A1CAB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19</w:t>
            </w:r>
          </w:p>
        </w:tc>
        <w:tc>
          <w:tcPr>
            <w:tcW w:w="2250" w:type="dxa"/>
          </w:tcPr>
          <w:p w14:paraId="233AA058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5 </w:t>
            </w:r>
            <w:proofErr w:type="spellStart"/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– 10 </w:t>
            </w:r>
            <w:proofErr w:type="spellStart"/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010" w:type="dxa"/>
          </w:tcPr>
          <w:p w14:paraId="1B2609BE" w14:textId="77777777" w:rsidR="00FB7498" w:rsidRPr="00EC78D0" w:rsidRDefault="00FB7498" w:rsidP="00921836">
            <w:pPr>
              <w:tabs>
                <w:tab w:val="center" w:pos="897"/>
              </w:tabs>
              <w:rPr>
                <w:rFonts w:asciiTheme="majorBidi" w:hAnsiTheme="majorBidi" w:cstheme="majorBidi"/>
                <w:b/>
                <w:color w:val="FF0000"/>
                <w:sz w:val="28"/>
                <w:szCs w:val="28"/>
                <w:lang w:val="en-US"/>
              </w:rPr>
            </w:pPr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  <w:lang w:val="en-US"/>
              </w:rPr>
              <w:t xml:space="preserve"> </w:t>
            </w:r>
            <w:r w:rsidRPr="00EC78D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20</w:t>
            </w:r>
          </w:p>
        </w:tc>
      </w:tr>
      <w:tr w:rsidR="00FB7498" w:rsidRPr="00EC78D0" w14:paraId="3A5F0B5A" w14:textId="77777777" w:rsidTr="00921836">
        <w:trPr>
          <w:trHeight w:val="1080"/>
        </w:trPr>
        <w:tc>
          <w:tcPr>
            <w:tcW w:w="1815" w:type="dxa"/>
          </w:tcPr>
          <w:p w14:paraId="32612A33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10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и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выше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45" w:type="dxa"/>
          </w:tcPr>
          <w:p w14:paraId="549CADDC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18</w:t>
            </w:r>
          </w:p>
        </w:tc>
        <w:tc>
          <w:tcPr>
            <w:tcW w:w="2250" w:type="dxa"/>
          </w:tcPr>
          <w:p w14:paraId="19C6A7C4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10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тыс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и </w:t>
            </w:r>
            <w:proofErr w:type="spellStart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выше</w:t>
            </w:r>
            <w:proofErr w:type="spellEnd"/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10" w:type="dxa"/>
          </w:tcPr>
          <w:p w14:paraId="751ED1AF" w14:textId="77777777" w:rsidR="00FB7498" w:rsidRPr="00EC78D0" w:rsidRDefault="00FB7498" w:rsidP="0092183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EC78D0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 xml:space="preserve"> 1</w:t>
            </w:r>
            <w:r w:rsidRPr="00EC78D0">
              <w:rPr>
                <w:rFonts w:asciiTheme="majorBidi" w:hAnsiTheme="majorBidi" w:cstheme="majorBidi"/>
                <w:b/>
                <w:sz w:val="28"/>
                <w:szCs w:val="28"/>
              </w:rPr>
              <w:t>4</w:t>
            </w:r>
          </w:p>
        </w:tc>
      </w:tr>
    </w:tbl>
    <w:p w14:paraId="6B43615F" w14:textId="77777777" w:rsidR="00FB7498" w:rsidRPr="00EC78D0" w:rsidRDefault="00FB7498" w:rsidP="00FB7498">
      <w:pPr>
        <w:rPr>
          <w:rFonts w:asciiTheme="majorBidi" w:hAnsiTheme="majorBidi" w:cstheme="majorBidi"/>
          <w:b/>
          <w:sz w:val="28"/>
          <w:szCs w:val="28"/>
        </w:rPr>
      </w:pPr>
    </w:p>
    <w:p w14:paraId="12FB6603" w14:textId="77777777" w:rsidR="00FB7498" w:rsidRPr="00EC78D0" w:rsidRDefault="00FB7498" w:rsidP="00FB7498">
      <w:pPr>
        <w:rPr>
          <w:rFonts w:asciiTheme="majorBidi" w:hAnsiTheme="majorBidi" w:cstheme="majorBidi"/>
          <w:b/>
          <w:sz w:val="28"/>
          <w:szCs w:val="28"/>
        </w:rPr>
      </w:pPr>
      <w:r w:rsidRPr="00EC78D0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5185352A" w14:textId="77777777" w:rsidR="00FB7498" w:rsidRPr="00EC78D0" w:rsidRDefault="00FB7498" w:rsidP="00FB7498">
      <w:pPr>
        <w:rPr>
          <w:rFonts w:asciiTheme="majorBidi" w:hAnsiTheme="majorBidi" w:cstheme="majorBidi"/>
          <w:b/>
          <w:sz w:val="28"/>
          <w:szCs w:val="28"/>
        </w:rPr>
      </w:pPr>
      <w:r w:rsidRPr="00EC78D0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7E556F4F" w14:textId="77777777" w:rsidR="00FB7498" w:rsidRPr="00EC78D0" w:rsidRDefault="00FB7498" w:rsidP="00FB7498">
      <w:pPr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2E9C2ED9" w14:textId="77777777" w:rsidR="00FB7498" w:rsidRPr="00EC78D0" w:rsidRDefault="00FB7498" w:rsidP="00FB7498">
      <w:pPr>
        <w:rPr>
          <w:rFonts w:asciiTheme="majorBidi" w:hAnsiTheme="majorBidi" w:cstheme="majorBidi"/>
          <w:sz w:val="28"/>
          <w:szCs w:val="28"/>
        </w:rPr>
      </w:pPr>
    </w:p>
    <w:p w14:paraId="38BE0C21" w14:textId="77777777" w:rsidR="00FB7498" w:rsidRPr="00EC78D0" w:rsidRDefault="00FB7498" w:rsidP="00FB7498">
      <w:pPr>
        <w:rPr>
          <w:rFonts w:asciiTheme="majorBidi" w:hAnsiTheme="majorBidi" w:cstheme="majorBidi"/>
          <w:sz w:val="28"/>
          <w:szCs w:val="28"/>
        </w:rPr>
      </w:pPr>
      <w:r w:rsidRPr="00EC78D0">
        <w:rPr>
          <w:rFonts w:asciiTheme="majorBidi" w:hAnsiTheme="majorBidi" w:cstheme="majorBidi"/>
          <w:sz w:val="28"/>
          <w:szCs w:val="28"/>
        </w:rPr>
        <w:t xml:space="preserve"> </w:t>
      </w:r>
    </w:p>
    <w:p w14:paraId="6DE42AE6" w14:textId="77777777" w:rsidR="00FB7498" w:rsidRPr="00EC78D0" w:rsidRDefault="00FB7498" w:rsidP="00FB7498">
      <w:pPr>
        <w:rPr>
          <w:rFonts w:asciiTheme="majorBidi" w:hAnsiTheme="majorBidi" w:cstheme="majorBidi"/>
          <w:sz w:val="28"/>
          <w:szCs w:val="28"/>
        </w:rPr>
      </w:pPr>
    </w:p>
    <w:p w14:paraId="654E9C62" w14:textId="77777777" w:rsidR="00FB7498" w:rsidRPr="00EC78D0" w:rsidRDefault="00FB7498" w:rsidP="00FB7498">
      <w:pPr>
        <w:rPr>
          <w:rFonts w:asciiTheme="majorBidi" w:hAnsiTheme="majorBidi" w:cstheme="majorBidi"/>
          <w:sz w:val="28"/>
          <w:szCs w:val="28"/>
        </w:rPr>
      </w:pPr>
    </w:p>
    <w:p w14:paraId="13D24BEC" w14:textId="77777777" w:rsidR="00FB7498" w:rsidRPr="00EC78D0" w:rsidRDefault="00FB7498" w:rsidP="00FB7498">
      <w:pPr>
        <w:rPr>
          <w:rFonts w:asciiTheme="majorBidi" w:hAnsiTheme="majorBidi" w:cstheme="majorBidi"/>
          <w:sz w:val="28"/>
          <w:szCs w:val="28"/>
        </w:rPr>
      </w:pPr>
    </w:p>
    <w:p w14:paraId="05B75AEE" w14:textId="77777777" w:rsidR="00FB7498" w:rsidRPr="00EC78D0" w:rsidRDefault="00FB7498" w:rsidP="00FB7498">
      <w:pPr>
        <w:rPr>
          <w:rFonts w:asciiTheme="majorBidi" w:hAnsiTheme="majorBidi" w:cstheme="majorBidi"/>
          <w:sz w:val="28"/>
          <w:szCs w:val="28"/>
        </w:rPr>
      </w:pPr>
    </w:p>
    <w:p w14:paraId="662806CB" w14:textId="77777777" w:rsidR="00FB7498" w:rsidRPr="00EC78D0" w:rsidRDefault="00FB7498" w:rsidP="00FB7498">
      <w:pPr>
        <w:rPr>
          <w:rFonts w:asciiTheme="majorBidi" w:hAnsiTheme="majorBidi" w:cstheme="majorBidi"/>
          <w:sz w:val="28"/>
          <w:szCs w:val="28"/>
        </w:rPr>
      </w:pPr>
    </w:p>
    <w:p w14:paraId="127EE3CA" w14:textId="77777777" w:rsidR="00FB7498" w:rsidRPr="00EC78D0" w:rsidRDefault="00FB7498" w:rsidP="00FB7498">
      <w:pPr>
        <w:rPr>
          <w:rFonts w:asciiTheme="majorBidi" w:hAnsiTheme="majorBidi" w:cstheme="majorBidi"/>
          <w:sz w:val="28"/>
          <w:szCs w:val="28"/>
        </w:rPr>
      </w:pPr>
    </w:p>
    <w:p w14:paraId="3BA3CED0" w14:textId="785E97F6" w:rsidR="007434F4" w:rsidRPr="00EC78D0" w:rsidRDefault="007434F4" w:rsidP="00383496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37EDC8A2" w14:textId="0FFF31D0" w:rsidR="00D10555" w:rsidRPr="00EC78D0" w:rsidRDefault="008D5075" w:rsidP="008D5075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EC78D0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val="ru-RU" w:eastAsia="zh-CN"/>
        </w:rPr>
        <w:t>Бонусы</w:t>
      </w:r>
    </w:p>
    <w:p w14:paraId="33E7E5BB" w14:textId="77777777" w:rsidR="008D5075" w:rsidRPr="00EC78D0" w:rsidRDefault="008D5075" w:rsidP="008D50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28"/>
          <w:szCs w:val="28"/>
          <w:lang w:val="ru-RU" w:eastAsia="zh-CN"/>
        </w:rPr>
      </w:pPr>
      <w:r w:rsidRPr="00EC78D0">
        <w:rPr>
          <w:rFonts w:asciiTheme="majorBidi" w:eastAsia="Times New Roman" w:hAnsiTheme="majorBidi" w:cstheme="majorBidi"/>
          <w:color w:val="222222"/>
          <w:sz w:val="28"/>
          <w:szCs w:val="28"/>
          <w:lang w:val="ru-RU" w:eastAsia="zh-CN"/>
        </w:rPr>
        <w:t>По результатам квартала большинство партнёров показали стабильные и положительные результаты. Некоторые из них продемонстрировали особенно высокие обороты, особенно в "мёртвые" месяцы.</w:t>
      </w:r>
    </w:p>
    <w:p w14:paraId="62650F33" w14:textId="77777777" w:rsidR="008D5075" w:rsidRPr="00EC78D0" w:rsidRDefault="008D5075" w:rsidP="008D50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28"/>
          <w:szCs w:val="28"/>
          <w:lang w:val="ru-RU" w:eastAsia="zh-CN"/>
        </w:rPr>
      </w:pPr>
      <w:r w:rsidRPr="00EC78D0">
        <w:rPr>
          <w:rFonts w:asciiTheme="majorBidi" w:eastAsia="Times New Roman" w:hAnsiTheme="majorBidi" w:cstheme="majorBidi"/>
          <w:color w:val="222222"/>
          <w:sz w:val="28"/>
          <w:szCs w:val="28"/>
          <w:lang w:val="ru-RU" w:eastAsia="zh-CN"/>
        </w:rPr>
        <w:t>Таблица с детальным расчётом бонусов прилагается. </w:t>
      </w:r>
    </w:p>
    <w:p w14:paraId="5A04F051" w14:textId="77777777" w:rsidR="008D5075" w:rsidRPr="00EC78D0" w:rsidRDefault="008D5075" w:rsidP="008D50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22222"/>
          <w:sz w:val="28"/>
          <w:szCs w:val="28"/>
          <w:lang w:val="ru-RU" w:eastAsia="zh-CN"/>
        </w:rPr>
      </w:pPr>
      <w:r w:rsidRPr="00EC78D0">
        <w:rPr>
          <w:rFonts w:asciiTheme="majorBidi" w:eastAsia="Times New Roman" w:hAnsiTheme="majorBidi" w:cstheme="majorBidi"/>
          <w:color w:val="222222"/>
          <w:sz w:val="28"/>
          <w:szCs w:val="28"/>
          <w:lang w:val="ru-RU" w:eastAsia="zh-CN"/>
        </w:rPr>
        <w:t>Сроки начисления уже наступили, и дилеры начали обращаться с вопросами о начислениях.</w:t>
      </w:r>
    </w:p>
    <w:p w14:paraId="1F24FF9A" w14:textId="4C26C13E" w:rsidR="008D5075" w:rsidRPr="00EC78D0" w:rsidRDefault="008D5075" w:rsidP="008D507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8"/>
          <w:szCs w:val="28"/>
          <w:lang w:val="ru-RU" w:eastAsia="zh-CN"/>
        </w:rPr>
      </w:pPr>
      <w:r w:rsidRPr="00EC78D0">
        <w:rPr>
          <w:rFonts w:asciiTheme="majorBidi" w:eastAsia="Times New Roman" w:hAnsiTheme="majorBidi" w:cstheme="majorBidi"/>
          <w:color w:val="222222"/>
          <w:sz w:val="28"/>
          <w:szCs w:val="28"/>
          <w:lang w:val="ru-RU" w:eastAsia="zh-CN"/>
        </w:rPr>
        <w:t xml:space="preserve">Бонусы были </w:t>
      </w:r>
      <w:proofErr w:type="gramStart"/>
      <w:r w:rsidRPr="00EC78D0">
        <w:rPr>
          <w:rFonts w:asciiTheme="majorBidi" w:eastAsia="Times New Roman" w:hAnsiTheme="majorBidi" w:cstheme="majorBidi"/>
          <w:color w:val="222222"/>
          <w:sz w:val="28"/>
          <w:szCs w:val="28"/>
          <w:lang w:val="ru-RU" w:eastAsia="zh-CN"/>
        </w:rPr>
        <w:t>начислены .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8D5075" w:rsidRPr="00EC78D0" w14:paraId="64F88731" w14:textId="77777777" w:rsidTr="00921836">
        <w:tc>
          <w:tcPr>
            <w:tcW w:w="3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E6746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lastRenderedPageBreak/>
              <w:t>Клиенты</w:t>
            </w:r>
          </w:p>
        </w:tc>
        <w:tc>
          <w:tcPr>
            <w:tcW w:w="32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C856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Оборот в уе</w:t>
            </w:r>
          </w:p>
        </w:tc>
        <w:tc>
          <w:tcPr>
            <w:tcW w:w="32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E7844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Начисление</w:t>
            </w:r>
          </w:p>
        </w:tc>
      </w:tr>
      <w:tr w:rsidR="008D5075" w:rsidRPr="00EC78D0" w14:paraId="7A97FEB4" w14:textId="77777777" w:rsidTr="00921836">
        <w:tc>
          <w:tcPr>
            <w:tcW w:w="3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74F60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ХМУУМВС </w:t>
            </w:r>
            <w:proofErr w:type="spell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Украіни</w:t>
            </w:r>
            <w:proofErr w:type="spellEnd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 в </w:t>
            </w:r>
            <w:proofErr w:type="spell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Херсонській</w:t>
            </w:r>
            <w:proofErr w:type="spellEnd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 </w:t>
            </w:r>
            <w:proofErr w:type="spell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області</w:t>
            </w:r>
            <w:proofErr w:type="spellEnd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 +380 (552) 33-44-71.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CD0EA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9 778,04</w:t>
            </w:r>
          </w:p>
          <w:p w14:paraId="56C7A64E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DD92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100(?) чисто символически </w:t>
            </w:r>
          </w:p>
        </w:tc>
      </w:tr>
      <w:tr w:rsidR="008D5075" w:rsidRPr="00EC78D0" w14:paraId="429B0FF7" w14:textId="77777777" w:rsidTr="00921836">
        <w:tc>
          <w:tcPr>
            <w:tcW w:w="3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34956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КТК-</w:t>
            </w:r>
            <w:proofErr w:type="spell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Вознесенськ</w:t>
            </w:r>
            <w:proofErr w:type="spellEnd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 +380 (99) 725-64-60.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2B27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43600</w:t>
            </w:r>
          </w:p>
          <w:p w14:paraId="591158E0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B5DD3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175</w:t>
            </w:r>
          </w:p>
        </w:tc>
      </w:tr>
      <w:tr w:rsidR="008D5075" w:rsidRPr="00EC78D0" w14:paraId="1CC95D80" w14:textId="77777777" w:rsidTr="00921836">
        <w:tc>
          <w:tcPr>
            <w:tcW w:w="3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045EE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Бокша</w:t>
            </w:r>
            <w:proofErr w:type="spellEnd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 </w:t>
            </w:r>
            <w:proofErr w:type="spell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Віктор</w:t>
            </w:r>
            <w:proofErr w:type="spellEnd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 </w:t>
            </w:r>
            <w:proofErr w:type="spell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Олександрович</w:t>
            </w:r>
            <w:proofErr w:type="spellEnd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 xml:space="preserve"> +380 (67) 512-30-79.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9513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24 115,89</w:t>
            </w:r>
          </w:p>
          <w:p w14:paraId="4D2EDD08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261A9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130</w:t>
            </w:r>
          </w:p>
        </w:tc>
      </w:tr>
      <w:tr w:rsidR="008D5075" w:rsidRPr="00EC78D0" w14:paraId="38FD5A7F" w14:textId="77777777" w:rsidTr="00921836">
        <w:tc>
          <w:tcPr>
            <w:tcW w:w="3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4A774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ТОВ "КОМП'ЮТЕР ДЕПО</w:t>
            </w:r>
            <w:proofErr w:type="gram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" .</w:t>
            </w:r>
            <w:proofErr w:type="gramEnd"/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8F092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8 636,18</w:t>
            </w:r>
          </w:p>
          <w:p w14:paraId="6FE1EC60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608D3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53</w:t>
            </w:r>
          </w:p>
        </w:tc>
      </w:tr>
      <w:tr w:rsidR="008D5075" w:rsidRPr="00EC78D0" w14:paraId="2679E924" w14:textId="77777777" w:rsidTr="00921836">
        <w:tc>
          <w:tcPr>
            <w:tcW w:w="3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59DCA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proofErr w:type="spell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Техносвiт</w:t>
            </w:r>
            <w:proofErr w:type="spellEnd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" Барна +380 (5167) 215-24.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3E8D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10 526,25</w:t>
            </w:r>
          </w:p>
          <w:p w14:paraId="4E837DD7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F7A0C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65</w:t>
            </w:r>
          </w:p>
        </w:tc>
      </w:tr>
      <w:tr w:rsidR="008D5075" w:rsidRPr="00EC78D0" w14:paraId="5BEBA806" w14:textId="77777777" w:rsidTr="00921836">
        <w:tc>
          <w:tcPr>
            <w:tcW w:w="3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C832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ТОВ "</w:t>
            </w:r>
            <w:proofErr w:type="spellStart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Сантарекс</w:t>
            </w:r>
            <w:proofErr w:type="spellEnd"/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"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9EFE5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8900</w:t>
            </w:r>
          </w:p>
          <w:p w14:paraId="3F94F3D7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B5C2A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 85</w:t>
            </w:r>
          </w:p>
        </w:tc>
      </w:tr>
      <w:tr w:rsidR="008D5075" w:rsidRPr="00EC78D0" w14:paraId="6A15ED0B" w14:textId="77777777" w:rsidTr="00921836">
        <w:tc>
          <w:tcPr>
            <w:tcW w:w="3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9D62D" w14:textId="77777777" w:rsidR="008D5075" w:rsidRPr="00EC78D0" w:rsidRDefault="008D5075" w:rsidP="00921836">
            <w:pPr>
              <w:spacing w:after="0" w:line="240" w:lineRule="auto"/>
              <w:ind w:firstLine="320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ФОП АНТОНЕНКО МАРИНА МИКОЛАЇВНА +380 (66) 472-24-16.</w:t>
            </w:r>
          </w:p>
          <w:p w14:paraId="7ABA810B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57735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14 723,79</w:t>
            </w:r>
          </w:p>
          <w:p w14:paraId="66EB21F7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2E848" w14:textId="77777777" w:rsidR="008D5075" w:rsidRPr="00EC78D0" w:rsidRDefault="008D5075" w:rsidP="00921836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</w:pPr>
            <w:r w:rsidRPr="00EC78D0">
              <w:rPr>
                <w:rFonts w:asciiTheme="majorBidi" w:eastAsia="Times New Roman" w:hAnsiTheme="majorBidi" w:cstheme="majorBidi"/>
                <w:sz w:val="28"/>
                <w:szCs w:val="28"/>
                <w:lang w:val="ru-RU" w:eastAsia="zh-CN"/>
              </w:rPr>
              <w:t>102</w:t>
            </w:r>
          </w:p>
        </w:tc>
      </w:tr>
    </w:tbl>
    <w:p w14:paraId="0D516C80" w14:textId="078824F5" w:rsidR="002F2EB6" w:rsidRDefault="002F2EB6" w:rsidP="008D5075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B638BFA" w14:textId="1E897BEF" w:rsidR="00557E79" w:rsidRPr="00557E79" w:rsidRDefault="00557E79" w:rsidP="0055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</w:pPr>
      <w:r w:rsidRPr="00557E79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 xml:space="preserve">В связи с завершением успешного финансового года, прошу рассмотреть возможность выделения бонусов для сотрудников, внесших значительный вклад в работу компании в 2024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>фин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 xml:space="preserve"> </w:t>
      </w:r>
      <w:r w:rsidRPr="00557E79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>году.</w:t>
      </w:r>
    </w:p>
    <w:p w14:paraId="04FDAD32" w14:textId="77777777" w:rsidR="00557E79" w:rsidRPr="00557E79" w:rsidRDefault="00557E79" w:rsidP="0055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</w:pPr>
      <w:r w:rsidRPr="00557E79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>Предлагаемые суммы премирования:</w:t>
      </w:r>
    </w:p>
    <w:p w14:paraId="12EA138F" w14:textId="77777777" w:rsidR="00557E79" w:rsidRPr="00557E79" w:rsidRDefault="00557E79" w:rsidP="00557E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</w:pPr>
      <w:r w:rsidRPr="00557E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zh-CN"/>
        </w:rPr>
        <w:t>Горобец</w:t>
      </w:r>
      <w:r w:rsidRPr="00557E79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 xml:space="preserve"> — 300 USD</w:t>
      </w:r>
    </w:p>
    <w:p w14:paraId="38FD17DC" w14:textId="77777777" w:rsidR="00557E79" w:rsidRPr="00557E79" w:rsidRDefault="00557E79" w:rsidP="00557E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</w:pPr>
      <w:proofErr w:type="spellStart"/>
      <w:r w:rsidRPr="00557E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zh-CN"/>
        </w:rPr>
        <w:t>Тавакалов</w:t>
      </w:r>
      <w:proofErr w:type="spellEnd"/>
      <w:r w:rsidRPr="00557E79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 xml:space="preserve"> — 300 USD</w:t>
      </w:r>
    </w:p>
    <w:p w14:paraId="608934A0" w14:textId="2C727E40" w:rsidR="00557E79" w:rsidRDefault="00557E79" w:rsidP="00557E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</w:pPr>
      <w:proofErr w:type="spellStart"/>
      <w:r w:rsidRPr="00557E7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zh-CN"/>
        </w:rPr>
        <w:t>Стуга</w:t>
      </w:r>
      <w:proofErr w:type="spellEnd"/>
      <w:r w:rsidRPr="00557E79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 xml:space="preserve"> — 200 USD</w:t>
      </w:r>
    </w:p>
    <w:p w14:paraId="3F621E10" w14:textId="26197369" w:rsidR="00AD5ED3" w:rsidRPr="00557E79" w:rsidRDefault="00AD5ED3" w:rsidP="00557E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u-RU" w:eastAsia="zh-CN"/>
        </w:rPr>
        <w:t xml:space="preserve">Себе на твое усмотрение </w:t>
      </w:r>
    </w:p>
    <w:p w14:paraId="0AB4D8F0" w14:textId="77777777" w:rsidR="00557E79" w:rsidRPr="00557E79" w:rsidRDefault="00557E79" w:rsidP="0055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</w:pPr>
      <w:r w:rsidRPr="00557E79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>Предлагаемые бонусы являются признанием их эффективности, ответственности и вклада в развитие компании.</w:t>
      </w:r>
    </w:p>
    <w:p w14:paraId="56F3177F" w14:textId="77777777" w:rsidR="00557E79" w:rsidRPr="00557E79" w:rsidRDefault="00557E79" w:rsidP="00557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</w:pPr>
      <w:r w:rsidRPr="00557E79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zh-CN"/>
        </w:rPr>
        <w:t>Заранее благодарю за рассмотрение данного предложения.</w:t>
      </w:r>
    </w:p>
    <w:p w14:paraId="0CFE8D05" w14:textId="77777777" w:rsidR="00557E79" w:rsidRPr="00557E79" w:rsidRDefault="00557E79" w:rsidP="008D5075">
      <w:pPr>
        <w:rPr>
          <w:rFonts w:asciiTheme="majorBidi" w:hAnsiTheme="majorBidi" w:cstheme="majorBidi"/>
          <w:color w:val="FF0000"/>
          <w:sz w:val="28"/>
          <w:szCs w:val="28"/>
          <w:lang w:val="ru-RU"/>
        </w:rPr>
      </w:pPr>
    </w:p>
    <w:sectPr w:rsidR="00557E79" w:rsidRPr="00557E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822"/>
    <w:multiLevelType w:val="multilevel"/>
    <w:tmpl w:val="F7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5D02"/>
    <w:multiLevelType w:val="hybridMultilevel"/>
    <w:tmpl w:val="D37A6F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0DAA"/>
    <w:multiLevelType w:val="hybridMultilevel"/>
    <w:tmpl w:val="717E919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E5FEE"/>
    <w:multiLevelType w:val="multilevel"/>
    <w:tmpl w:val="DB5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D183C"/>
    <w:multiLevelType w:val="hybridMultilevel"/>
    <w:tmpl w:val="35C8A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A2B5D"/>
    <w:multiLevelType w:val="hybridMultilevel"/>
    <w:tmpl w:val="D81423FE"/>
    <w:lvl w:ilvl="0" w:tplc="8F10E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715A3"/>
    <w:multiLevelType w:val="multilevel"/>
    <w:tmpl w:val="76C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E5756"/>
    <w:multiLevelType w:val="multilevel"/>
    <w:tmpl w:val="936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91557"/>
    <w:multiLevelType w:val="multilevel"/>
    <w:tmpl w:val="DCFC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B2B75"/>
    <w:multiLevelType w:val="multilevel"/>
    <w:tmpl w:val="D4C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A1533"/>
    <w:multiLevelType w:val="multilevel"/>
    <w:tmpl w:val="F4B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D12B0"/>
    <w:multiLevelType w:val="multilevel"/>
    <w:tmpl w:val="3CA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67D22"/>
    <w:multiLevelType w:val="multilevel"/>
    <w:tmpl w:val="BCC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57991"/>
    <w:multiLevelType w:val="multilevel"/>
    <w:tmpl w:val="00E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26778"/>
    <w:multiLevelType w:val="multilevel"/>
    <w:tmpl w:val="4C2C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A0004"/>
    <w:multiLevelType w:val="multilevel"/>
    <w:tmpl w:val="862A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2A3BBF"/>
    <w:multiLevelType w:val="multilevel"/>
    <w:tmpl w:val="B3E2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30D6B"/>
    <w:multiLevelType w:val="multilevel"/>
    <w:tmpl w:val="DEF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14821"/>
    <w:multiLevelType w:val="multilevel"/>
    <w:tmpl w:val="AC14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6D0264"/>
    <w:multiLevelType w:val="multilevel"/>
    <w:tmpl w:val="DBC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D1D89"/>
    <w:multiLevelType w:val="multilevel"/>
    <w:tmpl w:val="6D82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532477">
    <w:abstractNumId w:val="2"/>
  </w:num>
  <w:num w:numId="2" w16cid:durableId="1952737262">
    <w:abstractNumId w:val="5"/>
  </w:num>
  <w:num w:numId="3" w16cid:durableId="1303123434">
    <w:abstractNumId w:val="1"/>
  </w:num>
  <w:num w:numId="4" w16cid:durableId="1849175624">
    <w:abstractNumId w:val="4"/>
  </w:num>
  <w:num w:numId="5" w16cid:durableId="1417170215">
    <w:abstractNumId w:val="12"/>
  </w:num>
  <w:num w:numId="6" w16cid:durableId="273368592">
    <w:abstractNumId w:val="6"/>
  </w:num>
  <w:num w:numId="7" w16cid:durableId="568150579">
    <w:abstractNumId w:val="18"/>
  </w:num>
  <w:num w:numId="8" w16cid:durableId="1275865939">
    <w:abstractNumId w:val="15"/>
  </w:num>
  <w:num w:numId="9" w16cid:durableId="1410882761">
    <w:abstractNumId w:val="17"/>
  </w:num>
  <w:num w:numId="10" w16cid:durableId="1501774395">
    <w:abstractNumId w:val="0"/>
  </w:num>
  <w:num w:numId="11" w16cid:durableId="409274473">
    <w:abstractNumId w:val="14"/>
  </w:num>
  <w:num w:numId="12" w16cid:durableId="1453671980">
    <w:abstractNumId w:val="20"/>
  </w:num>
  <w:num w:numId="13" w16cid:durableId="1682198019">
    <w:abstractNumId w:val="9"/>
  </w:num>
  <w:num w:numId="14" w16cid:durableId="2097356231">
    <w:abstractNumId w:val="7"/>
  </w:num>
  <w:num w:numId="15" w16cid:durableId="376858742">
    <w:abstractNumId w:val="13"/>
  </w:num>
  <w:num w:numId="16" w16cid:durableId="184250641">
    <w:abstractNumId w:val="19"/>
  </w:num>
  <w:num w:numId="17" w16cid:durableId="1471364063">
    <w:abstractNumId w:val="3"/>
  </w:num>
  <w:num w:numId="18" w16cid:durableId="420874861">
    <w:abstractNumId w:val="10"/>
  </w:num>
  <w:num w:numId="19" w16cid:durableId="931861577">
    <w:abstractNumId w:val="11"/>
  </w:num>
  <w:num w:numId="20" w16cid:durableId="1710913139">
    <w:abstractNumId w:val="8"/>
  </w:num>
  <w:num w:numId="21" w16cid:durableId="2779498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869"/>
    <w:rsid w:val="000105B9"/>
    <w:rsid w:val="00016502"/>
    <w:rsid w:val="000222A2"/>
    <w:rsid w:val="000D681A"/>
    <w:rsid w:val="000E4238"/>
    <w:rsid w:val="000F5E4E"/>
    <w:rsid w:val="00115852"/>
    <w:rsid w:val="00123832"/>
    <w:rsid w:val="00143224"/>
    <w:rsid w:val="00151A44"/>
    <w:rsid w:val="001537A3"/>
    <w:rsid w:val="00163148"/>
    <w:rsid w:val="00171D12"/>
    <w:rsid w:val="001826CF"/>
    <w:rsid w:val="0018534A"/>
    <w:rsid w:val="0019089E"/>
    <w:rsid w:val="00191637"/>
    <w:rsid w:val="001C327F"/>
    <w:rsid w:val="00200BC8"/>
    <w:rsid w:val="0020434D"/>
    <w:rsid w:val="00214B58"/>
    <w:rsid w:val="002A1813"/>
    <w:rsid w:val="002C09F3"/>
    <w:rsid w:val="002C0A81"/>
    <w:rsid w:val="002C1E91"/>
    <w:rsid w:val="002C41CB"/>
    <w:rsid w:val="002F2EB6"/>
    <w:rsid w:val="00311B22"/>
    <w:rsid w:val="0031496B"/>
    <w:rsid w:val="003211A0"/>
    <w:rsid w:val="00365721"/>
    <w:rsid w:val="00381005"/>
    <w:rsid w:val="00383496"/>
    <w:rsid w:val="003B0BB3"/>
    <w:rsid w:val="003B34E4"/>
    <w:rsid w:val="003C3B90"/>
    <w:rsid w:val="003C48C3"/>
    <w:rsid w:val="003C7DAA"/>
    <w:rsid w:val="003E46D3"/>
    <w:rsid w:val="003E64AF"/>
    <w:rsid w:val="003F4B99"/>
    <w:rsid w:val="00415237"/>
    <w:rsid w:val="00416E8E"/>
    <w:rsid w:val="00464083"/>
    <w:rsid w:val="00466952"/>
    <w:rsid w:val="0047059F"/>
    <w:rsid w:val="004768A5"/>
    <w:rsid w:val="00481F95"/>
    <w:rsid w:val="004920BA"/>
    <w:rsid w:val="004933D5"/>
    <w:rsid w:val="0049742A"/>
    <w:rsid w:val="004A0D5A"/>
    <w:rsid w:val="004B025D"/>
    <w:rsid w:val="004B0D13"/>
    <w:rsid w:val="004B2869"/>
    <w:rsid w:val="004E2A23"/>
    <w:rsid w:val="005146CF"/>
    <w:rsid w:val="00526449"/>
    <w:rsid w:val="00542085"/>
    <w:rsid w:val="00546952"/>
    <w:rsid w:val="005525C0"/>
    <w:rsid w:val="00557E79"/>
    <w:rsid w:val="005644D5"/>
    <w:rsid w:val="00592F22"/>
    <w:rsid w:val="005A1887"/>
    <w:rsid w:val="005B1531"/>
    <w:rsid w:val="005B7B5C"/>
    <w:rsid w:val="005C4A9A"/>
    <w:rsid w:val="005D44FB"/>
    <w:rsid w:val="005F43EB"/>
    <w:rsid w:val="005F4F08"/>
    <w:rsid w:val="00604657"/>
    <w:rsid w:val="00605CDC"/>
    <w:rsid w:val="00614F1A"/>
    <w:rsid w:val="00626BEE"/>
    <w:rsid w:val="00640544"/>
    <w:rsid w:val="0064698A"/>
    <w:rsid w:val="006532EF"/>
    <w:rsid w:val="006558EB"/>
    <w:rsid w:val="00667148"/>
    <w:rsid w:val="00690200"/>
    <w:rsid w:val="00692504"/>
    <w:rsid w:val="00693C7F"/>
    <w:rsid w:val="006B2A21"/>
    <w:rsid w:val="006B6C2B"/>
    <w:rsid w:val="006C3F36"/>
    <w:rsid w:val="006C70B0"/>
    <w:rsid w:val="006D0F12"/>
    <w:rsid w:val="006D1050"/>
    <w:rsid w:val="00706862"/>
    <w:rsid w:val="00721EA0"/>
    <w:rsid w:val="00722A94"/>
    <w:rsid w:val="0072670A"/>
    <w:rsid w:val="00730867"/>
    <w:rsid w:val="00733A5F"/>
    <w:rsid w:val="007434F4"/>
    <w:rsid w:val="00745358"/>
    <w:rsid w:val="007463F9"/>
    <w:rsid w:val="007613EA"/>
    <w:rsid w:val="007C50CC"/>
    <w:rsid w:val="007F076C"/>
    <w:rsid w:val="00801F2F"/>
    <w:rsid w:val="00805322"/>
    <w:rsid w:val="00821494"/>
    <w:rsid w:val="00833E85"/>
    <w:rsid w:val="00833E9F"/>
    <w:rsid w:val="00857D99"/>
    <w:rsid w:val="00867BCE"/>
    <w:rsid w:val="00875D2F"/>
    <w:rsid w:val="00881596"/>
    <w:rsid w:val="00883D18"/>
    <w:rsid w:val="00886550"/>
    <w:rsid w:val="008A02B1"/>
    <w:rsid w:val="008A5E9F"/>
    <w:rsid w:val="008B761B"/>
    <w:rsid w:val="008D5075"/>
    <w:rsid w:val="008F0799"/>
    <w:rsid w:val="008F6DC9"/>
    <w:rsid w:val="00901523"/>
    <w:rsid w:val="00904CC0"/>
    <w:rsid w:val="009425C0"/>
    <w:rsid w:val="009438C1"/>
    <w:rsid w:val="00953F35"/>
    <w:rsid w:val="00966F75"/>
    <w:rsid w:val="00992601"/>
    <w:rsid w:val="009A5B11"/>
    <w:rsid w:val="009C3199"/>
    <w:rsid w:val="009C3798"/>
    <w:rsid w:val="009C76B4"/>
    <w:rsid w:val="009F53F7"/>
    <w:rsid w:val="00A04759"/>
    <w:rsid w:val="00A114DD"/>
    <w:rsid w:val="00A251AF"/>
    <w:rsid w:val="00A31D32"/>
    <w:rsid w:val="00A34B6B"/>
    <w:rsid w:val="00A677B4"/>
    <w:rsid w:val="00A81AA0"/>
    <w:rsid w:val="00AA0684"/>
    <w:rsid w:val="00AB2AD5"/>
    <w:rsid w:val="00AD3492"/>
    <w:rsid w:val="00AD5ED3"/>
    <w:rsid w:val="00AE2C4F"/>
    <w:rsid w:val="00AE73C7"/>
    <w:rsid w:val="00B00B0B"/>
    <w:rsid w:val="00B0325F"/>
    <w:rsid w:val="00B110D8"/>
    <w:rsid w:val="00B12818"/>
    <w:rsid w:val="00B12B54"/>
    <w:rsid w:val="00B17E39"/>
    <w:rsid w:val="00B21B4B"/>
    <w:rsid w:val="00B26BB3"/>
    <w:rsid w:val="00B3073E"/>
    <w:rsid w:val="00B333E2"/>
    <w:rsid w:val="00B648CE"/>
    <w:rsid w:val="00B65AF2"/>
    <w:rsid w:val="00B72CF0"/>
    <w:rsid w:val="00BA6B8E"/>
    <w:rsid w:val="00BB26C7"/>
    <w:rsid w:val="00BB4E19"/>
    <w:rsid w:val="00BC2E8E"/>
    <w:rsid w:val="00BC43EC"/>
    <w:rsid w:val="00BC677E"/>
    <w:rsid w:val="00BD432A"/>
    <w:rsid w:val="00C1297B"/>
    <w:rsid w:val="00C2679C"/>
    <w:rsid w:val="00C33A5D"/>
    <w:rsid w:val="00C45B60"/>
    <w:rsid w:val="00C51C42"/>
    <w:rsid w:val="00C81FA2"/>
    <w:rsid w:val="00CA5569"/>
    <w:rsid w:val="00CB166B"/>
    <w:rsid w:val="00CB2881"/>
    <w:rsid w:val="00CB7648"/>
    <w:rsid w:val="00CD0275"/>
    <w:rsid w:val="00CD20C5"/>
    <w:rsid w:val="00CD6F04"/>
    <w:rsid w:val="00CF274A"/>
    <w:rsid w:val="00CF3817"/>
    <w:rsid w:val="00D05A07"/>
    <w:rsid w:val="00D06D17"/>
    <w:rsid w:val="00D10555"/>
    <w:rsid w:val="00D2769B"/>
    <w:rsid w:val="00D46BAE"/>
    <w:rsid w:val="00D63EE7"/>
    <w:rsid w:val="00D6614B"/>
    <w:rsid w:val="00D927D3"/>
    <w:rsid w:val="00DC5ECC"/>
    <w:rsid w:val="00DC71A7"/>
    <w:rsid w:val="00DD5302"/>
    <w:rsid w:val="00E1319A"/>
    <w:rsid w:val="00E154EF"/>
    <w:rsid w:val="00E24900"/>
    <w:rsid w:val="00E45265"/>
    <w:rsid w:val="00E47B4D"/>
    <w:rsid w:val="00E564D7"/>
    <w:rsid w:val="00E62F80"/>
    <w:rsid w:val="00E724BA"/>
    <w:rsid w:val="00E84587"/>
    <w:rsid w:val="00E90E4F"/>
    <w:rsid w:val="00E95AFC"/>
    <w:rsid w:val="00EA0A79"/>
    <w:rsid w:val="00EB0FB6"/>
    <w:rsid w:val="00EC78D0"/>
    <w:rsid w:val="00ED47D5"/>
    <w:rsid w:val="00EF2BD5"/>
    <w:rsid w:val="00F01CDB"/>
    <w:rsid w:val="00F120CF"/>
    <w:rsid w:val="00F42D5A"/>
    <w:rsid w:val="00FB7498"/>
    <w:rsid w:val="00FC0BFF"/>
    <w:rsid w:val="00FC18F6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4FBF"/>
  <w15:docId w15:val="{DED29F87-CDB7-44EE-952E-83CB4889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537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04"/>
    <w:pPr>
      <w:ind w:left="720"/>
      <w:contextualSpacing/>
    </w:pPr>
  </w:style>
  <w:style w:type="character" w:styleId="a4">
    <w:name w:val="Emphasis"/>
    <w:basedOn w:val="a0"/>
    <w:uiPriority w:val="20"/>
    <w:qFormat/>
    <w:rsid w:val="008A5E9F"/>
    <w:rPr>
      <w:b/>
      <w:bCs/>
      <w:i w:val="0"/>
      <w:iCs w:val="0"/>
    </w:rPr>
  </w:style>
  <w:style w:type="table" w:styleId="a5">
    <w:name w:val="Table Grid"/>
    <w:basedOn w:val="a1"/>
    <w:uiPriority w:val="39"/>
    <w:rsid w:val="00B12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6D1050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B2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881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E8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gmaildefault">
    <w:name w:val="gmail_default"/>
    <w:basedOn w:val="a0"/>
    <w:rsid w:val="00E84587"/>
  </w:style>
  <w:style w:type="paragraph" w:styleId="aa">
    <w:name w:val="Title"/>
    <w:basedOn w:val="a"/>
    <w:next w:val="a"/>
    <w:link w:val="ab"/>
    <w:uiPriority w:val="10"/>
    <w:qFormat/>
    <w:rsid w:val="00966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6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1537A3"/>
    <w:rPr>
      <w:rFonts w:ascii="Times New Roman" w:eastAsia="Times New Roman" w:hAnsi="Times New Roman" w:cs="Times New Roman"/>
      <w:b/>
      <w:bCs/>
      <w:sz w:val="24"/>
      <w:szCs w:val="24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53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Strong"/>
    <w:basedOn w:val="a0"/>
    <w:uiPriority w:val="22"/>
    <w:qFormat/>
    <w:rsid w:val="00D46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9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Гнедой</dc:creator>
  <cp:lastModifiedBy>Microsoft Office User</cp:lastModifiedBy>
  <cp:revision>108</cp:revision>
  <cp:lastPrinted>2020-10-11T17:02:00Z</cp:lastPrinted>
  <dcterms:created xsi:type="dcterms:W3CDTF">2014-10-14T07:02:00Z</dcterms:created>
  <dcterms:modified xsi:type="dcterms:W3CDTF">2025-04-26T16:25:00Z</dcterms:modified>
</cp:coreProperties>
</file>