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14.2.1</w:t>
      </w:r>
    </w:p>
    <w:p>
      <w:pPr>
        <w:pStyle w:val="Normal"/>
      </w:pPr>
      <w:r>
        <w:t xml:space="preserve">Adverse Events by Treatment and Severity</w:t>
      </w:r>
    </w:p>
    <w:p>
      <w:pPr>
        <w:pStyle w:val="Normal"/>
      </w:pPr>
      <w:r>
        <w:t xml:space="preserve">Safety Population (ADSL.SAFFL='Y')</w:t>
      </w:r>
    </w:p>
    <w:tbl xmlns:w="http://schemas.openxmlformats.org/wordprocessingml/2006/main">
      <w:tblPr>
        <w:tblStyle w:val="TableGrid"/>
        <w:tblW w:w="0" w:type="auto"/>
      </w:tblPr>
      <w:tblGrid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t>Category</w:t>
            </w:r>
          </w:p>
        </w:tc>
        <w:tc>
          <w:tcPr>
            <w:gridSpan w:val="2"/>
          </w:tcPr>
          <w:p>
            <w:r>
              <w:t>Treatment A</w:t>
            </w:r>
          </w:p>
        </w:tc>
        <w:tc>
          <w:tcPr>
            <w:gridSpan w:val="2"/>
          </w:tcPr>
          <w:p>
            <w:r>
              <w:t>Placebo</w:t>
            </w:r>
          </w:p>
        </w:tc>
      </w:tr>
      <w:tr>
        <w:trPr>
          <w:tblHeader/>
        </w:trPr>
        <w:tc>
          <w:tcPr/>
          <w:p/>
        </w:tc>
        <w:tc>
          <w:tcPr/>
          <w:p>
            <w:r>
              <w:t>n</w:t>
            </w:r>
          </w:p>
        </w:tc>
        <w:tc>
          <w:tcPr/>
          <w:p>
            <w:r>
              <w:t>(%)</w:t>
            </w:r>
          </w:p>
        </w:tc>
        <w:tc>
          <w:tcPr/>
          <w:p>
            <w:r>
              <w:t>n</w:t>
            </w:r>
          </w:p>
        </w:tc>
        <w:tc>
          <w:tcPr/>
          <w:p>
            <w:r>
              <w:t>(%)</w:t>
            </w:r>
          </w:p>
        </w:tc>
      </w:tr>
      <w:tr>
        <w:tc>
          <w:tcPr/>
          <w:p>
            <w:r>
              <w:t>Any AE</w:t>
            </w:r>
          </w:p>
        </w:tc>
        <w:tc>
          <w:tcPr/>
          <w:p>
            <w:r>
              <w:t>ADAE.TRTEMFL='Y'</w:t>
            </w:r>
          </w:p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>
            <w:vMerge w:val="restart"/>
          </w:tcPr>
          <w:p>
            <w:r>
              <w:t>Headache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15.0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5.0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1</w:t>
            </w:r>
          </w:p>
        </w:tc>
        <w:tc>
          <w:tcPr/>
          <w:p>
            <w:r>
              <w:t>5.0</w:t>
            </w:r>
          </w:p>
        </w:tc>
        <w:tc>
          <w:tcPr/>
          <w:p>
            <w:r>
              <w:t>0</w:t>
            </w:r>
          </w:p>
        </w:tc>
        <w:tc>
          <w:tcPr/>
          <w:p>
            <w:r>
              <w:t>0.0</w:t>
            </w:r>
          </w:p>
        </w:tc>
      </w:tr>
    </w:tbl>
    <w:p>
      <w:pPr>
        <w:pStyle w:val="Normal"/>
      </w:pPr>
      <w:r>
        <w:t xml:space="preserve">Source: ADSL, ADAE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2026-07-20T11:10:52Z</dcterms:modified>
  <cp:category/>
</cp:coreProperties>
</file>