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jc w:val="center"/>
      </w:pPr>
      <w:r>
        <w:rPr>
          <w:rFonts w:ascii="Arial" w:cs="Arial" w:eastAsia="Arial" w:hAnsi="Arial"/>
          <w:b/>
          <w:bCs/>
          <w:sz w:val="28"/>
          <w:szCs w:val="28"/>
        </w:rPr>
        <w:t xml:space="preserve">Apex Therapeutics, Inc.</w:t>
      </w:r>
    </w:p>
    <w:p>
      <w:pPr>
        <w:spacing w:after="240"/>
        <w:jc w:val="center"/>
      </w:pPr>
      <w:r>
        <w:rPr>
          <w:rFonts w:ascii="Arial" w:cs="Arial" w:eastAsia="Arial" w:hAnsi="Arial"/>
          <w:b/>
          <w:bCs/>
          <w:sz w:val="24"/>
          <w:szCs w:val="24"/>
        </w:rPr>
        <w:t xml:space="preserve">Protocol APX-DRM-301</w:t>
      </w:r>
    </w:p>
    <w:p>
      <w:pPr>
        <w:spacing w:after="720"/>
        <w:jc w:val="center"/>
      </w:pPr>
      <w:r>
        <w:rPr>
          <w:rFonts w:ascii="Arial" w:cs="Arial" w:eastAsia="Arial" w:hAnsi="Arial"/>
          <w:i/>
          <w:iCs/>
          <w:sz w:val="22"/>
          <w:szCs w:val="22"/>
        </w:rPr>
        <w:t xml:space="preserve">A Phase 3, Randomized, Double-Blind, Placebo-Controlled Study to Evaluate the Long-Term Efficacy and Safety of UPADALIMIB 15 mg and 30 mg Once Daily in Adults and Adolescents with Moderate-to-Severe Atopic Dermatitis</w:t>
      </w:r>
    </w:p>
    <w:p>
      <w:pPr>
        <w:spacing w:after="360"/>
        <w:jc w:val="center"/>
      </w:pPr>
      <w:r>
        <w:rPr>
          <w:rFonts w:ascii="Arial" w:cs="Arial" w:eastAsia="Arial" w:hAnsi="Arial"/>
          <w:b/>
          <w:bCs/>
          <w:sz w:val="30"/>
          <w:szCs w:val="30"/>
        </w:rPr>
        <w:t xml:space="preserve">Tables, Listings, and Figures Shells</w:t>
      </w:r>
    </w:p>
    <w:p>
      <w:pPr>
        <w:spacing w:after="240"/>
        <w:jc w:val="center"/>
      </w:pPr>
      <w:r>
        <w:rPr>
          <w:rFonts w:ascii="Arial" w:cs="Arial" w:eastAsia="Arial" w:hAnsi="Arial"/>
          <w:sz w:val="20"/>
          <w:szCs w:val="20"/>
        </w:rPr>
        <w:t xml:space="preserve">Version 1.0 — 27 April 2026</w:t>
      </w:r>
    </w:p>
    <w:p>
      <w:pPr>
        <w:spacing w:after="60" w:before="720"/>
        <w:jc w:val="center"/>
      </w:pPr>
      <w:r>
        <w:rPr>
          <w:rFonts w:ascii="Arial" w:cs="Arial" w:eastAsia="Arial" w:hAnsi="Arial"/>
          <w:b/>
          <w:bCs/>
          <w:color w:val="C00000"/>
          <w:sz w:val="22"/>
          <w:szCs w:val="22"/>
        </w:rPr>
        <w:t xml:space="preserve">CONFIDENTIAL</w:t>
      </w:r>
    </w:p>
    <w:p>
      <w:pPr>
        <w:spacing w:after="60"/>
        <w:jc w:val="center"/>
      </w:pPr>
      <w:r>
        <w:rPr>
          <w:rFonts w:ascii="Arial" w:cs="Arial" w:eastAsia="Arial" w:hAnsi="Arial"/>
          <w:i/>
          <w:iCs/>
          <w:color w:val="808080"/>
          <w:sz w:val="16"/>
          <w:szCs w:val="16"/>
        </w:rPr>
        <w:t xml:space="preserve">(Synthetic mock for illustration — no real patient data, no real proprietary content)</w:t>
      </w:r>
    </w:p>
    <w:p>
      <w:r>
        <w:br w:type="page"/>
      </w:r>
    </w:p>
    <w:p>
      <w:pPr>
        <w:spacing w:after="240"/>
        <w:jc w:val="center"/>
      </w:pPr>
      <w:r>
        <w:rPr>
          <w:rFonts w:ascii="Arial" w:cs="Arial" w:eastAsia="Arial" w:hAnsi="Arial"/>
          <w:b/>
          <w:bCs/>
          <w:sz w:val="28"/>
          <w:szCs w:val="28"/>
        </w:rPr>
        <w:t xml:space="preserve">Table of Contents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700"/>
        <w:gridCol w:w="6800"/>
        <w:gridCol w:w="1860"/>
      </w:tblGrid>
      <w:tr>
        <w:trPr>
          <w:tblHeader/>
        </w:trPr>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Number</w:t>
            </w:r>
          </w:p>
        </w:tc>
        <w:tc>
          <w:tcPr>
            <w:tcW w:type="dxa" w:w="6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Title</w:t>
            </w:r>
          </w:p>
        </w:tc>
        <w:tc>
          <w:tcPr>
            <w:tcW w:type="dxa" w:w="186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Population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14.1.1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Subject Disposition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14.1.2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Subject Demographics and Baseline AD Characteristics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14.1.3</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Concomitant Medications by ATC L3 and Preferred Term</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14.1.4</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Topical Therapy (TCS/TCI) Use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14.1.5</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Study Drug Exposure (Patient-Years)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14.2.1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EASI 75 at Week 16 (Primary Endpoint)</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14.2.2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EASI 75 / 90 / 100 / EASI ≤3 / ≤7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14.2.3</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vIGA-AD 0/1 Response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14.2.4</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Mean Change &amp; % Change from Baseline in EASI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14.2.5</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WP-NRS Itch Improvement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14.2.6</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Simultaneous EASI 90 + WP-NRS 0/1 (MDA)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14.2.7</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Loss of Response &amp; Long-Term Maintenance Through Week 140</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Overview of TEAEs (Exposure-Adjusted, E/100 PY)</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Most Common TEAEs (≥5 E/100 PY) by Preferred Term</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14.3.3</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Adverse Events of Special Interest (AESIs)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14.3.4</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TEAEs by SOC and Preferred Term (≥2%)</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14.3.5</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Serious Infections by Preferred Term</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14.3.6</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Summary of Deaths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14.3.7</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Hematology — Continuous Summary by Visit</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14.3.8</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Hepatic Function — Continuous Summary by Visit</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14.3.9</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Lipid Panel — Continuous Summary by Visit</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14.3.10</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Creatine Phosphokinase (CPK) — Continuous Summary by Visit</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14.3.11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Treatment-Emergent Worst CTCAE Toxicity Grade in Selected Labs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Table 14.3.12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Vital Signs — Continuous Summary by Visit</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Figure 14.2.1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EASI 75 / 90 / 100 Response Rates Over Time</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Figure 14.2.2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vIGA-AD 0/1 Response Rates Over Time</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Figure 14.2.3</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WP-NRS ≥4-pt Improvement and WP-NRS 0/1 Over Time</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Figure 14.2.4</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Simultaneous EASI 90 + WP-NRS 0/1 (MDA) Over Time</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Figure 14.2.5</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Mean % Change from Baseline in EASI Over Time</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ITT (OC)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Figure 14.3.1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Forest Plot of AESI Exposure-Adjusted Event Rates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16.2.4.1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All Treatment-Emergent Adverse Events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16.2.4.2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Serious Adverse Events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16.2.4.3</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TEAEs Leading to Study Drug Discontinuation</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16.2.4.4</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Deaths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16.2.4.5</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Adverse Events of Special Interest (AESIs)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16.2.5.1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Concomitant Medications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16.2.5.2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Topical AD Therapy Use (TCS / TCI)</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16.2.6.1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Medical History (Including Atopic Comorbidities)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16.2.7.1</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Vital Signs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Listing 16.2.7.2</w:t>
            </w:r>
          </w:p>
        </w:tc>
        <w:tc>
          <w:tcPr>
            <w:tcW w:type="dxa" w:w="6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Laboratory Results</w:t>
            </w:r>
          </w:p>
        </w:tc>
        <w:tc>
          <w:tcPr>
            <w:tcW w:type="dxa" w:w="18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Safety</w:t>
            </w:r>
          </w:p>
        </w:tc>
      </w:tr>
    </w:tbl>
    <w:p>
      <w:r>
        <w:br w:type="page"/>
      </w:r>
    </w:p>
    <w:p>
      <w:pPr>
        <w:spacing w:after="60" w:before="240"/>
        <w:jc w:val="center"/>
      </w:pPr>
      <w:r>
        <w:rPr>
          <w:rFonts w:ascii="Arial" w:cs="Arial" w:eastAsia="Arial" w:hAnsi="Arial"/>
          <w:b/>
          <w:bCs/>
          <w:sz w:val="22"/>
          <w:szCs w:val="22"/>
        </w:rPr>
        <w:t xml:space="preserve">Table 14.1.1</w:t>
      </w:r>
    </w:p>
    <w:p>
      <w:pPr>
        <w:spacing w:after="60"/>
        <w:jc w:val="center"/>
      </w:pPr>
      <w:r>
        <w:rPr>
          <w:rFonts w:ascii="Arial" w:cs="Arial" w:eastAsia="Arial" w:hAnsi="Arial"/>
          <w:b/>
          <w:bCs/>
          <w:sz w:val="22"/>
          <w:szCs w:val="22"/>
        </w:rPr>
        <w:t xml:space="preserve">Subject Disposition Through Week 140</w:t>
      </w:r>
    </w:p>
    <w:p>
      <w:pPr>
        <w:spacing w:after="200"/>
        <w:jc w:val="center"/>
      </w:pPr>
      <w:r>
        <w:rPr>
          <w:rFonts w:ascii="Arial" w:cs="Arial" w:eastAsia="Arial" w:hAnsi="Arial"/>
          <w:sz w:val="18"/>
          <w:szCs w:val="18"/>
        </w:rPr>
        <w:t xml:space="preserve">Intent-to-Treat Population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gridCol w:w="2340"/>
      </w:tblGrid>
      <w:tr>
        <w:trPr>
          <w:tblHeader/>
        </w:trPr>
        <w:tc>
          <w:tcPr>
            <w:tcW w:type="dxa" w:w="468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Disposition</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 (%)</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 (%)</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 (%)</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Randomized  </w:t>
            </w:r>
            <w:r>
              <w:rPr>
                <w:rFonts w:ascii="Arial" w:cs="Arial" w:eastAsia="Arial" w:hAnsi="Arial"/>
                <w:color w:val="C00000"/>
                <w:sz w:val="18"/>
                <w:szCs w:val="18"/>
              </w:rPr>
              <w:t xml:space="preserve">ADSL.RANDFL='Y'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Received ≥ 1 dose of study drug  </w:t>
            </w:r>
            <w:r>
              <w:rPr>
                <w:rFonts w:ascii="Arial" w:cs="Arial" w:eastAsia="Arial" w:hAnsi="Arial"/>
                <w:color w:val="C00000"/>
                <w:sz w:val="18"/>
                <w:szCs w:val="18"/>
              </w:rPr>
              <w:t xml:space="preserve">ADSL.SAFFL='Y'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Crossed over from Placebo at Week 16 (re-randomized 1:1 to UPA15 or UPA30)  </w:t>
            </w:r>
            <w:r>
              <w:rPr>
                <w:rFonts w:ascii="Arial" w:cs="Arial" w:eastAsia="Arial" w:hAnsi="Arial"/>
                <w:color w:val="C00000"/>
                <w:sz w:val="18"/>
                <w:szCs w:val="18"/>
              </w:rPr>
              <w:t xml:space="preserve">ADSL.CROSSFL='Y'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Completed Week 16 (placebo-controlled period)  </w:t>
            </w:r>
            <w:r>
              <w:rPr>
                <w:rFonts w:ascii="Arial" w:cs="Arial" w:eastAsia="Arial" w:hAnsi="Arial"/>
                <w:color w:val="C00000"/>
                <w:sz w:val="18"/>
                <w:szCs w:val="18"/>
              </w:rPr>
              <w:t xml:space="preserve">ADSL.W16COMPFL='Y'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Completed Week 52  </w:t>
            </w:r>
            <w:r>
              <w:rPr>
                <w:rFonts w:ascii="Arial" w:cs="Arial" w:eastAsia="Arial" w:hAnsi="Arial"/>
                <w:color w:val="C00000"/>
                <w:sz w:val="18"/>
                <w:szCs w:val="18"/>
              </w:rPr>
              <w:t xml:space="preserve">ADSL.W52COMPFL='Y'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Completed Week 140  </w:t>
            </w:r>
            <w:r>
              <w:rPr>
                <w:rFonts w:ascii="Arial" w:cs="Arial" w:eastAsia="Arial" w:hAnsi="Arial"/>
                <w:color w:val="C00000"/>
                <w:sz w:val="18"/>
                <w:szCs w:val="18"/>
              </w:rPr>
              <w:t xml:space="preserve">ADSL.W140COMPFL='Y'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Discontinued Study Drug Through Week 140  </w:t>
            </w:r>
            <w:r>
              <w:rPr>
                <w:rFonts w:ascii="Arial" w:cs="Arial" w:eastAsia="Arial" w:hAnsi="Arial"/>
                <w:color w:val="C00000"/>
                <w:sz w:val="18"/>
                <w:szCs w:val="18"/>
              </w:rPr>
              <w:t xml:space="preserve">ADSL.DCSREASN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Adverse event</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Lack of efficacy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Withdrawal by subject</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Lost to follow-up</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Pregnancy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Protocol deviation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Investigator decision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Other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Percentages are based on the number of randomized subjects in each treatment group. The placebo arm includes subjects through Week 16 only; from Week 16 onward, placebo subjects were re-randomized 1:1 to UPADALIMIB 15 mg or 30 mg.</w:t>
      </w:r>
    </w:p>
    <w:p>
      <w:pPr>
        <w:spacing w:after="0" w:before="60"/>
        <w:jc w:val="left"/>
      </w:pPr>
      <w:r>
        <w:rPr>
          <w:rFonts w:ascii="Arial" w:cs="Arial" w:eastAsia="Arial" w:hAnsi="Arial"/>
          <w:i/>
          <w:iCs/>
          <w:color w:val="808080"/>
          <w:sz w:val="14"/>
          <w:szCs w:val="14"/>
        </w:rPr>
        <w:t xml:space="preserve">Source: ADSL.</w:t>
      </w:r>
    </w:p>
    <w:p>
      <w:r>
        <w:br w:type="page"/>
      </w:r>
    </w:p>
    <w:p>
      <w:pPr>
        <w:spacing w:after="60" w:before="240"/>
        <w:jc w:val="center"/>
      </w:pPr>
      <w:r>
        <w:rPr>
          <w:rFonts w:ascii="Arial" w:cs="Arial" w:eastAsia="Arial" w:hAnsi="Arial"/>
          <w:b/>
          <w:bCs/>
          <w:sz w:val="22"/>
          <w:szCs w:val="22"/>
        </w:rPr>
        <w:t xml:space="preserve">Table 14.1.2</w:t>
      </w:r>
    </w:p>
    <w:p>
      <w:pPr>
        <w:spacing w:after="60"/>
        <w:jc w:val="center"/>
      </w:pPr>
      <w:r>
        <w:rPr>
          <w:rFonts w:ascii="Arial" w:cs="Arial" w:eastAsia="Arial" w:hAnsi="Arial"/>
          <w:b/>
          <w:bCs/>
          <w:sz w:val="22"/>
          <w:szCs w:val="22"/>
        </w:rPr>
        <w:t xml:space="preserve">Subject Demographics and Baseline Atopic Dermatitis Characteristics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gridCol w:w="2340"/>
      </w:tblGrid>
      <w:tr>
        <w:trPr>
          <w:tblHeader/>
        </w:trPr>
        <w:tc>
          <w:tcPr>
            <w:tcW w:type="dxa" w:w="468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Characteristic</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Age (years)  </w:t>
            </w:r>
            <w:r>
              <w:rPr>
                <w:rFonts w:ascii="Arial" w:cs="Arial" w:eastAsia="Arial" w:hAnsi="Arial"/>
                <w:color w:val="C00000"/>
                <w:sz w:val="18"/>
                <w:szCs w:val="18"/>
              </w:rPr>
              <w:t xml:space="preserve">ADSL.AGE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Age Group, n (%)  </w:t>
            </w:r>
            <w:r>
              <w:rPr>
                <w:rFonts w:ascii="Arial" w:cs="Arial" w:eastAsia="Arial" w:hAnsi="Arial"/>
                <w:color w:val="C00000"/>
                <w:sz w:val="18"/>
                <w:szCs w:val="18"/>
              </w:rPr>
              <w:t xml:space="preserve">ADSL.AGEGR1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Adolescent (12-17 years)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Adult (≥ 18 years)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Sex, n (%)  </w:t>
            </w:r>
            <w:r>
              <w:rPr>
                <w:rFonts w:ascii="Arial" w:cs="Arial" w:eastAsia="Arial" w:hAnsi="Arial"/>
                <w:color w:val="C00000"/>
                <w:sz w:val="18"/>
                <w:szCs w:val="18"/>
              </w:rPr>
              <w:t xml:space="preserve">ADSL.SEX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Male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Female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Race, n (%)  </w:t>
            </w:r>
            <w:r>
              <w:rPr>
                <w:rFonts w:ascii="Arial" w:cs="Arial" w:eastAsia="Arial" w:hAnsi="Arial"/>
                <w:color w:val="C00000"/>
                <w:sz w:val="18"/>
                <w:szCs w:val="18"/>
              </w:rPr>
              <w:t xml:space="preserve">ADSL.RACE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White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Black or African American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Asian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American Indian or Alaska Native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Native Hawaiian or Other Pacific Islander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Multiple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Not Reported / Unknown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Ethnicity, n (%)  </w:t>
            </w:r>
            <w:r>
              <w:rPr>
                <w:rFonts w:ascii="Arial" w:cs="Arial" w:eastAsia="Arial" w:hAnsi="Arial"/>
                <w:color w:val="C00000"/>
                <w:sz w:val="18"/>
                <w:szCs w:val="18"/>
              </w:rPr>
              <w:t xml:space="preserve">ADSL.ETHNIC</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Hispanic or Latino</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Not Hispanic or Latino</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Not Reported / Unknown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Geographic Region, n (%)  </w:t>
            </w:r>
            <w:r>
              <w:rPr>
                <w:rFonts w:ascii="Arial" w:cs="Arial" w:eastAsia="Arial" w:hAnsi="Arial"/>
                <w:color w:val="C00000"/>
                <w:sz w:val="18"/>
                <w:szCs w:val="18"/>
              </w:rPr>
              <w:t xml:space="preserve">ADSL.REGION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North America</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Europe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Asia-Pacific</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Latin America</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Body Weight (kg)  </w:t>
            </w:r>
            <w:r>
              <w:rPr>
                <w:rFonts w:ascii="Arial" w:cs="Arial" w:eastAsia="Arial" w:hAnsi="Arial"/>
                <w:color w:val="C00000"/>
                <w:sz w:val="18"/>
                <w:szCs w:val="18"/>
              </w:rPr>
              <w:t xml:space="preserve">ADSL.WEIGHT</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Body Mass Index (kg/m²)  </w:t>
            </w:r>
            <w:r>
              <w:rPr>
                <w:rFonts w:ascii="Arial" w:cs="Arial" w:eastAsia="Arial" w:hAnsi="Arial"/>
                <w:color w:val="C00000"/>
                <w:sz w:val="18"/>
                <w:szCs w:val="18"/>
              </w:rPr>
              <w:t xml:space="preserve">ADSL.BMI</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Baseline EASI Total Score (range 0-72)  </w:t>
            </w:r>
            <w:r>
              <w:rPr>
                <w:rFonts w:ascii="Arial" w:cs="Arial" w:eastAsia="Arial" w:hAnsi="Arial"/>
                <w:color w:val="C00000"/>
                <w:sz w:val="18"/>
                <w:szCs w:val="18"/>
              </w:rPr>
              <w:t xml:space="preserve">ADSL.EASIBL</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Baseline EASI Severity Category, n (%)  </w:t>
            </w:r>
            <w:r>
              <w:rPr>
                <w:rFonts w:ascii="Arial" w:cs="Arial" w:eastAsia="Arial" w:hAnsi="Arial"/>
                <w:color w:val="C00000"/>
                <w:sz w:val="18"/>
                <w:szCs w:val="18"/>
              </w:rPr>
              <w:t xml:space="preserve">ADSL.EASIBLC</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Moderate (16 ≤ EASI &lt; 21)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Severe (EASI ≥ 21)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Baseline vIGA-AD, n (%)  </w:t>
            </w:r>
            <w:r>
              <w:rPr>
                <w:rFonts w:ascii="Arial" w:cs="Arial" w:eastAsia="Arial" w:hAnsi="Arial"/>
                <w:color w:val="C00000"/>
                <w:sz w:val="18"/>
                <w:szCs w:val="18"/>
              </w:rPr>
              <w:t xml:space="preserve">ADSL.IGABLC</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3 - Moderate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4 - Severe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Baseline % BSA Affected by AD  </w:t>
            </w:r>
            <w:r>
              <w:rPr>
                <w:rFonts w:ascii="Arial" w:cs="Arial" w:eastAsia="Arial" w:hAnsi="Arial"/>
                <w:color w:val="C00000"/>
                <w:sz w:val="18"/>
                <w:szCs w:val="18"/>
              </w:rPr>
              <w:t xml:space="preserve">ADSL.BSABL</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Baseline WP-NRS Score (range 0-10)  </w:t>
            </w:r>
            <w:r>
              <w:rPr>
                <w:rFonts w:ascii="Arial" w:cs="Arial" w:eastAsia="Arial" w:hAnsi="Arial"/>
                <w:color w:val="C00000"/>
                <w:sz w:val="18"/>
                <w:szCs w:val="18"/>
              </w:rPr>
              <w:t xml:space="preserve">ADSL.WPNRSBL</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 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 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 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Baseline POEM Total Score (range 0-28)  </w:t>
            </w:r>
            <w:r>
              <w:rPr>
                <w:rFonts w:ascii="Arial" w:cs="Arial" w:eastAsia="Arial" w:hAnsi="Arial"/>
                <w:color w:val="C00000"/>
                <w:sz w:val="18"/>
                <w:szCs w:val="18"/>
              </w:rPr>
              <w:t xml:space="preserve">ADSL.POEMBL</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Baseline DLQI / CDLQI Total Score  </w:t>
            </w:r>
            <w:r>
              <w:rPr>
                <w:rFonts w:ascii="Arial" w:cs="Arial" w:eastAsia="Arial" w:hAnsi="Arial"/>
                <w:color w:val="C00000"/>
                <w:sz w:val="18"/>
                <w:szCs w:val="18"/>
              </w:rPr>
              <w:t xml:space="preserve">ADSL.DLQIBL</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Duration of Atopic Dermatitis (years)  </w:t>
            </w:r>
            <w:r>
              <w:rPr>
                <w:rFonts w:ascii="Arial" w:cs="Arial" w:eastAsia="Arial" w:hAnsi="Arial"/>
                <w:color w:val="C00000"/>
                <w:sz w:val="18"/>
                <w:szCs w:val="18"/>
              </w:rPr>
              <w:t xml:space="preserve">ADSL.ADDUR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Atopic Comorbidities, n (%)  </w:t>
            </w:r>
            <w:r>
              <w:rPr>
                <w:rFonts w:ascii="Arial" w:cs="Arial" w:eastAsia="Arial" w:hAnsi="Arial"/>
                <w:color w:val="C00000"/>
                <w:sz w:val="18"/>
                <w:szCs w:val="18"/>
              </w:rPr>
              <w:t xml:space="preserve">ADSL.ATOPCMB</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Asthma</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Allergic rhinitis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Food allergy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Allergic conjunctivitis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of the above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Prior Systemic Therapy for AD, n (%)  </w:t>
            </w:r>
            <w:r>
              <w:rPr>
                <w:rFonts w:ascii="Arial" w:cs="Arial" w:eastAsia="Arial" w:hAnsi="Arial"/>
                <w:color w:val="C00000"/>
                <w:sz w:val="18"/>
                <w:szCs w:val="18"/>
              </w:rPr>
              <w:t xml:space="preserve">ADSL.PRSYSTAD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Cyclosporine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Methotrexate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Systemic corticosteroids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Phototherapy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Biologic (e.g., dupilumab)</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prior systemic therapy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EASI ranges from 0-72 (higher = worse). vIGA-AD ranges from 0 (clear) to 4 (severe). WP-NRS ranges from 0 (no itch) to 10 (worst itch imaginable). POEM ranges from 0-28 (higher = worse). DLQI ranges from 0-30 (CDLQI used for adolescents).</w:t>
      </w:r>
    </w:p>
    <w:p>
      <w:pPr>
        <w:spacing w:after="0" w:before="60"/>
        <w:jc w:val="left"/>
      </w:pPr>
      <w:r>
        <w:rPr>
          <w:rFonts w:ascii="Arial" w:cs="Arial" w:eastAsia="Arial" w:hAnsi="Arial"/>
          <w:i/>
          <w:iCs/>
          <w:color w:val="808080"/>
          <w:sz w:val="14"/>
          <w:szCs w:val="14"/>
        </w:rPr>
        <w:t xml:space="preserve">Source: ADSL.</w:t>
      </w:r>
    </w:p>
    <w:p>
      <w:r>
        <w:br w:type="page"/>
      </w:r>
    </w:p>
    <w:p>
      <w:pPr>
        <w:spacing w:after="60" w:before="240"/>
        <w:jc w:val="center"/>
      </w:pPr>
      <w:r>
        <w:rPr>
          <w:rFonts w:ascii="Arial" w:cs="Arial" w:eastAsia="Arial" w:hAnsi="Arial"/>
          <w:b/>
          <w:bCs/>
          <w:sz w:val="22"/>
          <w:szCs w:val="22"/>
        </w:rPr>
        <w:t xml:space="preserve">Table 14.1.3</w:t>
      </w:r>
    </w:p>
    <w:p>
      <w:pPr>
        <w:spacing w:after="60"/>
        <w:jc w:val="center"/>
      </w:pPr>
      <w:r>
        <w:rPr>
          <w:rFonts w:ascii="Arial" w:cs="Arial" w:eastAsia="Arial" w:hAnsi="Arial"/>
          <w:b/>
          <w:bCs/>
          <w:sz w:val="22"/>
          <w:szCs w:val="22"/>
        </w:rPr>
        <w:t xml:space="preserve">Concomitant Medications by ATC Level 3 Class and Preferred Term</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gridCol w:w="2340"/>
      </w:tblGrid>
      <w:tr>
        <w:trPr>
          <w:tblHeader/>
        </w:trPr>
        <w:tc>
          <w:tcPr>
            <w:tcW w:type="dxa" w:w="468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ATC Level 3 Class / Preferred Term</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 (%)</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 (%)</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 (%)</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Subjects with ≥ 1 concomitant medication  </w:t>
            </w:r>
            <w:r>
              <w:rPr>
                <w:rFonts w:ascii="Arial" w:cs="Arial" w:eastAsia="Arial" w:hAnsi="Arial"/>
                <w:color w:val="C00000"/>
                <w:sz w:val="18"/>
                <w:szCs w:val="18"/>
              </w:rPr>
              <w:t xml:space="preserve">ADCM.CONTRTFL='Y'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Antihistamines for systemic use (R06A)</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Cetirizine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Loratadine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Fexofenadine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Hydroxyzine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Corticosteroids, dermatological (D07A)</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Mometasone furoate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Triamcinolone acetonide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Hydrocortisone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Topical calcineurin inhibitors (D11AH)</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Tacrolimus (topical)</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Pimecrolimus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Emollients &amp; protectives (D02)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Other emollient preparations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Antibacterials for systemic use (J01)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Cephalexin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Doxycycline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Antivirals (J05A)</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Acyclovir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Valacyclovir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Drugs for acid related disorders (A02)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Omeprazole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Analgesics (N02)</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Paracetamol/Acetaminophen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Ibuprofen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Concomitant medications are coded using WHO Drug Dictionary. A medication is considered concomitant if taken at any time between first dose of study drug and 30 days after last dose. Subjects are counted once per Preferred Term, regardless of frequency of use.</w:t>
      </w:r>
    </w:p>
    <w:p>
      <w:pPr>
        <w:spacing w:after="0" w:before="60"/>
        <w:jc w:val="left"/>
      </w:pPr>
      <w:r>
        <w:rPr>
          <w:rFonts w:ascii="Arial" w:cs="Arial" w:eastAsia="Arial" w:hAnsi="Arial"/>
          <w:i/>
          <w:iCs/>
          <w:color w:val="808080"/>
          <w:sz w:val="14"/>
          <w:szCs w:val="14"/>
        </w:rPr>
        <w:t xml:space="preserve">Source: ADCM.</w:t>
      </w:r>
    </w:p>
    <w:p>
      <w:r>
        <w:br w:type="page"/>
      </w:r>
    </w:p>
    <w:p>
      <w:pPr>
        <w:spacing w:after="60" w:before="240"/>
        <w:jc w:val="center"/>
      </w:pPr>
      <w:r>
        <w:rPr>
          <w:rFonts w:ascii="Arial" w:cs="Arial" w:eastAsia="Arial" w:hAnsi="Arial"/>
          <w:b/>
          <w:bCs/>
          <w:sz w:val="22"/>
          <w:szCs w:val="22"/>
        </w:rPr>
        <w:t xml:space="preserve">Table 14.1.4</w:t>
      </w:r>
    </w:p>
    <w:p>
      <w:pPr>
        <w:spacing w:after="60"/>
        <w:jc w:val="center"/>
      </w:pPr>
      <w:r>
        <w:rPr>
          <w:rFonts w:ascii="Arial" w:cs="Arial" w:eastAsia="Arial" w:hAnsi="Arial"/>
          <w:b/>
          <w:bCs/>
          <w:sz w:val="22"/>
          <w:szCs w:val="22"/>
        </w:rPr>
        <w:t xml:space="preserve">Topical Corticosteroid (TCS) and Topical Calcineurin Inhibitor (TCI) Use Through Week 140</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gridCol w:w="2340"/>
      </w:tblGrid>
      <w:tr>
        <w:trPr>
          <w:tblHeader/>
        </w:trPr>
        <w:tc>
          <w:tcPr>
            <w:tcW w:type="dxa" w:w="468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Topical Therapy Use</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 (%)</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 (%)</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 (%)</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Subjects with ≥ 1 TCS or TCI use during study  </w:t>
            </w:r>
            <w:r>
              <w:rPr>
                <w:rFonts w:ascii="Arial" w:cs="Arial" w:eastAsia="Arial" w:hAnsi="Arial"/>
                <w:color w:val="C00000"/>
                <w:sz w:val="18"/>
                <w:szCs w:val="18"/>
              </w:rPr>
              <w:t xml:space="preserve">ADCM.ADCAT='TOPICAL THERAPY'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Used TCS only</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Used TCI only</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Used both TCS and TCI</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Did not receive any topical therapy</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Topical therapy use in 4 weeks prior to visit, by visit  </w:t>
            </w:r>
            <w:r>
              <w:rPr>
                <w:rFonts w:ascii="Arial" w:cs="Arial" w:eastAsia="Arial" w:hAnsi="Arial"/>
                <w:color w:val="C00000"/>
                <w:sz w:val="18"/>
                <w:szCs w:val="18"/>
              </w:rPr>
              <w:t xml:space="preserve">ADCM.ADY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Wk 4</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Wk 16</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Wk 52</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Wk 104</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Wk 140</w:t>
            </w: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Topical therapies for AD include TCS and TCI. Use is captured at each scheduled study visit for the prior 4-week period. The denominator at each visit is the number of subjects on study at that visit.</w:t>
      </w:r>
    </w:p>
    <w:p>
      <w:pPr>
        <w:spacing w:after="0" w:before="60"/>
        <w:jc w:val="left"/>
      </w:pPr>
      <w:r>
        <w:rPr>
          <w:rFonts w:ascii="Arial" w:cs="Arial" w:eastAsia="Arial" w:hAnsi="Arial"/>
          <w:i/>
          <w:iCs/>
          <w:color w:val="808080"/>
          <w:sz w:val="14"/>
          <w:szCs w:val="14"/>
        </w:rPr>
        <w:t xml:space="preserve">Source: ADCM (records where ADCAT='TOPICAL THERAPY').</w:t>
      </w:r>
    </w:p>
    <w:p>
      <w:r>
        <w:br w:type="page"/>
      </w:r>
    </w:p>
    <w:p>
      <w:pPr>
        <w:spacing w:after="60" w:before="240"/>
        <w:jc w:val="center"/>
      </w:pPr>
      <w:r>
        <w:rPr>
          <w:rFonts w:ascii="Arial" w:cs="Arial" w:eastAsia="Arial" w:hAnsi="Arial"/>
          <w:b/>
          <w:bCs/>
          <w:sz w:val="22"/>
          <w:szCs w:val="22"/>
        </w:rPr>
        <w:t xml:space="preserve">Table 14.1.5</w:t>
      </w:r>
    </w:p>
    <w:p>
      <w:pPr>
        <w:spacing w:after="60"/>
        <w:jc w:val="center"/>
      </w:pPr>
      <w:r>
        <w:rPr>
          <w:rFonts w:ascii="Arial" w:cs="Arial" w:eastAsia="Arial" w:hAnsi="Arial"/>
          <w:b/>
          <w:bCs/>
          <w:sz w:val="22"/>
          <w:szCs w:val="22"/>
        </w:rPr>
        <w:t xml:space="preserve">Study Drug Exposure Through Week 140</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gridCol w:w="2340"/>
      </w:tblGrid>
      <w:tr>
        <w:trPr>
          <w:tblHeader/>
        </w:trPr>
        <w:tc>
          <w:tcPr>
            <w:tcW w:type="dxa" w:w="468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Exposure Parameter</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Duration of Exposure (years)  </w:t>
            </w:r>
            <w:r>
              <w:rPr>
                <w:rFonts w:ascii="Arial" w:cs="Arial" w:eastAsia="Arial" w:hAnsi="Arial"/>
                <w:color w:val="C00000"/>
                <w:sz w:val="18"/>
                <w:szCs w:val="18"/>
              </w:rPr>
              <w:t xml:space="preserve">ADEX.TRTDUR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 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 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 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Total Patient-Years of Exposure  </w:t>
            </w:r>
            <w:r>
              <w:rPr>
                <w:rFonts w:ascii="Arial" w:cs="Arial" w:eastAsia="Arial" w:hAnsi="Arial"/>
                <w:color w:val="C00000"/>
                <w:sz w:val="18"/>
                <w:szCs w:val="18"/>
              </w:rPr>
              <w:t xml:space="preserve">Sum of ADEX.TRTDUR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Patient-years (PY)</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Categorical Duration of Exposure, n (%)  </w:t>
            </w:r>
            <w:r>
              <w:rPr>
                <w:rFonts w:ascii="Arial" w:cs="Arial" w:eastAsia="Arial" w:hAnsi="Arial"/>
                <w:color w:val="C00000"/>
                <w:sz w:val="18"/>
                <w:szCs w:val="18"/>
              </w:rPr>
              <w:t xml:space="preserve">ADEX.TRTDURGR</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&lt; 16 weeks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 16 weeks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 52 weeks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 104 weeks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 140 weeks</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Cumulative Dose (mg)  </w:t>
            </w:r>
            <w:r>
              <w:rPr>
                <w:rFonts w:ascii="Arial" w:cs="Arial" w:eastAsia="Arial" w:hAnsi="Arial"/>
                <w:color w:val="C00000"/>
                <w:sz w:val="18"/>
                <w:szCs w:val="18"/>
              </w:rPr>
              <w:t xml:space="preserve">ADEX.CUMDOSE</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(x,xxx.x, x,xxx.x)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(x,xxx.x, x,xxx.x)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(x,xxx.x, x,xxx.x)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Dose Intensity (% of planned)  </w:t>
            </w:r>
            <w:r>
              <w:rPr>
                <w:rFonts w:ascii="Arial" w:cs="Arial" w:eastAsia="Arial" w:hAnsi="Arial"/>
                <w:color w:val="C00000"/>
                <w:sz w:val="18"/>
                <w:szCs w:val="18"/>
              </w:rPr>
              <w:t xml:space="preserve">ADEX.DOSEPCT</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Subjects with ≥ 1 Dose Interruption, n (%)  </w:t>
            </w:r>
            <w:r>
              <w:rPr>
                <w:rFonts w:ascii="Arial" w:cs="Arial" w:eastAsia="Arial" w:hAnsi="Arial"/>
                <w:color w:val="C00000"/>
                <w:sz w:val="18"/>
                <w:szCs w:val="18"/>
              </w:rPr>
              <w:t xml:space="preserve">ADEX.DOSEINT</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dose interruption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Due to adverse event</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Due to other reason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Duration of exposure = (date of last dose - date of first dose + 1) / 365.25. Cumulative dose = sum of all daily doses received. Dose intensity = (cumulative dose / planned dose during exposure period) × 100.</w:t>
      </w:r>
    </w:p>
    <w:p>
      <w:pPr>
        <w:spacing w:after="0" w:before="60"/>
        <w:jc w:val="left"/>
      </w:pPr>
      <w:r>
        <w:rPr>
          <w:rFonts w:ascii="Arial" w:cs="Arial" w:eastAsia="Arial" w:hAnsi="Arial"/>
          <w:i/>
          <w:iCs/>
          <w:color w:val="808080"/>
          <w:sz w:val="14"/>
          <w:szCs w:val="14"/>
        </w:rPr>
        <w:t xml:space="preserve">Source: ADEX.</w:t>
      </w:r>
    </w:p>
    <w:p>
      <w:r>
        <w:br w:type="page"/>
      </w:r>
    </w:p>
    <w:p>
      <w:pPr>
        <w:spacing w:after="60" w:before="240"/>
        <w:jc w:val="center"/>
      </w:pPr>
      <w:r>
        <w:rPr>
          <w:rFonts w:ascii="Arial" w:cs="Arial" w:eastAsia="Arial" w:hAnsi="Arial"/>
          <w:b/>
          <w:bCs/>
          <w:sz w:val="22"/>
          <w:szCs w:val="22"/>
        </w:rPr>
        <w:t xml:space="preserve">Table 14.2.1</w:t>
      </w:r>
    </w:p>
    <w:p>
      <w:pPr>
        <w:spacing w:after="60"/>
        <w:jc w:val="center"/>
      </w:pPr>
      <w:r>
        <w:rPr>
          <w:rFonts w:ascii="Arial" w:cs="Arial" w:eastAsia="Arial" w:hAnsi="Arial"/>
          <w:b/>
          <w:bCs/>
          <w:sz w:val="22"/>
          <w:szCs w:val="22"/>
        </w:rPr>
        <w:t xml:space="preserve">Proportion of Subjects Achieving EASI 75 at Week 16 (Primary Endpoint)</w:t>
      </w:r>
    </w:p>
    <w:p>
      <w:pPr>
        <w:spacing w:after="200"/>
        <w:jc w:val="center"/>
      </w:pPr>
      <w:r>
        <w:rPr>
          <w:rFonts w:ascii="Arial" w:cs="Arial" w:eastAsia="Arial" w:hAnsi="Arial"/>
          <w:sz w:val="18"/>
          <w:szCs w:val="18"/>
        </w:rPr>
        <w:t xml:space="preserve">Intent-to-Treat Population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gridCol w:w="2340"/>
      </w:tblGrid>
      <w:tr>
        <w:trPr>
          <w:tblHeader/>
        </w:trPr>
        <w:tc>
          <w:tcPr>
            <w:tcW w:type="dxa" w:w="468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Statistic</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234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EASI 75 Response at Week 16  </w:t>
            </w:r>
            <w:r>
              <w:rPr>
                <w:rFonts w:ascii="Arial" w:cs="Arial" w:eastAsia="Arial" w:hAnsi="Arial"/>
                <w:color w:val="C00000"/>
                <w:sz w:val="18"/>
                <w:szCs w:val="18"/>
              </w:rPr>
              <w:t xml:space="preserve">ADEFF.PARAMCD='EASI75' and AVISITN=16 and AVAL=1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Number of responders, 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Number evaluable [a], N'</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Response rate, % (95% CI [b])</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Pairwise Comparison vs. Placebo  </w:t>
            </w:r>
            <w:r>
              <w:rPr>
                <w:rFonts w:ascii="Arial" w:cs="Arial" w:eastAsia="Arial" w:hAnsi="Arial"/>
                <w:color w:val="C00000"/>
                <w:sz w:val="18"/>
                <w:szCs w:val="18"/>
              </w:rPr>
              <w:t xml:space="preserve">ADEFF.PARAMCD='EASI75' (CMH at Wk 16)</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Difference in response rate, % (95% CI [c])</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Cochran-Mantel-Haenszel p-value [d]</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&lt;0.001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&lt;0.001</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&lt;0.001</w:t>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Imputation: Non-Responder Imputation (NRI) [e]  </w:t>
            </w:r>
            <w:r>
              <w:rPr>
                <w:rFonts w:ascii="Arial" w:cs="Arial" w:eastAsia="Arial" w:hAnsi="Arial"/>
                <w:color w:val="C00000"/>
                <w:sz w:val="18"/>
                <w:szCs w:val="18"/>
              </w:rPr>
              <w:t xml:space="preserve">ADEFF.AVAL_NRI</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46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Response rate, % (95% CI)</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23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bl>
    <w:p>
      <w:pPr>
        <w:spacing w:after="0" w:before="100"/>
        <w:jc w:val="left"/>
      </w:pPr>
      <w:r>
        <w:rPr>
          <w:rFonts w:ascii="Arial" w:cs="Arial" w:eastAsia="Arial" w:hAnsi="Arial"/>
          <w:i/>
          <w:iCs/>
          <w:sz w:val="16"/>
          <w:szCs w:val="16"/>
        </w:rPr>
        <w:t xml:space="preserve">[a] Number evaluable = subjects with non-missing EASI assessment at Week 16.</w:t>
      </w:r>
    </w:p>
    <w:p>
      <w:pPr>
        <w:spacing w:after="0" w:before="100"/>
        <w:jc w:val="left"/>
      </w:pPr>
      <w:r>
        <w:rPr>
          <w:rFonts w:ascii="Arial" w:cs="Arial" w:eastAsia="Arial" w:hAnsi="Arial"/>
          <w:i/>
          <w:iCs/>
          <w:sz w:val="16"/>
          <w:szCs w:val="16"/>
        </w:rPr>
        <w:t xml:space="preserve">[b] 95% CIs computed using the Clopper-Pearson exact method.</w:t>
      </w:r>
    </w:p>
    <w:p>
      <w:pPr>
        <w:spacing w:after="0" w:before="100"/>
        <w:jc w:val="left"/>
      </w:pPr>
      <w:r>
        <w:rPr>
          <w:rFonts w:ascii="Arial" w:cs="Arial" w:eastAsia="Arial" w:hAnsi="Arial"/>
          <w:i/>
          <w:iCs/>
          <w:sz w:val="16"/>
          <w:szCs w:val="16"/>
        </w:rPr>
        <w:t xml:space="preserve">[c] Difference in response rate computed using the Newcombe method.</w:t>
      </w:r>
    </w:p>
    <w:p>
      <w:pPr>
        <w:spacing w:after="0" w:before="100"/>
        <w:jc w:val="left"/>
      </w:pPr>
      <w:r>
        <w:rPr>
          <w:rFonts w:ascii="Arial" w:cs="Arial" w:eastAsia="Arial" w:hAnsi="Arial"/>
          <w:i/>
          <w:iCs/>
          <w:sz w:val="16"/>
          <w:szCs w:val="16"/>
        </w:rPr>
        <w:t xml:space="preserve">[d] Cochran-Mantel-Haenszel test stratified by baseline vIGA-AD severity (3 vs. 4), age group (Adolescent vs. Adult), and geographic region.</w:t>
      </w:r>
    </w:p>
    <w:p>
      <w:pPr>
        <w:spacing w:after="0" w:before="100"/>
        <w:jc w:val="left"/>
      </w:pPr>
      <w:r>
        <w:rPr>
          <w:rFonts w:ascii="Arial" w:cs="Arial" w:eastAsia="Arial" w:hAnsi="Arial"/>
          <w:i/>
          <w:iCs/>
          <w:sz w:val="16"/>
          <w:szCs w:val="16"/>
        </w:rPr>
        <w:t xml:space="preserve">[e] Subjects who received rescue therapy or who had missing EASI at Week 16 are imputed as non-responders.</w:t>
      </w:r>
    </w:p>
    <w:p>
      <w:pPr>
        <w:spacing w:after="0" w:before="60"/>
        <w:jc w:val="left"/>
      </w:pPr>
      <w:r>
        <w:rPr>
          <w:rFonts w:ascii="Arial" w:cs="Arial" w:eastAsia="Arial" w:hAnsi="Arial"/>
          <w:i/>
          <w:iCs/>
          <w:color w:val="808080"/>
          <w:sz w:val="14"/>
          <w:szCs w:val="14"/>
        </w:rPr>
        <w:t xml:space="preserve">Source: ADEFF (PARAMCD='EASI75').</w:t>
      </w:r>
    </w:p>
    <w:p>
      <w:r>
        <w:br w:type="page"/>
      </w:r>
    </w:p>
    <w:p>
      <w:pPr>
        <w:spacing w:after="60" w:before="240"/>
        <w:jc w:val="center"/>
      </w:pPr>
      <w:r>
        <w:rPr>
          <w:rFonts w:ascii="Arial" w:cs="Arial" w:eastAsia="Arial" w:hAnsi="Arial"/>
          <w:b/>
          <w:bCs/>
          <w:sz w:val="22"/>
          <w:szCs w:val="22"/>
        </w:rPr>
        <w:t xml:space="preserve">Table 14.2.2</w:t>
      </w:r>
    </w:p>
    <w:p>
      <w:pPr>
        <w:spacing w:after="60"/>
        <w:jc w:val="center"/>
      </w:pPr>
      <w:r>
        <w:rPr>
          <w:rFonts w:ascii="Arial" w:cs="Arial" w:eastAsia="Arial" w:hAnsi="Arial"/>
          <w:b/>
          <w:bCs/>
          <w:sz w:val="22"/>
          <w:szCs w:val="22"/>
        </w:rPr>
        <w:t xml:space="preserve">Proportion of Subjects Achieving EASI Response Endpoints Through Week 140</w:t>
      </w:r>
    </w:p>
    <w:p>
      <w:pPr>
        <w:spacing w:after="200"/>
        <w:jc w:val="center"/>
      </w:pPr>
      <w:r>
        <w:rPr>
          <w:rFonts w:ascii="Arial" w:cs="Arial" w:eastAsia="Arial" w:hAnsi="Arial"/>
          <w:sz w:val="18"/>
          <w:szCs w:val="18"/>
        </w:rPr>
        <w:t xml:space="preserve">Intent-to-Treat Population, Observed Cases Without Imputation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Endpoint</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n/N' (%) [95% CI]</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n/N' (%) [95% CI]</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n/N' (%) [95% CI]</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EASI 75 (≥ 75% improvement from baseline in EASI)  </w:t>
            </w:r>
            <w:r>
              <w:rPr>
                <w:rFonts w:ascii="Arial" w:cs="Arial" w:eastAsia="Arial" w:hAnsi="Arial"/>
                <w:color w:val="C00000"/>
                <w:sz w:val="18"/>
                <w:szCs w:val="18"/>
              </w:rPr>
              <w:t xml:space="preserve">ADEFF.PARAMCD='EASI75'</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EASI 75 (≥ 75% improvement from baseline in EASI)</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EASI 90 (≥ 90% improvement from baseline in EASI)  </w:t>
            </w:r>
            <w:r>
              <w:rPr>
                <w:rFonts w:ascii="Arial" w:cs="Arial" w:eastAsia="Arial" w:hAnsi="Arial"/>
                <w:color w:val="C00000"/>
                <w:sz w:val="18"/>
                <w:szCs w:val="18"/>
              </w:rPr>
              <w:t xml:space="preserve">ADEFF.PARAMCD='EASI90'</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EASI 90 (≥ 90% improvement from baseline in EASI)</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EASI 100 (100% improvement from baseline in EASI)  </w:t>
            </w:r>
            <w:r>
              <w:rPr>
                <w:rFonts w:ascii="Arial" w:cs="Arial" w:eastAsia="Arial" w:hAnsi="Arial"/>
                <w:color w:val="C00000"/>
                <w:sz w:val="18"/>
                <w:szCs w:val="18"/>
              </w:rPr>
              <w:t xml:space="preserve">ADEFF.PARAMCD='EASI100'</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EASI 100 (100% improvement from baseline in EASI)</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EASI ≤ 3 (AHEAD optimal target for skin clearance)  </w:t>
            </w:r>
            <w:r>
              <w:rPr>
                <w:rFonts w:ascii="Arial" w:cs="Arial" w:eastAsia="Arial" w:hAnsi="Arial"/>
                <w:color w:val="C00000"/>
                <w:sz w:val="18"/>
                <w:szCs w:val="18"/>
              </w:rPr>
              <w:t xml:space="preserve">ADEFF.PARAMCD='EASILE3'</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EASI ≤ 3 (AHEAD optimal target for skin clearance)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EASI ≤ 7 (AHEAD moderate target for skin clearance)  </w:t>
            </w:r>
            <w:r>
              <w:rPr>
                <w:rFonts w:ascii="Arial" w:cs="Arial" w:eastAsia="Arial" w:hAnsi="Arial"/>
                <w:color w:val="C00000"/>
                <w:sz w:val="18"/>
                <w:szCs w:val="18"/>
              </w:rPr>
              <w:t xml:space="preserve">ADEFF.PARAMCD='EASILE7'</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EASI ≤ 7 (AHEAD moderate target for skin clearance)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bl>
    <w:p>
      <w:pPr>
        <w:spacing w:after="0" w:before="100"/>
        <w:jc w:val="left"/>
      </w:pPr>
      <w:r>
        <w:rPr>
          <w:rFonts w:ascii="Arial" w:cs="Arial" w:eastAsia="Arial" w:hAnsi="Arial"/>
          <w:i/>
          <w:iCs/>
          <w:sz w:val="16"/>
          <w:szCs w:val="16"/>
        </w:rPr>
        <w:t xml:space="preserve">N' = number of subjects with non-missing EASI at the visit (denominator). 95% CIs computed using normal approximation to the binomial.</w:t>
      </w:r>
    </w:p>
    <w:p>
      <w:pPr>
        <w:spacing w:after="0" w:before="100"/>
        <w:jc w:val="left"/>
      </w:pPr>
      <w:r>
        <w:rPr>
          <w:rFonts w:ascii="Arial" w:cs="Arial" w:eastAsia="Arial" w:hAnsi="Arial"/>
          <w:i/>
          <w:iCs/>
          <w:sz w:val="16"/>
          <w:szCs w:val="16"/>
        </w:rPr>
        <w:t xml:space="preserve">Observed cases analysis: subjects with missing EASI at the visit are excluded from both numerator and denominator.</w:t>
      </w:r>
    </w:p>
    <w:p>
      <w:pPr>
        <w:spacing w:after="0" w:before="60"/>
        <w:jc w:val="left"/>
      </w:pPr>
      <w:r>
        <w:rPr>
          <w:rFonts w:ascii="Arial" w:cs="Arial" w:eastAsia="Arial" w:hAnsi="Arial"/>
          <w:i/>
          <w:iCs/>
          <w:color w:val="808080"/>
          <w:sz w:val="14"/>
          <w:szCs w:val="14"/>
        </w:rPr>
        <w:t xml:space="preserve">Source: ADEFF (PARAMCD in 'EASI75','EASI90','EASI100','EASILE3','EASILE7').</w:t>
      </w:r>
    </w:p>
    <w:p>
      <w:r>
        <w:br w:type="page"/>
      </w:r>
    </w:p>
    <w:p>
      <w:pPr>
        <w:spacing w:after="60" w:before="240"/>
        <w:jc w:val="center"/>
      </w:pPr>
      <w:r>
        <w:rPr>
          <w:rFonts w:ascii="Arial" w:cs="Arial" w:eastAsia="Arial" w:hAnsi="Arial"/>
          <w:b/>
          <w:bCs/>
          <w:sz w:val="22"/>
          <w:szCs w:val="22"/>
        </w:rPr>
        <w:t xml:space="preserve">Table 14.2.3</w:t>
      </w:r>
    </w:p>
    <w:p>
      <w:pPr>
        <w:spacing w:after="60"/>
        <w:jc w:val="center"/>
      </w:pPr>
      <w:r>
        <w:rPr>
          <w:rFonts w:ascii="Arial" w:cs="Arial" w:eastAsia="Arial" w:hAnsi="Arial"/>
          <w:b/>
          <w:bCs/>
          <w:sz w:val="22"/>
          <w:szCs w:val="22"/>
        </w:rPr>
        <w:t xml:space="preserve">Proportion of Subjects Achieving vIGA-AD Response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Endpoint</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n/N' (%) [95% CI]</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n/N' (%) [95% CI]</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n/N' (%) [95% CI]</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vIGA-AD 0/1 with ≥ 2-grade improvement from baseline  </w:t>
            </w:r>
            <w:r>
              <w:rPr>
                <w:rFonts w:ascii="Arial" w:cs="Arial" w:eastAsia="Arial" w:hAnsi="Arial"/>
                <w:color w:val="C00000"/>
                <w:sz w:val="18"/>
                <w:szCs w:val="18"/>
              </w:rPr>
              <w:t xml:space="preserve">ADEFF.PARAMCD='IGA01'</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vIGA-AD 0/1 (clear/almost clear)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vIGA-AD score = 0 (clear)  </w:t>
            </w:r>
            <w:r>
              <w:rPr>
                <w:rFonts w:ascii="Arial" w:cs="Arial" w:eastAsia="Arial" w:hAnsi="Arial"/>
                <w:color w:val="C00000"/>
                <w:sz w:val="18"/>
                <w:szCs w:val="18"/>
              </w:rPr>
              <w:t xml:space="preserve">ADEFF.PARAMCD='IGA00'</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vIGA-AD = 0 (clear skin)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bl>
    <w:p>
      <w:pPr>
        <w:spacing w:after="0" w:before="100"/>
        <w:jc w:val="left"/>
      </w:pPr>
      <w:r>
        <w:rPr>
          <w:rFonts w:ascii="Arial" w:cs="Arial" w:eastAsia="Arial" w:hAnsi="Arial"/>
          <w:i/>
          <w:iCs/>
          <w:sz w:val="16"/>
          <w:szCs w:val="16"/>
        </w:rPr>
        <w:t xml:space="preserve">vIGA-AD 0/1 response requires (a) score of 0 (clear) or 1 (almost clear) AND (b) ≥ 2-grade improvement from baseline. 95% CIs computed using normal approximation to the binomial.</w:t>
      </w:r>
    </w:p>
    <w:p>
      <w:pPr>
        <w:spacing w:after="0" w:before="60"/>
        <w:jc w:val="left"/>
      </w:pPr>
      <w:r>
        <w:rPr>
          <w:rFonts w:ascii="Arial" w:cs="Arial" w:eastAsia="Arial" w:hAnsi="Arial"/>
          <w:i/>
          <w:iCs/>
          <w:color w:val="808080"/>
          <w:sz w:val="14"/>
          <w:szCs w:val="14"/>
        </w:rPr>
        <w:t xml:space="preserve">Source: ADEFF (PARAMCD='IGA01' or 'IGA00').</w:t>
      </w:r>
    </w:p>
    <w:p>
      <w:r>
        <w:br w:type="page"/>
      </w:r>
    </w:p>
    <w:p>
      <w:pPr>
        <w:spacing w:after="60" w:before="240"/>
        <w:jc w:val="center"/>
      </w:pPr>
      <w:r>
        <w:rPr>
          <w:rFonts w:ascii="Arial" w:cs="Arial" w:eastAsia="Arial" w:hAnsi="Arial"/>
          <w:b/>
          <w:bCs/>
          <w:sz w:val="22"/>
          <w:szCs w:val="22"/>
        </w:rPr>
        <w:t xml:space="preserve">Table 14.2.4</w:t>
      </w:r>
    </w:p>
    <w:p>
      <w:pPr>
        <w:spacing w:after="60"/>
        <w:jc w:val="center"/>
      </w:pPr>
      <w:r>
        <w:rPr>
          <w:rFonts w:ascii="Arial" w:cs="Arial" w:eastAsia="Arial" w:hAnsi="Arial"/>
          <w:b/>
          <w:bCs/>
          <w:sz w:val="22"/>
          <w:szCs w:val="22"/>
        </w:rPr>
        <w:t xml:space="preserve">Mean Change and Percent Change from Baseline in EASI Total Score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900"/>
        <w:gridCol w:w="1900"/>
        <w:gridCol w:w="1900"/>
      </w:tblGrid>
      <w:tr>
        <w:trPr>
          <w:tblHeader/>
        </w:trPr>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Statistic</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Percent Change from Baseline in EASI Total Score (%)  </w:t>
            </w:r>
            <w:r>
              <w:rPr>
                <w:rFonts w:ascii="Arial" w:cs="Arial" w:eastAsia="Arial" w:hAnsi="Arial"/>
                <w:color w:val="C00000"/>
                <w:sz w:val="18"/>
                <w:szCs w:val="18"/>
              </w:rPr>
              <w:t xml:space="preserve">ADEFF.PARAMCD='EASIPCHG'</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LS Mean (SE) [a]</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LS Mean (SE) [a]</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LS Mean (SE) [a]</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LS Mean (SE) [a]</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LS Mean (SE) [a]</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Absolute Change from Baseline in EASI Total Score  </w:t>
            </w:r>
            <w:r>
              <w:rPr>
                <w:rFonts w:ascii="Arial" w:cs="Arial" w:eastAsia="Arial" w:hAnsi="Arial"/>
                <w:color w:val="C00000"/>
                <w:sz w:val="18"/>
                <w:szCs w:val="18"/>
              </w:rPr>
              <w:t xml:space="preserve">ADEFF.PARAMCD='EASICHG'</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 -xx.x)</w:t>
            </w:r>
          </w:p>
        </w:tc>
      </w:tr>
    </w:tbl>
    <w:p>
      <w:pPr>
        <w:spacing w:after="0" w:before="100"/>
        <w:jc w:val="left"/>
      </w:pPr>
      <w:r>
        <w:rPr>
          <w:rFonts w:ascii="Arial" w:cs="Arial" w:eastAsia="Arial" w:hAnsi="Arial"/>
          <w:i/>
          <w:iCs/>
          <w:sz w:val="16"/>
          <w:szCs w:val="16"/>
        </w:rPr>
        <w:t xml:space="preserve">[a] LS Mean and SE estimated from analysis of covariance (ANCOVA) with treatment as a fixed effect and baseline EASI as a covariate.</w:t>
      </w:r>
    </w:p>
    <w:p>
      <w:pPr>
        <w:spacing w:after="0" w:before="60"/>
        <w:jc w:val="left"/>
      </w:pPr>
      <w:r>
        <w:rPr>
          <w:rFonts w:ascii="Arial" w:cs="Arial" w:eastAsia="Arial" w:hAnsi="Arial"/>
          <w:i/>
          <w:iCs/>
          <w:color w:val="808080"/>
          <w:sz w:val="14"/>
          <w:szCs w:val="14"/>
        </w:rPr>
        <w:t xml:space="preserve">Source: ADEFF (PARAMCD='EASIPCHG' and 'EASICHG').</w:t>
      </w:r>
    </w:p>
    <w:p>
      <w:r>
        <w:br w:type="page"/>
      </w:r>
    </w:p>
    <w:p>
      <w:pPr>
        <w:spacing w:after="60" w:before="240"/>
        <w:jc w:val="center"/>
      </w:pPr>
      <w:r>
        <w:rPr>
          <w:rFonts w:ascii="Arial" w:cs="Arial" w:eastAsia="Arial" w:hAnsi="Arial"/>
          <w:b/>
          <w:bCs/>
          <w:sz w:val="22"/>
          <w:szCs w:val="22"/>
        </w:rPr>
        <w:t xml:space="preserve">Table 14.2.5</w:t>
      </w:r>
    </w:p>
    <w:p>
      <w:pPr>
        <w:spacing w:after="60"/>
        <w:jc w:val="center"/>
      </w:pPr>
      <w:r>
        <w:rPr>
          <w:rFonts w:ascii="Arial" w:cs="Arial" w:eastAsia="Arial" w:hAnsi="Arial"/>
          <w:b/>
          <w:bCs/>
          <w:sz w:val="22"/>
          <w:szCs w:val="22"/>
        </w:rPr>
        <w:t xml:space="preserve">Itch Improvement (Worst Pruritus NRS)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Endpoint</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n/N' (%) [95% CI]</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n/N' (%) [95% CI]</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n/N' (%) [95% CI]</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ΔWP-NRS ≥ 4-point improvement from baseline [a]  </w:t>
            </w:r>
            <w:r>
              <w:rPr>
                <w:rFonts w:ascii="Arial" w:cs="Arial" w:eastAsia="Arial" w:hAnsi="Arial"/>
                <w:color w:val="C00000"/>
                <w:sz w:val="18"/>
                <w:szCs w:val="18"/>
              </w:rPr>
              <w:t xml:space="preserve">ADEFF.PARAMCD='WPNRS4'</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ΔWP-NRS ≥ 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WP-NRS 0/1 (no/minimal itch) [b]  </w:t>
            </w:r>
            <w:r>
              <w:rPr>
                <w:rFonts w:ascii="Arial" w:cs="Arial" w:eastAsia="Arial" w:hAnsi="Arial"/>
                <w:color w:val="C00000"/>
                <w:sz w:val="18"/>
                <w:szCs w:val="18"/>
              </w:rPr>
              <w:t xml:space="preserve">ADEFF.PARAMCD='WPNRS01'</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WP-NRS 0/1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Mean Percent Change from Baseline in WP-NRS  </w:t>
            </w:r>
            <w:r>
              <w:rPr>
                <w:rFonts w:ascii="Arial" w:cs="Arial" w:eastAsia="Arial" w:hAnsi="Arial"/>
                <w:color w:val="C00000"/>
                <w:sz w:val="18"/>
                <w:szCs w:val="18"/>
              </w:rPr>
              <w:t xml:space="preserve">ADEFF.PARAMCD='WPNPCHG'</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Mean (SD), %</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Mean Absolute Change from Baseline in WP-NRS  </w:t>
            </w:r>
            <w:r>
              <w:rPr>
                <w:rFonts w:ascii="Arial" w:cs="Arial" w:eastAsia="Arial" w:hAnsi="Arial"/>
                <w:color w:val="C00000"/>
                <w:sz w:val="18"/>
                <w:szCs w:val="18"/>
              </w:rPr>
              <w:t xml:space="preserve">ADEFF.PARAMCD='WPNCHG'</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(x.xx)</w:t>
            </w:r>
          </w:p>
        </w:tc>
      </w:tr>
    </w:tbl>
    <w:p>
      <w:pPr>
        <w:spacing w:after="0" w:before="100"/>
        <w:jc w:val="left"/>
      </w:pPr>
      <w:r>
        <w:rPr>
          <w:rFonts w:ascii="Arial" w:cs="Arial" w:eastAsia="Arial" w:hAnsi="Arial"/>
          <w:i/>
          <w:iCs/>
          <w:sz w:val="16"/>
          <w:szCs w:val="16"/>
        </w:rPr>
        <w:t xml:space="preserve">[a] Among subjects with WP-NRS score ≥ 4 at baseline. Numerator = subjects with ≥ 4-point reduction at the visit; denominator = subjects with non-missing WP-NRS at the visit.</w:t>
      </w:r>
    </w:p>
    <w:p>
      <w:pPr>
        <w:spacing w:after="0" w:before="100"/>
        <w:jc w:val="left"/>
      </w:pPr>
      <w:r>
        <w:rPr>
          <w:rFonts w:ascii="Arial" w:cs="Arial" w:eastAsia="Arial" w:hAnsi="Arial"/>
          <w:i/>
          <w:iCs/>
          <w:sz w:val="16"/>
          <w:szCs w:val="16"/>
        </w:rPr>
        <w:t xml:space="preserve">[b] Among subjects with WP-NRS score &gt; 1 at baseline. WP-NRS 0/1 = score of 0 or 1 at the visit.</w:t>
      </w:r>
    </w:p>
    <w:p>
      <w:pPr>
        <w:spacing w:after="0" w:before="60"/>
        <w:jc w:val="left"/>
      </w:pPr>
      <w:r>
        <w:rPr>
          <w:rFonts w:ascii="Arial" w:cs="Arial" w:eastAsia="Arial" w:hAnsi="Arial"/>
          <w:i/>
          <w:iCs/>
          <w:color w:val="808080"/>
          <w:sz w:val="14"/>
          <w:szCs w:val="14"/>
        </w:rPr>
        <w:t xml:space="preserve">Source: ADEFF (PARAMCD in 'WPNRS4','WPNRS01','WPNPCHG','WPNCHG').</w:t>
      </w:r>
    </w:p>
    <w:p>
      <w:r>
        <w:br w:type="page"/>
      </w:r>
    </w:p>
    <w:p>
      <w:pPr>
        <w:spacing w:after="60" w:before="240"/>
        <w:jc w:val="center"/>
      </w:pPr>
      <w:r>
        <w:rPr>
          <w:rFonts w:ascii="Arial" w:cs="Arial" w:eastAsia="Arial" w:hAnsi="Arial"/>
          <w:b/>
          <w:bCs/>
          <w:sz w:val="22"/>
          <w:szCs w:val="22"/>
        </w:rPr>
        <w:t xml:space="preserve">Table 14.2.6</w:t>
      </w:r>
    </w:p>
    <w:p>
      <w:pPr>
        <w:spacing w:after="60"/>
        <w:jc w:val="center"/>
      </w:pPr>
      <w:r>
        <w:rPr>
          <w:rFonts w:ascii="Arial" w:cs="Arial" w:eastAsia="Arial" w:hAnsi="Arial"/>
          <w:b/>
          <w:bCs/>
          <w:sz w:val="22"/>
          <w:szCs w:val="22"/>
        </w:rPr>
        <w:t xml:space="preserve">Simultaneous Achievement of EASI 90 and WP-NRS 0/1 (Minimal Disease Activity)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1900"/>
        <w:gridCol w:w="1900"/>
        <w:gridCol w:w="1900"/>
      </w:tblGrid>
      <w:tr>
        <w:trPr>
          <w:tblHeader/>
        </w:trPr>
        <w:tc>
          <w:tcPr>
            <w:tcW w:type="dxa" w:w="3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Endpoint</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n/N' (%) [95% CI]</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n/N' (%) [95% CI]</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n/N' (%) [95% CI]</w:t>
            </w:r>
          </w:p>
        </w:tc>
      </w:tr>
      <w:tr>
        <w:tc>
          <w:tcPr>
            <w:tcW w:type="dxa" w:w="10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Simultaneous EASI 90 + WP-NRS 0/1 (Minimal Disease Activity)  </w:t>
            </w:r>
            <w:r>
              <w:rPr>
                <w:rFonts w:ascii="Arial" w:cs="Arial" w:eastAsia="Arial" w:hAnsi="Arial"/>
                <w:color w:val="C00000"/>
                <w:sz w:val="18"/>
                <w:szCs w:val="18"/>
              </w:rPr>
              <w:t xml:space="preserve">ADEFF.PARAMCD='MDA90'</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MDA (EASI 90 AND WP-NRS 0/1)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104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xxx/xxx (xx.x) [xx.x, xx.x]</w:t>
            </w:r>
          </w:p>
        </w:tc>
      </w:tr>
    </w:tbl>
    <w:p>
      <w:pPr>
        <w:spacing w:after="0" w:before="100"/>
        <w:jc w:val="left"/>
      </w:pPr>
      <w:r>
        <w:rPr>
          <w:rFonts w:ascii="Arial" w:cs="Arial" w:eastAsia="Arial" w:hAnsi="Arial"/>
          <w:i/>
          <w:iCs/>
          <w:sz w:val="16"/>
          <w:szCs w:val="16"/>
        </w:rPr>
        <w:t xml:space="preserve">Minimal Disease Activity (MDA) per AHEAD consensus = simultaneous achievement of EASI 90 (skin) and WP-NRS 0/1 (itch). Denominator = subjects with WP-NRS &gt; 1 at baseline AND non-missing EASI and WP-NRS at the visit.</w:t>
      </w:r>
    </w:p>
    <w:p>
      <w:pPr>
        <w:spacing w:after="0" w:before="60"/>
        <w:jc w:val="left"/>
      </w:pPr>
      <w:r>
        <w:rPr>
          <w:rFonts w:ascii="Arial" w:cs="Arial" w:eastAsia="Arial" w:hAnsi="Arial"/>
          <w:i/>
          <w:iCs/>
          <w:color w:val="808080"/>
          <w:sz w:val="14"/>
          <w:szCs w:val="14"/>
        </w:rPr>
        <w:t xml:space="preserve">Source: ADEFF (PARAMCD='MDA90').</w:t>
      </w:r>
    </w:p>
    <w:p>
      <w:r>
        <w:br w:type="page"/>
      </w:r>
    </w:p>
    <w:p>
      <w:pPr>
        <w:spacing w:after="60" w:before="240"/>
        <w:jc w:val="center"/>
      </w:pPr>
      <w:r>
        <w:rPr>
          <w:rFonts w:ascii="Arial" w:cs="Arial" w:eastAsia="Arial" w:hAnsi="Arial"/>
          <w:b/>
          <w:bCs/>
          <w:sz w:val="22"/>
          <w:szCs w:val="22"/>
        </w:rPr>
        <w:t xml:space="preserve">Table 14.2.7</w:t>
      </w:r>
    </w:p>
    <w:p>
      <w:pPr>
        <w:spacing w:after="60"/>
        <w:jc w:val="center"/>
      </w:pPr>
      <w:r>
        <w:rPr>
          <w:rFonts w:ascii="Arial" w:cs="Arial" w:eastAsia="Arial" w:hAnsi="Arial"/>
          <w:b/>
          <w:bCs/>
          <w:sz w:val="22"/>
          <w:szCs w:val="22"/>
        </w:rPr>
        <w:t xml:space="preserve">Loss of Response and Long-Term Maintenance of EASI Response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00"/>
      </w:tblGrid>
      <w:tr>
        <w:trPr>
          <w:tblHeader/>
        </w:trPr>
        <w:tc>
          <w:tcPr>
            <w:tcW w:type="dxa" w:w="4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Analysis</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n/N (%) [95% CI]</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n/N (%) [95% CI]</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Loss of Response After Week 16 Up To Week 140 [a,b]  </w:t>
            </w:r>
            <w:r>
              <w:rPr>
                <w:rFonts w:ascii="Arial" w:cs="Arial" w:eastAsia="Arial" w:hAnsi="Arial"/>
                <w:color w:val="C00000"/>
                <w:sz w:val="18"/>
                <w:szCs w:val="18"/>
              </w:rPr>
              <w:t xml:space="preserve">ADEFF.PARAMCD='LOSSRESP'</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At any time between Wk 16 and Wk 140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By Week 52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By Week 140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Maintenance of EASI 75 at Wk 140 (Among Wk 16 EASI 75 Responders) [c]  </w:t>
            </w:r>
            <w:r>
              <w:rPr>
                <w:rFonts w:ascii="Arial" w:cs="Arial" w:eastAsia="Arial" w:hAnsi="Arial"/>
                <w:color w:val="C00000"/>
                <w:sz w:val="18"/>
                <w:szCs w:val="18"/>
              </w:rPr>
              <w:t xml:space="preserve">ADEFF.PARAMCD='EASI75MN'</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Maintained EASI 75 at Wk 140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Achievement of EASI 75 at Wk 140 (Among Wk 16 EASI 75 Non-responders) [d]  </w:t>
            </w:r>
            <w:r>
              <w:rPr>
                <w:rFonts w:ascii="Arial" w:cs="Arial" w:eastAsia="Arial" w:hAnsi="Arial"/>
                <w:color w:val="C00000"/>
                <w:sz w:val="18"/>
                <w:szCs w:val="18"/>
              </w:rPr>
              <w:t xml:space="preserve">ADEFF.PARAMCD='EASI75NR'</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Achieved EASI 75 at Wk 140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Maintenance of EASI 90 at Wk 140 (Among Wk 16 EASI 90 Responders) [c]  </w:t>
            </w:r>
            <w:r>
              <w:rPr>
                <w:rFonts w:ascii="Arial" w:cs="Arial" w:eastAsia="Arial" w:hAnsi="Arial"/>
                <w:color w:val="C00000"/>
                <w:sz w:val="18"/>
                <w:szCs w:val="18"/>
              </w:rPr>
              <w:t xml:space="preserve">ADEFF.PARAMCD='EASI90MN'</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Maintained EASI 90 at Wk 140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Achievement of EASI 90 at Wk 140 (Among Wk 16 EASI 90 Non-responders) [d]  </w:t>
            </w:r>
            <w:r>
              <w:rPr>
                <w:rFonts w:ascii="Arial" w:cs="Arial" w:eastAsia="Arial" w:hAnsi="Arial"/>
                <w:color w:val="C00000"/>
                <w:sz w:val="18"/>
                <w:szCs w:val="18"/>
              </w:rPr>
              <w:t xml:space="preserve">ADEFF.PARAMCD='EASI90NR'</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Achieved EASI 90 at Wk 140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xx/xxx (xx.x) [x.x, xx.x]</w:t>
            </w:r>
          </w:p>
        </w:tc>
      </w:tr>
    </w:tbl>
    <w:p>
      <w:pPr>
        <w:spacing w:after="0" w:before="100"/>
        <w:jc w:val="left"/>
      </w:pPr>
      <w:r>
        <w:rPr>
          <w:rFonts w:ascii="Arial" w:cs="Arial" w:eastAsia="Arial" w:hAnsi="Arial"/>
          <w:i/>
          <w:iCs/>
          <w:sz w:val="16"/>
          <w:szCs w:val="16"/>
        </w:rPr>
        <w:t xml:space="preserve">[a] Loss of response = ≥ 50% reduction of the EASI improvement observed at Wk 16, AND vIGA-AD ≥ 2 at the visit.</w:t>
      </w:r>
    </w:p>
    <w:p>
      <w:pPr>
        <w:spacing w:after="0" w:before="100"/>
        <w:jc w:val="left"/>
      </w:pPr>
      <w:r>
        <w:rPr>
          <w:rFonts w:ascii="Arial" w:cs="Arial" w:eastAsia="Arial" w:hAnsi="Arial"/>
          <w:i/>
          <w:iCs/>
          <w:sz w:val="16"/>
          <w:szCs w:val="16"/>
        </w:rPr>
        <w:t xml:space="preserve">[b] Responders for the loss-of-response analysis are subjects who simultaneously achieved EASI 75 and vIGA-AD 0/1 at Week 16.</w:t>
      </w:r>
    </w:p>
    <w:p>
      <w:pPr>
        <w:spacing w:after="0" w:before="100"/>
        <w:jc w:val="left"/>
      </w:pPr>
      <w:r>
        <w:rPr>
          <w:rFonts w:ascii="Arial" w:cs="Arial" w:eastAsia="Arial" w:hAnsi="Arial"/>
          <w:i/>
          <w:iCs/>
          <w:sz w:val="16"/>
          <w:szCs w:val="16"/>
        </w:rPr>
        <w:t xml:space="preserve">[c] Responders are subjects who achieved the response at Week 16. Numerator = subjects who maintained at Week 140.</w:t>
      </w:r>
    </w:p>
    <w:p>
      <w:pPr>
        <w:spacing w:after="0" w:before="100"/>
        <w:jc w:val="left"/>
      </w:pPr>
      <w:r>
        <w:rPr>
          <w:rFonts w:ascii="Arial" w:cs="Arial" w:eastAsia="Arial" w:hAnsi="Arial"/>
          <w:i/>
          <w:iCs/>
          <w:sz w:val="16"/>
          <w:szCs w:val="16"/>
        </w:rPr>
        <w:t xml:space="preserve">[d] Non-responders are subjects who did not achieve the response at Week 16. Numerator = subjects who subsequently achieved at Week 140.</w:t>
      </w:r>
    </w:p>
    <w:p>
      <w:pPr>
        <w:spacing w:after="0" w:before="60"/>
        <w:jc w:val="left"/>
      </w:pPr>
      <w:r>
        <w:rPr>
          <w:rFonts w:ascii="Arial" w:cs="Arial" w:eastAsia="Arial" w:hAnsi="Arial"/>
          <w:i/>
          <w:iCs/>
          <w:color w:val="808080"/>
          <w:sz w:val="14"/>
          <w:szCs w:val="14"/>
        </w:rPr>
        <w:t xml:space="preserve">Source: ADEFF (PARAMCD in 'LOSSRESP','EASI75MN','EASI75NR','EASI90MN','EASI90NR').</w:t>
      </w:r>
    </w:p>
    <w:p>
      <w:r>
        <w:br w:type="page"/>
      </w:r>
    </w:p>
    <w:p>
      <w:pPr>
        <w:spacing w:after="60" w:before="240"/>
        <w:jc w:val="center"/>
      </w:pPr>
      <w:r>
        <w:rPr>
          <w:rFonts w:ascii="Arial" w:cs="Arial" w:eastAsia="Arial" w:hAnsi="Arial"/>
          <w:b/>
          <w:bCs/>
          <w:sz w:val="22"/>
          <w:szCs w:val="22"/>
        </w:rPr>
        <w:t xml:space="preserve">Table 14.3.1</w:t>
      </w:r>
    </w:p>
    <w:p>
      <w:pPr>
        <w:spacing w:after="60"/>
        <w:jc w:val="center"/>
      </w:pPr>
      <w:r>
        <w:rPr>
          <w:rFonts w:ascii="Arial" w:cs="Arial" w:eastAsia="Arial" w:hAnsi="Arial"/>
          <w:b/>
          <w:bCs/>
          <w:sz w:val="22"/>
          <w:szCs w:val="22"/>
        </w:rPr>
        <w:t xml:space="preserve">Overview of Treatment-Emergent Adverse Events Through Week 140 (Exposure-Adjusted)</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00"/>
      </w:tblGrid>
      <w:tr>
        <w:trPr>
          <w:tblHeader/>
        </w:trPr>
        <w:tc>
          <w:tcPr>
            <w:tcW w:type="dxa" w:w="4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Parameter</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PY = x,xxx.x
E (E/100 PY)</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PY = x,xxx.x
E (E/100 PY)</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Any TEAE  </w:t>
            </w:r>
            <w:r>
              <w:rPr>
                <w:rFonts w:ascii="Arial" w:cs="Arial" w:eastAsia="Arial" w:hAnsi="Arial"/>
                <w:color w:val="C00000"/>
                <w:sz w:val="18"/>
                <w:szCs w:val="18"/>
              </w:rPr>
              <w:t xml:space="preserve">ADAE.AETERM (any)</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Any Serious TEAE  </w:t>
            </w:r>
            <w:r>
              <w:rPr>
                <w:rFonts w:ascii="Arial" w:cs="Arial" w:eastAsia="Arial" w:hAnsi="Arial"/>
                <w:color w:val="C00000"/>
                <w:sz w:val="18"/>
                <w:szCs w:val="18"/>
              </w:rPr>
              <w:t xml:space="preserve">ADAE.AESER='Y'</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Any Severe TEAE  </w:t>
            </w:r>
            <w:r>
              <w:rPr>
                <w:rFonts w:ascii="Arial" w:cs="Arial" w:eastAsia="Arial" w:hAnsi="Arial"/>
                <w:color w:val="C00000"/>
                <w:sz w:val="18"/>
                <w:szCs w:val="18"/>
              </w:rPr>
              <w:t xml:space="preserve">ADAE.AESEV='SEVERE'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TEAE possibly related to study drug  </w:t>
            </w:r>
            <w:r>
              <w:rPr>
                <w:rFonts w:ascii="Arial" w:cs="Arial" w:eastAsia="Arial" w:hAnsi="Arial"/>
                <w:color w:val="C00000"/>
                <w:sz w:val="18"/>
                <w:szCs w:val="18"/>
              </w:rPr>
              <w:t xml:space="preserve">ADAE.AEREL in ('POSSIBLE','PROBABLE','RELATED')</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TEAE leading to study drug discontinuation  </w:t>
            </w:r>
            <w:r>
              <w:rPr>
                <w:rFonts w:ascii="Arial" w:cs="Arial" w:eastAsia="Arial" w:hAnsi="Arial"/>
                <w:color w:val="C00000"/>
                <w:sz w:val="18"/>
                <w:szCs w:val="18"/>
              </w:rPr>
              <w:t xml:space="preserve">ADAE.AEACN='DRUG WITHDRAWN'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TEAE leading to dose modification  </w:t>
            </w:r>
            <w:r>
              <w:rPr>
                <w:rFonts w:ascii="Arial" w:cs="Arial" w:eastAsia="Arial" w:hAnsi="Arial"/>
                <w:color w:val="C00000"/>
                <w:sz w:val="18"/>
                <w:szCs w:val="18"/>
              </w:rPr>
              <w:t xml:space="preserve">ADAE.AEACN in ('DOSE REDUCED','DRUG INTERRUPTED')</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Deaths  </w:t>
            </w:r>
            <w:r>
              <w:rPr>
                <w:rFonts w:ascii="Arial" w:cs="Arial" w:eastAsia="Arial" w:hAnsi="Arial"/>
                <w:color w:val="C00000"/>
                <w:sz w:val="18"/>
                <w:szCs w:val="18"/>
              </w:rPr>
              <w:t xml:space="preserve">ADAE.AESDTH='Y'</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bl>
    <w:p>
      <w:pPr>
        <w:spacing w:after="0" w:before="100"/>
        <w:jc w:val="left"/>
      </w:pPr>
      <w:r>
        <w:rPr>
          <w:rFonts w:ascii="Arial" w:cs="Arial" w:eastAsia="Arial" w:hAnsi="Arial"/>
          <w:i/>
          <w:iCs/>
          <w:sz w:val="16"/>
          <w:szCs w:val="16"/>
        </w:rPr>
        <w:t xml:space="preserve">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pPr>
        <w:spacing w:after="0" w:before="60"/>
        <w:jc w:val="left"/>
      </w:pPr>
      <w:r>
        <w:rPr>
          <w:rFonts w:ascii="Arial" w:cs="Arial" w:eastAsia="Arial" w:hAnsi="Arial"/>
          <w:i/>
          <w:iCs/>
          <w:color w:val="808080"/>
          <w:sz w:val="14"/>
          <w:szCs w:val="14"/>
        </w:rPr>
        <w:t xml:space="preserve">Source: ADAE (TRTEMFL='Y'), ADEX (TRTDUR for PY denominator).</w:t>
      </w:r>
    </w:p>
    <w:p>
      <w:r>
        <w:br w:type="page"/>
      </w:r>
    </w:p>
    <w:p>
      <w:pPr>
        <w:spacing w:after="60" w:before="240"/>
        <w:jc w:val="center"/>
      </w:pPr>
      <w:r>
        <w:rPr>
          <w:rFonts w:ascii="Arial" w:cs="Arial" w:eastAsia="Arial" w:hAnsi="Arial"/>
          <w:b/>
          <w:bCs/>
          <w:sz w:val="22"/>
          <w:szCs w:val="22"/>
        </w:rPr>
        <w:t xml:space="preserve">Table 14.3.2</w:t>
      </w:r>
    </w:p>
    <w:p>
      <w:pPr>
        <w:spacing w:after="60"/>
        <w:jc w:val="center"/>
      </w:pPr>
      <w:r>
        <w:rPr>
          <w:rFonts w:ascii="Arial" w:cs="Arial" w:eastAsia="Arial" w:hAnsi="Arial"/>
          <w:b/>
          <w:bCs/>
          <w:sz w:val="22"/>
          <w:szCs w:val="22"/>
        </w:rPr>
        <w:t xml:space="preserve">Most Common Treatment-Emergent Adverse Events Through Week 140 (≥ 5 E/100 PY in any treatment group, by Preferred Term)</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00"/>
      </w:tblGrid>
      <w:tr>
        <w:trPr>
          <w:tblHeader/>
        </w:trPr>
        <w:tc>
          <w:tcPr>
            <w:tcW w:type="dxa" w:w="4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Preferred Term</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E (E/100 PY)</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E (E/100 PY)</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COVID-19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Nasopharyngitis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Acne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Upper respiratory tract infection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Worsening of atopic dermatitis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Blood creatine phosphokinase increased</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Oral herpes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Headache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Folliculitis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Influenza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Sinusitis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Bronchitis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Urinary tract infection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Diarrhoea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Back pain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Most common TEAEs are defined as Preferred Terms with exposure-adjusted event rate ≥ 5 E/100 PY in either UPADALIMIB treatment group through Week 140. Adverse events are coded using MedDRA (current version at database lock). PTs are sorted in descending order by combined event rate across UPADALIMIB arms.</w:t>
      </w:r>
    </w:p>
    <w:p>
      <w:pPr>
        <w:spacing w:after="0" w:before="60"/>
        <w:jc w:val="left"/>
      </w:pPr>
      <w:r>
        <w:rPr>
          <w:rFonts w:ascii="Arial" w:cs="Arial" w:eastAsia="Arial" w:hAnsi="Arial"/>
          <w:i/>
          <w:iCs/>
          <w:color w:val="808080"/>
          <w:sz w:val="14"/>
          <w:szCs w:val="14"/>
        </w:rPr>
        <w:t xml:space="preserve">Source: ADAE (TRTEMFL='Y').</w:t>
      </w:r>
    </w:p>
    <w:p>
      <w:r>
        <w:br w:type="page"/>
      </w:r>
    </w:p>
    <w:p>
      <w:pPr>
        <w:spacing w:after="60" w:before="240"/>
        <w:jc w:val="center"/>
      </w:pPr>
      <w:r>
        <w:rPr>
          <w:rFonts w:ascii="Arial" w:cs="Arial" w:eastAsia="Arial" w:hAnsi="Arial"/>
          <w:b/>
          <w:bCs/>
          <w:sz w:val="22"/>
          <w:szCs w:val="22"/>
        </w:rPr>
        <w:t xml:space="preserve">Table 14.3.3</w:t>
      </w:r>
    </w:p>
    <w:p>
      <w:pPr>
        <w:spacing w:after="60"/>
        <w:jc w:val="center"/>
      </w:pPr>
      <w:r>
        <w:rPr>
          <w:rFonts w:ascii="Arial" w:cs="Arial" w:eastAsia="Arial" w:hAnsi="Arial"/>
          <w:b/>
          <w:bCs/>
          <w:sz w:val="22"/>
          <w:szCs w:val="22"/>
        </w:rPr>
        <w:t xml:space="preserve">Adverse Events of Special Interest (AESIs) Through Week 140</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00"/>
      </w:tblGrid>
      <w:tr>
        <w:trPr>
          <w:tblHeader/>
        </w:trPr>
        <w:tc>
          <w:tcPr>
            <w:tcW w:type="dxa" w:w="4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AESI Category</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E (E/100 PY)</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E (E/100 PY)</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Infections  </w:t>
            </w:r>
            <w:r>
              <w:rPr>
                <w:rFonts w:ascii="Arial" w:cs="Arial" w:eastAsia="Arial" w:hAnsi="Arial"/>
                <w:color w:val="C00000"/>
                <w:sz w:val="18"/>
                <w:szCs w:val="18"/>
              </w:rPr>
              <w:t xml:space="preserve">ADAE.AESI='INFECTION'</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Serious infection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Opportunistic infection (excl. TB and herpes zoster)</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Herpes zoster</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Eczema herpeticum</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Active tuberculosis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Hematologic / Hepatic  </w:t>
            </w:r>
            <w:r>
              <w:rPr>
                <w:rFonts w:ascii="Arial" w:cs="Arial" w:eastAsia="Arial" w:hAnsi="Arial"/>
                <w:color w:val="C00000"/>
                <w:sz w:val="18"/>
                <w:szCs w:val="18"/>
              </w:rPr>
              <w:t xml:space="preserve">ADAE.AESI in ('HEMATOLOGIC','HEPATIC')</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Anemia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Neutropenia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Lymphopenia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Hepatic disorder</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Cardiovascular &amp; Thromboembolic (Adjudicated)  </w:t>
            </w:r>
            <w:r>
              <w:rPr>
                <w:rFonts w:ascii="Arial" w:cs="Arial" w:eastAsia="Arial" w:hAnsi="Arial"/>
                <w:color w:val="C00000"/>
                <w:sz w:val="18"/>
                <w:szCs w:val="18"/>
              </w:rPr>
              <w:t xml:space="preserve">ADAE.AEADJUD='Y'</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Adjudicated MACE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Adjudicated VTE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Malignancy  </w:t>
            </w:r>
            <w:r>
              <w:rPr>
                <w:rFonts w:ascii="Arial" w:cs="Arial" w:eastAsia="Arial" w:hAnsi="Arial"/>
                <w:color w:val="C00000"/>
                <w:sz w:val="18"/>
                <w:szCs w:val="18"/>
              </w:rPr>
              <w:t xml:space="preserve">ADAE.AESI='MALIGNANCY'</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Non-melanoma skin cancer (NMSC)</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Malignancy excluding NMSC</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Lymphoma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9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Other AESIs  </w:t>
            </w:r>
            <w:r>
              <w:rPr>
                <w:rFonts w:ascii="Arial" w:cs="Arial" w:eastAsia="Arial" w:hAnsi="Arial"/>
                <w:color w:val="C00000"/>
                <w:sz w:val="18"/>
                <w:szCs w:val="18"/>
              </w:rPr>
              <w:t xml:space="preserve">ADAE.AESI='OTHER'</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Adjudicated gastrointestinal perforation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CPK elevation (laboratory finding)</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Renal dysfunction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bl>
    <w:p>
      <w:pPr>
        <w:spacing w:after="0" w:before="100"/>
        <w:jc w:val="left"/>
      </w:pPr>
      <w:r>
        <w:rPr>
          <w:rFonts w:ascii="Arial" w:cs="Arial" w:eastAsia="Arial" w:hAnsi="Arial"/>
          <w:i/>
          <w:iCs/>
          <w:sz w:val="16"/>
          <w:szCs w:val="16"/>
        </w:rPr>
        <w:t xml:space="preserve">AESIs are defined per protocol and the upadacitinib AESI charter. MACE and VTE are adjudicated by an independent committee. Eczema herpeticum is reported as an opportunistic infection.</w:t>
      </w:r>
    </w:p>
    <w:p>
      <w:pPr>
        <w:spacing w:after="0" w:before="60"/>
        <w:jc w:val="left"/>
      </w:pPr>
      <w:r>
        <w:rPr>
          <w:rFonts w:ascii="Arial" w:cs="Arial" w:eastAsia="Arial" w:hAnsi="Arial"/>
          <w:i/>
          <w:iCs/>
          <w:color w:val="808080"/>
          <w:sz w:val="14"/>
          <w:szCs w:val="14"/>
        </w:rPr>
        <w:t xml:space="preserve">Source: ADAE (records flagged as AESI).</w:t>
      </w:r>
    </w:p>
    <w:p>
      <w:r>
        <w:br w:type="page"/>
      </w:r>
    </w:p>
    <w:p>
      <w:pPr>
        <w:spacing w:after="60" w:before="240"/>
        <w:jc w:val="center"/>
      </w:pPr>
      <w:r>
        <w:rPr>
          <w:rFonts w:ascii="Arial" w:cs="Arial" w:eastAsia="Arial" w:hAnsi="Arial"/>
          <w:b/>
          <w:bCs/>
          <w:sz w:val="22"/>
          <w:szCs w:val="22"/>
        </w:rPr>
        <w:t xml:space="preserve">Table 14.3.4</w:t>
      </w:r>
    </w:p>
    <w:p>
      <w:pPr>
        <w:spacing w:after="60"/>
        <w:jc w:val="center"/>
      </w:pPr>
      <w:r>
        <w:rPr>
          <w:rFonts w:ascii="Arial" w:cs="Arial" w:eastAsia="Arial" w:hAnsi="Arial"/>
          <w:b/>
          <w:bCs/>
          <w:sz w:val="22"/>
          <w:szCs w:val="22"/>
        </w:rPr>
        <w:t xml:space="preserve">Treatment-Emergent Adverse Events by System Organ Class and Preferred Term (≥ 2% in any group)</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400"/>
        <w:gridCol w:w="1700"/>
        <w:gridCol w:w="1700"/>
        <w:gridCol w:w="1700"/>
      </w:tblGrid>
      <w:tr>
        <w:trPr>
          <w:tblHeader/>
        </w:trPr>
        <w:tc>
          <w:tcPr>
            <w:tcW w:type="dxa" w:w="4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System Organ Class / Preferred Term</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 (%)</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 (%)</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
n (%)</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Subjects with at least one TEAE  </w:t>
            </w:r>
            <w:r>
              <w:rPr>
                <w:rFonts w:ascii="Arial" w:cs="Arial" w:eastAsia="Arial" w:hAnsi="Arial"/>
                <w:color w:val="C00000"/>
                <w:sz w:val="18"/>
                <w:szCs w:val="18"/>
              </w:rPr>
              <w:t xml:space="preserve">ADAE.TRTEMFL='Y' (any)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Infections and infestations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COVID-19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Nasopharyngitis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Upper respiratory tract infection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Oral herpes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Folliculitis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Eczema herpeticum</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Herpes zoster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Skin and subcutaneous tissue disorders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Acne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Worsening of atopic dermatitis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Pruritus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Dermatitis contact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Investigations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Blood creatine phosphokinase increased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Alanine aminotransferase increased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Aspartate aminotransferase increased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Blood cholesterol increased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Lymphocyte count decreased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Neutrophil count decreased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Nervous system disorders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Headache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Gastrointestinal disorders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Nausea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Diarrhoea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Musculoskeletal and connective tissue disorders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Back pain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Arthralgia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Respiratory, thoracic and mediastinal disorders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Cough</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Asthma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Subjects experiencing more than one event within the same SOC or PT are counted once. SOCs and PTs are sorted alphabetically; only those with incidence ≥ 2% in any treatment group are presented. AEs coded with MedDRA.</w:t>
      </w:r>
    </w:p>
    <w:p>
      <w:pPr>
        <w:spacing w:after="0" w:before="60"/>
        <w:jc w:val="left"/>
      </w:pPr>
      <w:r>
        <w:rPr>
          <w:rFonts w:ascii="Arial" w:cs="Arial" w:eastAsia="Arial" w:hAnsi="Arial"/>
          <w:i/>
          <w:iCs/>
          <w:color w:val="808080"/>
          <w:sz w:val="14"/>
          <w:szCs w:val="14"/>
        </w:rPr>
        <w:t xml:space="preserve">Source: ADAE (TRTEMFL='Y').</w:t>
      </w:r>
    </w:p>
    <w:p>
      <w:r>
        <w:br w:type="page"/>
      </w:r>
    </w:p>
    <w:p>
      <w:pPr>
        <w:spacing w:after="60" w:before="240"/>
        <w:jc w:val="center"/>
      </w:pPr>
      <w:r>
        <w:rPr>
          <w:rFonts w:ascii="Arial" w:cs="Arial" w:eastAsia="Arial" w:hAnsi="Arial"/>
          <w:b/>
          <w:bCs/>
          <w:sz w:val="22"/>
          <w:szCs w:val="22"/>
        </w:rPr>
        <w:t xml:space="preserve">Table 14.3.5</w:t>
      </w:r>
    </w:p>
    <w:p>
      <w:pPr>
        <w:spacing w:after="60"/>
        <w:jc w:val="center"/>
      </w:pPr>
      <w:r>
        <w:rPr>
          <w:rFonts w:ascii="Arial" w:cs="Arial" w:eastAsia="Arial" w:hAnsi="Arial"/>
          <w:b/>
          <w:bCs/>
          <w:sz w:val="22"/>
          <w:szCs w:val="22"/>
        </w:rPr>
        <w:t xml:space="preserve">Serious Infections by Preferred Term Through Week 140 (Exposure-Adjusted)</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00"/>
      </w:tblGrid>
      <w:tr>
        <w:trPr>
          <w:tblHeader/>
        </w:trPr>
        <w:tc>
          <w:tcPr>
            <w:tcW w:type="dxa" w:w="4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Preferred Term</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E (E/100 PY)</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E (E/100 PY)</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Total serious infections  </w:t>
            </w:r>
            <w:r>
              <w:rPr>
                <w:rFonts w:ascii="Arial" w:cs="Arial" w:eastAsia="Arial" w:hAnsi="Arial"/>
                <w:color w:val="C00000"/>
                <w:sz w:val="18"/>
                <w:szCs w:val="18"/>
              </w:rPr>
              <w:t xml:space="preserve">ADAE.AESER='Y' and AESI='INFECTION'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COVID-19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COVID-19 pneumonia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Pneumonia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Eczema herpeticum</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Herpes zoster</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Cellulitis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Sepsis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Appendicitis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Other (each &lt;0.2 E/100 PY)</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 (x.x)</w:t>
            </w:r>
          </w:p>
        </w:tc>
      </w:tr>
    </w:tbl>
    <w:p>
      <w:pPr>
        <w:spacing w:after="0" w:before="100"/>
        <w:jc w:val="left"/>
      </w:pPr>
      <w:r>
        <w:rPr>
          <w:rFonts w:ascii="Arial" w:cs="Arial" w:eastAsia="Arial" w:hAnsi="Arial"/>
          <w:i/>
          <w:iCs/>
          <w:sz w:val="16"/>
          <w:szCs w:val="16"/>
        </w:rPr>
        <w:t xml:space="preserve">Serious infection = adverse event coded under MedDRA SOC 'Infections and infestations' AND meeting seriousness criteria. Most opportunistic events are eczema herpeticum (reported separately under AESIs).</w:t>
      </w:r>
    </w:p>
    <w:p>
      <w:pPr>
        <w:spacing w:after="0" w:before="60"/>
        <w:jc w:val="left"/>
      </w:pPr>
      <w:r>
        <w:rPr>
          <w:rFonts w:ascii="Arial" w:cs="Arial" w:eastAsia="Arial" w:hAnsi="Arial"/>
          <w:i/>
          <w:iCs/>
          <w:color w:val="808080"/>
          <w:sz w:val="14"/>
          <w:szCs w:val="14"/>
        </w:rPr>
        <w:t xml:space="preserve">Source: ADAE (AESER='Y' and AESI='INFECTION').</w:t>
      </w:r>
    </w:p>
    <w:p>
      <w:r>
        <w:br w:type="page"/>
      </w:r>
    </w:p>
    <w:p>
      <w:pPr>
        <w:spacing w:after="60" w:before="240"/>
        <w:jc w:val="center"/>
      </w:pPr>
      <w:r>
        <w:rPr>
          <w:rFonts w:ascii="Arial" w:cs="Arial" w:eastAsia="Arial" w:hAnsi="Arial"/>
          <w:b/>
          <w:bCs/>
          <w:sz w:val="22"/>
          <w:szCs w:val="22"/>
        </w:rPr>
        <w:t xml:space="preserve">Table 14.3.6</w:t>
      </w:r>
    </w:p>
    <w:p>
      <w:pPr>
        <w:spacing w:after="60"/>
        <w:jc w:val="center"/>
      </w:pPr>
      <w:r>
        <w:rPr>
          <w:rFonts w:ascii="Arial" w:cs="Arial" w:eastAsia="Arial" w:hAnsi="Arial"/>
          <w:b/>
          <w:bCs/>
          <w:sz w:val="22"/>
          <w:szCs w:val="22"/>
        </w:rPr>
        <w:t xml:space="preserve">Summary of Deaths Through Week 140</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00"/>
      </w:tblGrid>
      <w:tr>
        <w:trPr>
          <w:tblHeader/>
        </w:trPr>
        <w:tc>
          <w:tcPr>
            <w:tcW w:type="dxa" w:w="4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Cause of Death</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Total deaths  </w:t>
            </w:r>
            <w:r>
              <w:rPr>
                <w:rFonts w:ascii="Arial" w:cs="Arial" w:eastAsia="Arial" w:hAnsi="Arial"/>
                <w:color w:val="C00000"/>
                <w:sz w:val="18"/>
                <w:szCs w:val="18"/>
              </w:rPr>
              <w:t xml:space="preserve">ADAE.AESDTH='Y'</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Cardiovascular causes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Sudden cardiovascular death of unknown cause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Cardiac arrest</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Myocardial infarction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Cerebrovascular causes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Cerebral hemorrhage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Respiratory causes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Respiratory failure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COVID-19 pneumonia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bCs/>
                <w:sz w:val="18"/>
                <w:szCs w:val="18"/>
              </w:rPr>
              <w:t xml:space="preserve">Other</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b w:val="false"/>
                <w:bCs w:val="false"/>
                <w:sz w:val="18"/>
                <w:szCs w:val="18"/>
              </w:rPr>
              <w:t xml:space="preserve">    Shock</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w:t>
            </w:r>
          </w:p>
        </w:tc>
      </w:tr>
      <w:tr>
        <w:tc>
          <w:tcPr>
            <w:tcW w:type="dxa" w:w="4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Deaths considered related to study drug  </w:t>
            </w:r>
            <w:r>
              <w:rPr>
                <w:rFonts w:ascii="Arial" w:cs="Arial" w:eastAsia="Arial" w:hAnsi="Arial"/>
                <w:color w:val="C00000"/>
                <w:sz w:val="18"/>
                <w:szCs w:val="18"/>
              </w:rPr>
              <w:t xml:space="preserve">ADAE.AESDTH='Y' and AEREL in ('POSSIBLE','PROBABLE','RELATED')</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0</w:t>
            </w:r>
          </w:p>
        </w:tc>
      </w:tr>
    </w:tbl>
    <w:p>
      <w:pPr>
        <w:spacing w:after="0" w:before="100"/>
        <w:jc w:val="left"/>
      </w:pPr>
      <w:r>
        <w:rPr>
          <w:rFonts w:ascii="Arial" w:cs="Arial" w:eastAsia="Arial" w:hAnsi="Arial"/>
          <w:i/>
          <w:iCs/>
          <w:sz w:val="16"/>
          <w:szCs w:val="16"/>
        </w:rPr>
        <w:t xml:space="preserve">All deaths occurred in adults. Detailed narratives are provided in the CSR. Causes of death are classified per the investigator's primary cause.</w:t>
      </w:r>
    </w:p>
    <w:p>
      <w:pPr>
        <w:spacing w:after="0" w:before="60"/>
        <w:jc w:val="left"/>
      </w:pPr>
      <w:r>
        <w:rPr>
          <w:rFonts w:ascii="Arial" w:cs="Arial" w:eastAsia="Arial" w:hAnsi="Arial"/>
          <w:i/>
          <w:iCs/>
          <w:color w:val="808080"/>
          <w:sz w:val="14"/>
          <w:szCs w:val="14"/>
        </w:rPr>
        <w:t xml:space="preserve">Source: ADAE (AESDTH='Y') and ADSL.DTHCAUS.</w:t>
      </w:r>
    </w:p>
    <w:p>
      <w:r>
        <w:br w:type="page"/>
      </w:r>
    </w:p>
    <w:p>
      <w:pPr>
        <w:spacing w:after="60" w:before="240"/>
        <w:jc w:val="center"/>
      </w:pPr>
      <w:r>
        <w:rPr>
          <w:rFonts w:ascii="Arial" w:cs="Arial" w:eastAsia="Arial" w:hAnsi="Arial"/>
          <w:b/>
          <w:bCs/>
          <w:sz w:val="22"/>
          <w:szCs w:val="22"/>
        </w:rPr>
        <w:t xml:space="preserve">Table 14.3.7</w:t>
      </w:r>
    </w:p>
    <w:p>
      <w:pPr>
        <w:spacing w:after="60"/>
        <w:jc w:val="center"/>
      </w:pPr>
      <w:r>
        <w:rPr>
          <w:rFonts w:ascii="Arial" w:cs="Arial" w:eastAsia="Arial" w:hAnsi="Arial"/>
          <w:b/>
          <w:bCs/>
          <w:sz w:val="22"/>
          <w:szCs w:val="22"/>
        </w:rPr>
        <w:t xml:space="preserve">Hematology Laboratory Results — Continuous Summary by Visit</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Test / Statistic</w:t>
            </w:r>
          </w:p>
        </w:tc>
        <w:tc>
          <w:tcPr>
            <w:tcW w:type="dxa" w:w="1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Hemoglobin (g/dL)  </w:t>
            </w:r>
            <w:r>
              <w:rPr>
                <w:rFonts w:ascii="Arial" w:cs="Arial" w:eastAsia="Arial" w:hAnsi="Arial"/>
                <w:color w:val="C00000"/>
                <w:sz w:val="18"/>
                <w:szCs w:val="18"/>
              </w:rPr>
              <w:t xml:space="preserve">ADLB.PARAMCD='HGB'  (LBCAT='HEMATOLOGY')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Hematocrit (%)  </w:t>
            </w:r>
            <w:r>
              <w:rPr>
                <w:rFonts w:ascii="Arial" w:cs="Arial" w:eastAsia="Arial" w:hAnsi="Arial"/>
                <w:color w:val="C00000"/>
                <w:sz w:val="18"/>
                <w:szCs w:val="18"/>
              </w:rPr>
              <w:t xml:space="preserve">ADLB.PARAMCD='HCT'  (LBCAT='HEMATOLOGY')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RBC count (10⁶/µL)  </w:t>
            </w:r>
            <w:r>
              <w:rPr>
                <w:rFonts w:ascii="Arial" w:cs="Arial" w:eastAsia="Arial" w:hAnsi="Arial"/>
                <w:color w:val="C00000"/>
                <w:sz w:val="18"/>
                <w:szCs w:val="18"/>
              </w:rPr>
              <w:t xml:space="preserve">ADLB.PARAMCD='RBC'  (LBCAT='HEMATOLOGY')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WBC count (10³/µL)  </w:t>
            </w:r>
            <w:r>
              <w:rPr>
                <w:rFonts w:ascii="Arial" w:cs="Arial" w:eastAsia="Arial" w:hAnsi="Arial"/>
                <w:color w:val="C00000"/>
                <w:sz w:val="18"/>
                <w:szCs w:val="18"/>
              </w:rPr>
              <w:t xml:space="preserve">ADLB.PARAMCD='WBC'  (LBCAT='HEMATOLOGY')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Neutrophils (10³/µL)  </w:t>
            </w:r>
            <w:r>
              <w:rPr>
                <w:rFonts w:ascii="Arial" w:cs="Arial" w:eastAsia="Arial" w:hAnsi="Arial"/>
                <w:color w:val="C00000"/>
                <w:sz w:val="18"/>
                <w:szCs w:val="18"/>
              </w:rPr>
              <w:t xml:space="preserve">ADLB.PARAMCD='NEUT'  (LBCAT='HEMATOLOGY')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Lymphocytes (10³/µL)  </w:t>
            </w:r>
            <w:r>
              <w:rPr>
                <w:rFonts w:ascii="Arial" w:cs="Arial" w:eastAsia="Arial" w:hAnsi="Arial"/>
                <w:color w:val="C00000"/>
                <w:sz w:val="18"/>
                <w:szCs w:val="18"/>
              </w:rPr>
              <w:t xml:space="preserve">ADLB.PARAMCD='LYMPH'  (LBCAT='HEMATOLOGY')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Platelets (10³/µL)  </w:t>
            </w:r>
            <w:r>
              <w:rPr>
                <w:rFonts w:ascii="Arial" w:cs="Arial" w:eastAsia="Arial" w:hAnsi="Arial"/>
                <w:color w:val="C00000"/>
                <w:sz w:val="18"/>
                <w:szCs w:val="18"/>
              </w:rPr>
              <w:t xml:space="preserve">ADLB.PARAMCD='PLAT'  (LBCAT='HEMATOLOGY')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bl>
    <w:p>
      <w:pPr>
        <w:spacing w:after="0" w:before="100"/>
        <w:jc w:val="left"/>
      </w:pPr>
      <w:r>
        <w:rPr>
          <w:rFonts w:ascii="Arial" w:cs="Arial" w:eastAsia="Arial" w:hAnsi="Arial"/>
          <w:i/>
          <w:iCs/>
          <w:sz w:val="16"/>
          <w:szCs w:val="16"/>
        </w:rPr>
        <w:t xml:space="preserve">Continuous summaries (n, Mean, SD, Median, Q1, Q3, Min, Max) computed for each visit on subjects with non-missing assessments.</w:t>
      </w:r>
    </w:p>
    <w:p>
      <w:pPr>
        <w:spacing w:after="0" w:before="100"/>
        <w:jc w:val="left"/>
      </w:pPr>
      <w:r>
        <w:rPr>
          <w:rFonts w:ascii="Arial" w:cs="Arial" w:eastAsia="Arial" w:hAnsi="Arial"/>
          <w:i/>
          <w:iCs/>
          <w:sz w:val="16"/>
          <w:szCs w:val="16"/>
        </w:rPr>
        <w:t xml:space="preserve">Per JAK inhibitor risk-management plan: monitor hemoglobin, neutrophils, and lymphocytes. Treatment-emergent grade ≥3 abnormalities are tabulated separately in Table 14.3.11.</w:t>
      </w:r>
    </w:p>
    <w:p>
      <w:pPr>
        <w:spacing w:after="0" w:before="60"/>
        <w:jc w:val="left"/>
      </w:pPr>
      <w:r>
        <w:rPr>
          <w:rFonts w:ascii="Arial" w:cs="Arial" w:eastAsia="Arial" w:hAnsi="Arial"/>
          <w:i/>
          <w:iCs/>
          <w:color w:val="808080"/>
          <w:sz w:val="14"/>
          <w:szCs w:val="14"/>
        </w:rPr>
        <w:t xml:space="preserve">Source: ADLB (PARAMCD as listed; LBCAT='HEMATOLOGY').</w:t>
      </w:r>
    </w:p>
    <w:p>
      <w:r>
        <w:br w:type="page"/>
      </w:r>
    </w:p>
    <w:p>
      <w:pPr>
        <w:spacing w:after="60" w:before="240"/>
        <w:jc w:val="center"/>
      </w:pPr>
      <w:r>
        <w:rPr>
          <w:rFonts w:ascii="Arial" w:cs="Arial" w:eastAsia="Arial" w:hAnsi="Arial"/>
          <w:b/>
          <w:bCs/>
          <w:sz w:val="22"/>
          <w:szCs w:val="22"/>
        </w:rPr>
        <w:t xml:space="preserve">Table 14.3.8</w:t>
      </w:r>
    </w:p>
    <w:p>
      <w:pPr>
        <w:spacing w:after="60"/>
        <w:jc w:val="center"/>
      </w:pPr>
      <w:r>
        <w:rPr>
          <w:rFonts w:ascii="Arial" w:cs="Arial" w:eastAsia="Arial" w:hAnsi="Arial"/>
          <w:b/>
          <w:bCs/>
          <w:sz w:val="22"/>
          <w:szCs w:val="22"/>
        </w:rPr>
        <w:t xml:space="preserve">Hepatic Function Laboratory Results — Continuous Summary by Visit</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Test / Statistic</w:t>
            </w:r>
          </w:p>
        </w:tc>
        <w:tc>
          <w:tcPr>
            <w:tcW w:type="dxa" w:w="1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ALT / SGPT (U/L)  </w:t>
            </w:r>
            <w:r>
              <w:rPr>
                <w:rFonts w:ascii="Arial" w:cs="Arial" w:eastAsia="Arial" w:hAnsi="Arial"/>
                <w:color w:val="C00000"/>
                <w:sz w:val="18"/>
                <w:szCs w:val="18"/>
              </w:rPr>
              <w:t xml:space="preserve">ADLB.PARAMCD='ALT'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AST / SGOT (U/L)  </w:t>
            </w:r>
            <w:r>
              <w:rPr>
                <w:rFonts w:ascii="Arial" w:cs="Arial" w:eastAsia="Arial" w:hAnsi="Arial"/>
                <w:color w:val="C00000"/>
                <w:sz w:val="18"/>
                <w:szCs w:val="18"/>
              </w:rPr>
              <w:t xml:space="preserve">ADLB.PARAMCD='AST'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Total Bilirubin (mg/dL)  </w:t>
            </w:r>
            <w:r>
              <w:rPr>
                <w:rFonts w:ascii="Arial" w:cs="Arial" w:eastAsia="Arial" w:hAnsi="Arial"/>
                <w:color w:val="C00000"/>
                <w:sz w:val="18"/>
                <w:szCs w:val="18"/>
              </w:rPr>
              <w:t xml:space="preserve">ADLB.PARAMCD='BILI'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Alkaline Phosphatase (U/L)  </w:t>
            </w:r>
            <w:r>
              <w:rPr>
                <w:rFonts w:ascii="Arial" w:cs="Arial" w:eastAsia="Arial" w:hAnsi="Arial"/>
                <w:color w:val="C00000"/>
                <w:sz w:val="18"/>
                <w:szCs w:val="18"/>
              </w:rPr>
              <w:t xml:space="preserve">ADLB.PARAMCD='ALP'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Creatinine (mg/dL)  </w:t>
            </w:r>
            <w:r>
              <w:rPr>
                <w:rFonts w:ascii="Arial" w:cs="Arial" w:eastAsia="Arial" w:hAnsi="Arial"/>
                <w:color w:val="C00000"/>
                <w:sz w:val="18"/>
                <w:szCs w:val="18"/>
              </w:rPr>
              <w:t xml:space="preserve">ADLB.PARAMCD='CREAT'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bl>
    <w:p>
      <w:pPr>
        <w:spacing w:after="0" w:before="100"/>
        <w:jc w:val="left"/>
      </w:pPr>
      <w:r>
        <w:rPr>
          <w:rFonts w:ascii="Arial" w:cs="Arial" w:eastAsia="Arial" w:hAnsi="Arial"/>
          <w:i/>
          <w:iCs/>
          <w:sz w:val="16"/>
          <w:szCs w:val="16"/>
        </w:rPr>
        <w:t xml:space="preserve">Continuous summaries (n, Mean, SD, Median, Q1, Q3, Min, Max) computed for each visit on subjects with non-missing assessments.</w:t>
      </w:r>
    </w:p>
    <w:p>
      <w:pPr>
        <w:spacing w:after="0" w:before="100"/>
        <w:jc w:val="left"/>
      </w:pPr>
      <w:r>
        <w:rPr>
          <w:rFonts w:ascii="Arial" w:cs="Arial" w:eastAsia="Arial" w:hAnsi="Arial"/>
          <w:i/>
          <w:iCs/>
          <w:sz w:val="16"/>
          <w:szCs w:val="16"/>
        </w:rPr>
        <w:t xml:space="preserve">Hepatic disorder is an AESI; per protocol, dose interruption is required if ALT or AST &gt; 5 × ULN. Drug-induced liver injury (DILI) cases (Hy's law candidates) are listed in Listing 16.2.4.6.</w:t>
      </w:r>
    </w:p>
    <w:p>
      <w:pPr>
        <w:spacing w:after="0" w:before="60"/>
        <w:jc w:val="left"/>
      </w:pPr>
      <w:r>
        <w:rPr>
          <w:rFonts w:ascii="Arial" w:cs="Arial" w:eastAsia="Arial" w:hAnsi="Arial"/>
          <w:i/>
          <w:iCs/>
          <w:color w:val="808080"/>
          <w:sz w:val="14"/>
          <w:szCs w:val="14"/>
        </w:rPr>
        <w:t xml:space="preserve">Source: ADLB (PARAMCD as listed; LBCAT='CHEMISTRY').</w:t>
      </w:r>
    </w:p>
    <w:p>
      <w:r>
        <w:br w:type="page"/>
      </w:r>
    </w:p>
    <w:p>
      <w:pPr>
        <w:spacing w:after="60" w:before="240"/>
        <w:jc w:val="center"/>
      </w:pPr>
      <w:r>
        <w:rPr>
          <w:rFonts w:ascii="Arial" w:cs="Arial" w:eastAsia="Arial" w:hAnsi="Arial"/>
          <w:b/>
          <w:bCs/>
          <w:sz w:val="22"/>
          <w:szCs w:val="22"/>
        </w:rPr>
        <w:t xml:space="preserve">Table 14.3.9</w:t>
      </w:r>
    </w:p>
    <w:p>
      <w:pPr>
        <w:spacing w:after="60"/>
        <w:jc w:val="center"/>
      </w:pPr>
      <w:r>
        <w:rPr>
          <w:rFonts w:ascii="Arial" w:cs="Arial" w:eastAsia="Arial" w:hAnsi="Arial"/>
          <w:b/>
          <w:bCs/>
          <w:sz w:val="22"/>
          <w:szCs w:val="22"/>
        </w:rPr>
        <w:t xml:space="preserve">Lipid Panel Laboratory Results — Continuous Summary by Visit</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Test / Statistic</w:t>
            </w:r>
          </w:p>
        </w:tc>
        <w:tc>
          <w:tcPr>
            <w:tcW w:type="dxa" w:w="1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LDL Cholesterol (mg/dL)  </w:t>
            </w:r>
            <w:r>
              <w:rPr>
                <w:rFonts w:ascii="Arial" w:cs="Arial" w:eastAsia="Arial" w:hAnsi="Arial"/>
                <w:color w:val="C00000"/>
                <w:sz w:val="18"/>
                <w:szCs w:val="18"/>
              </w:rPr>
              <w:t xml:space="preserve">ADLB.PARAMCD='LDL'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HDL Cholesterol (mg/dL)  </w:t>
            </w:r>
            <w:r>
              <w:rPr>
                <w:rFonts w:ascii="Arial" w:cs="Arial" w:eastAsia="Arial" w:hAnsi="Arial"/>
                <w:color w:val="C00000"/>
                <w:sz w:val="18"/>
                <w:szCs w:val="18"/>
              </w:rPr>
              <w:t xml:space="preserve">ADLB.PARAMCD='HDL'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Total Cholesterol (mg/dL)  </w:t>
            </w:r>
            <w:r>
              <w:rPr>
                <w:rFonts w:ascii="Arial" w:cs="Arial" w:eastAsia="Arial" w:hAnsi="Arial"/>
                <w:color w:val="C00000"/>
                <w:sz w:val="18"/>
                <w:szCs w:val="18"/>
              </w:rPr>
              <w:t xml:space="preserve">ADLB.PARAMCD='CHOL'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Triglycerides (mg/dL)  </w:t>
            </w:r>
            <w:r>
              <w:rPr>
                <w:rFonts w:ascii="Arial" w:cs="Arial" w:eastAsia="Arial" w:hAnsi="Arial"/>
                <w:color w:val="C00000"/>
                <w:sz w:val="18"/>
                <w:szCs w:val="18"/>
              </w:rPr>
              <w:t xml:space="preserve">ADLB.PARAMCD='TRIG'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bl>
    <w:p>
      <w:pPr>
        <w:spacing w:after="0" w:before="100"/>
        <w:jc w:val="left"/>
      </w:pPr>
      <w:r>
        <w:rPr>
          <w:rFonts w:ascii="Arial" w:cs="Arial" w:eastAsia="Arial" w:hAnsi="Arial"/>
          <w:i/>
          <w:iCs/>
          <w:sz w:val="16"/>
          <w:szCs w:val="16"/>
        </w:rPr>
        <w:t xml:space="preserve">Continuous summaries (n, Mean, SD, Median, Q1, Q3, Min, Max) computed for each visit on subjects with non-missing assessments.</w:t>
      </w:r>
    </w:p>
    <w:p>
      <w:pPr>
        <w:spacing w:after="0" w:before="100"/>
        <w:jc w:val="left"/>
      </w:pPr>
      <w:r>
        <w:rPr>
          <w:rFonts w:ascii="Arial" w:cs="Arial" w:eastAsia="Arial" w:hAnsi="Arial"/>
          <w:i/>
          <w:iCs/>
          <w:sz w:val="16"/>
          <w:szCs w:val="16"/>
        </w:rPr>
        <w:t xml:space="preserve">Lipid panel monitored per JAK inhibitor risk-management plan. Initiation or up-titration of lipid-lowering therapy during the study is captured in ADCM.</w:t>
      </w:r>
    </w:p>
    <w:p>
      <w:pPr>
        <w:spacing w:after="0" w:before="60"/>
        <w:jc w:val="left"/>
      </w:pPr>
      <w:r>
        <w:rPr>
          <w:rFonts w:ascii="Arial" w:cs="Arial" w:eastAsia="Arial" w:hAnsi="Arial"/>
          <w:i/>
          <w:iCs/>
          <w:color w:val="808080"/>
          <w:sz w:val="14"/>
          <w:szCs w:val="14"/>
        </w:rPr>
        <w:t xml:space="preserve">Source: ADLB (PARAMCD as listed; LBCAT='CHEMISTRY').</w:t>
      </w:r>
    </w:p>
    <w:p>
      <w:r>
        <w:br w:type="page"/>
      </w:r>
    </w:p>
    <w:p>
      <w:pPr>
        <w:spacing w:after="60" w:before="240"/>
        <w:jc w:val="center"/>
      </w:pPr>
      <w:r>
        <w:rPr>
          <w:rFonts w:ascii="Arial" w:cs="Arial" w:eastAsia="Arial" w:hAnsi="Arial"/>
          <w:b/>
          <w:bCs/>
          <w:sz w:val="22"/>
          <w:szCs w:val="22"/>
        </w:rPr>
        <w:t xml:space="preserve">Table 14.3.10</w:t>
      </w:r>
    </w:p>
    <w:p>
      <w:pPr>
        <w:spacing w:after="60"/>
        <w:jc w:val="center"/>
      </w:pPr>
      <w:r>
        <w:rPr>
          <w:rFonts w:ascii="Arial" w:cs="Arial" w:eastAsia="Arial" w:hAnsi="Arial"/>
          <w:b/>
          <w:bCs/>
          <w:sz w:val="22"/>
          <w:szCs w:val="22"/>
        </w:rPr>
        <w:t xml:space="preserve">Creatine Phosphokinase (CPK) Laboratory Results — Continuous Summary by Visit</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Test / Statistic</w:t>
            </w:r>
          </w:p>
        </w:tc>
        <w:tc>
          <w:tcPr>
            <w:tcW w:type="dxa" w:w="1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9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CPK (U/L)  </w:t>
            </w:r>
            <w:r>
              <w:rPr>
                <w:rFonts w:ascii="Arial" w:cs="Arial" w:eastAsia="Arial" w:hAnsi="Arial"/>
                <w:color w:val="C00000"/>
                <w:sz w:val="18"/>
                <w:szCs w:val="18"/>
              </w:rPr>
              <w:t xml:space="preserve">ADLB.PARAMCD='CPK'  (LBCAT='CHEMISTRY')</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Absolute Values  </w:t>
            </w:r>
            <w:r>
              <w:rPr>
                <w:rFonts w:ascii="Arial" w:cs="Arial" w:eastAsia="Arial" w:hAnsi="Arial"/>
                <w:color w:val="C00000"/>
                <w:sz w:val="18"/>
                <w:szCs w:val="18"/>
              </w:rPr>
              <w:t xml:space="preserve">ADLB.AVAL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Change from Baseline  </w:t>
            </w:r>
            <w:r>
              <w:rPr>
                <w:rFonts w:ascii="Arial" w:cs="Arial" w:eastAsia="Arial" w:hAnsi="Arial"/>
                <w:color w:val="C00000"/>
                <w:sz w:val="18"/>
                <w:szCs w:val="18"/>
              </w:rPr>
              <w:t xml:space="preserve">ADLB.CHG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Q1, Q3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bl>
    <w:p>
      <w:pPr>
        <w:spacing w:after="0" w:before="100"/>
        <w:jc w:val="left"/>
      </w:pPr>
      <w:r>
        <w:rPr>
          <w:rFonts w:ascii="Arial" w:cs="Arial" w:eastAsia="Arial" w:hAnsi="Arial"/>
          <w:i/>
          <w:iCs/>
          <w:sz w:val="16"/>
          <w:szCs w:val="16"/>
        </w:rPr>
        <w:t xml:space="preserve">Continuous summaries (n, Mean, SD, Median, Q1, Q3, Min, Max) computed for each visit on subjects with non-missing assessments.</w:t>
      </w:r>
    </w:p>
    <w:p>
      <w:pPr>
        <w:spacing w:after="0" w:before="100"/>
        <w:jc w:val="left"/>
      </w:pPr>
      <w:r>
        <w:rPr>
          <w:rFonts w:ascii="Arial" w:cs="Arial" w:eastAsia="Arial" w:hAnsi="Arial"/>
          <w:i/>
          <w:iCs/>
          <w:sz w:val="16"/>
          <w:szCs w:val="16"/>
        </w:rPr>
        <w:t xml:space="preserve">CPK elevation is an AESI for upadacitinib. Most CPK elevations were nonserious and did not lead to study drug discontinuation. Subjects with CPK &gt; 5 × ULN are listed individually in Listing 16.2.7.3.</w:t>
      </w:r>
    </w:p>
    <w:p>
      <w:pPr>
        <w:spacing w:after="0" w:before="60"/>
        <w:jc w:val="left"/>
      </w:pPr>
      <w:r>
        <w:rPr>
          <w:rFonts w:ascii="Arial" w:cs="Arial" w:eastAsia="Arial" w:hAnsi="Arial"/>
          <w:i/>
          <w:iCs/>
          <w:color w:val="808080"/>
          <w:sz w:val="14"/>
          <w:szCs w:val="14"/>
        </w:rPr>
        <w:t xml:space="preserve">Source: ADLB (PARAMCD as listed; LBCAT='CHEMISTRY').</w:t>
      </w:r>
    </w:p>
    <w:p>
      <w:r>
        <w:br w:type="page"/>
      </w:r>
    </w:p>
    <w:p>
      <w:pPr>
        <w:spacing w:after="60" w:before="240"/>
        <w:jc w:val="center"/>
      </w:pPr>
      <w:r>
        <w:rPr>
          <w:rFonts w:ascii="Arial" w:cs="Arial" w:eastAsia="Arial" w:hAnsi="Arial"/>
          <w:b/>
          <w:bCs/>
          <w:sz w:val="22"/>
          <w:szCs w:val="22"/>
        </w:rPr>
        <w:t xml:space="preserve">Table 14.3.11</w:t>
      </w:r>
    </w:p>
    <w:p>
      <w:pPr>
        <w:spacing w:after="60"/>
        <w:jc w:val="center"/>
      </w:pPr>
      <w:r>
        <w:rPr>
          <w:rFonts w:ascii="Arial" w:cs="Arial" w:eastAsia="Arial" w:hAnsi="Arial"/>
          <w:b/>
          <w:bCs/>
          <w:sz w:val="22"/>
          <w:szCs w:val="22"/>
        </w:rPr>
        <w:t xml:space="preserve">Treatment-Emergent Worst Post-Baseline Toxicity Grade in Selected Laboratory Parameters (CTCAE v5.0)</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1900"/>
        <w:gridCol w:w="1900"/>
      </w:tblGrid>
      <w:tr>
        <w:trPr>
          <w:tblHeader/>
        </w:trPr>
        <w:tc>
          <w:tcPr>
            <w:tcW w:type="dxa" w:w="3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Lab Parameter / Toxicity Grade</w:t>
            </w:r>
          </w:p>
        </w:tc>
        <w:tc>
          <w:tcPr>
            <w:tcW w:type="dxa" w:w="1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Direction</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
n (%)</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
n (%)</w:t>
            </w:r>
          </w:p>
        </w:tc>
      </w:tr>
      <w:tr>
        <w:tc>
          <w:tcPr>
            <w:tcW w:type="dxa" w:w="8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Hemoglobin  </w:t>
            </w:r>
            <w:r>
              <w:rPr>
                <w:rFonts w:ascii="Arial" w:cs="Arial" w:eastAsia="Arial" w:hAnsi="Arial"/>
                <w:color w:val="C00000"/>
                <w:sz w:val="18"/>
                <w:szCs w:val="18"/>
              </w:rPr>
              <w:t xml:space="preserve">ADLB.PARAMCD='HGB' (CTCAE shift)</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Grade ≥ 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8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Lymphocytes (decrease)  </w:t>
            </w:r>
            <w:r>
              <w:rPr>
                <w:rFonts w:ascii="Arial" w:cs="Arial" w:eastAsia="Arial" w:hAnsi="Arial"/>
                <w:color w:val="C00000"/>
                <w:sz w:val="18"/>
                <w:szCs w:val="18"/>
              </w:rPr>
              <w:t xml:space="preserve">ADLB.PARAMCD='LYMPH' (low)</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Grade ≥ 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8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Neutrophils (decrease)  </w:t>
            </w:r>
            <w:r>
              <w:rPr>
                <w:rFonts w:ascii="Arial" w:cs="Arial" w:eastAsia="Arial" w:hAnsi="Arial"/>
                <w:color w:val="C00000"/>
                <w:sz w:val="18"/>
                <w:szCs w:val="18"/>
              </w:rPr>
              <w:t xml:space="preserve">ADLB.PARAMCD='NEUT' (low)</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Grade ≥ 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8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ALT (increase)  </w:t>
            </w:r>
            <w:r>
              <w:rPr>
                <w:rFonts w:ascii="Arial" w:cs="Arial" w:eastAsia="Arial" w:hAnsi="Arial"/>
                <w:color w:val="C00000"/>
                <w:sz w:val="18"/>
                <w:szCs w:val="18"/>
              </w:rPr>
              <w:t xml:space="preserve">ADLB.PARAMCD='ALT' (high)</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Grade ≥ 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8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AST (increase)  </w:t>
            </w:r>
            <w:r>
              <w:rPr>
                <w:rFonts w:ascii="Arial" w:cs="Arial" w:eastAsia="Arial" w:hAnsi="Arial"/>
                <w:color w:val="C00000"/>
                <w:sz w:val="18"/>
                <w:szCs w:val="18"/>
              </w:rPr>
              <w:t xml:space="preserve">ADLB.PARAMCD='AST' (high)</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Grade ≥ 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8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Creatine Phosphokinase (increase)  </w:t>
            </w:r>
            <w:r>
              <w:rPr>
                <w:rFonts w:ascii="Arial" w:cs="Arial" w:eastAsia="Arial" w:hAnsi="Arial"/>
                <w:color w:val="C00000"/>
                <w:sz w:val="18"/>
                <w:szCs w:val="18"/>
              </w:rPr>
              <w:t xml:space="preserve">ADLB.PARAMCD='CPK' (high)</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Grade ≥ 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8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LDL Cholesterol (increase)  </w:t>
            </w:r>
            <w:r>
              <w:rPr>
                <w:rFonts w:ascii="Arial" w:cs="Arial" w:eastAsia="Arial" w:hAnsi="Arial"/>
                <w:color w:val="C00000"/>
                <w:sz w:val="18"/>
                <w:szCs w:val="18"/>
              </w:rPr>
              <w:t xml:space="preserve">ADLB.PARAMCD='LDL' (high)</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Any Grade ≥ 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2</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Grade 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Either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w:t>
            </w:r>
          </w:p>
        </w:tc>
      </w:tr>
    </w:tbl>
    <w:p>
      <w:pPr>
        <w:spacing w:after="0" w:before="100"/>
        <w:jc w:val="left"/>
      </w:pPr>
      <w:r>
        <w:rPr>
          <w:rFonts w:ascii="Arial" w:cs="Arial" w:eastAsia="Arial" w:hAnsi="Arial"/>
          <w:i/>
          <w:iCs/>
          <w:sz w:val="16"/>
          <w:szCs w:val="16"/>
        </w:rPr>
        <w:t xml:space="preserve">Toxicity grading per CTCAE v5.0. 'Direction' indicates whether the abnormality is high, low, or either. A subject is counted at the worst post-baseline grade observed; subjects with a worse baseline grade are not counted for that grade.</w:t>
      </w:r>
    </w:p>
    <w:p>
      <w:pPr>
        <w:spacing w:after="0" w:before="60"/>
        <w:jc w:val="left"/>
      </w:pPr>
      <w:r>
        <w:rPr>
          <w:rFonts w:ascii="Arial" w:cs="Arial" w:eastAsia="Arial" w:hAnsi="Arial"/>
          <w:i/>
          <w:iCs/>
          <w:color w:val="808080"/>
          <w:sz w:val="14"/>
          <w:szCs w:val="14"/>
        </w:rPr>
        <w:t xml:space="preserve">Source: ADLB (ATOXGR / BTOXGR derivations).</w:t>
      </w:r>
    </w:p>
    <w:p>
      <w:r>
        <w:br w:type="page"/>
      </w:r>
    </w:p>
    <w:p>
      <w:pPr>
        <w:spacing w:after="60" w:before="240"/>
        <w:jc w:val="center"/>
      </w:pPr>
      <w:r>
        <w:rPr>
          <w:rFonts w:ascii="Arial" w:cs="Arial" w:eastAsia="Arial" w:hAnsi="Arial"/>
          <w:b/>
          <w:bCs/>
          <w:sz w:val="22"/>
          <w:szCs w:val="22"/>
        </w:rPr>
        <w:t xml:space="preserve">Table 14.3.12</w:t>
      </w:r>
    </w:p>
    <w:p>
      <w:pPr>
        <w:spacing w:after="60"/>
        <w:jc w:val="center"/>
      </w:pPr>
      <w:r>
        <w:rPr>
          <w:rFonts w:ascii="Arial" w:cs="Arial" w:eastAsia="Arial" w:hAnsi="Arial"/>
          <w:b/>
          <w:bCs/>
          <w:sz w:val="22"/>
          <w:szCs w:val="22"/>
        </w:rPr>
        <w:t xml:space="preserve">Vital Signs — Continuous Summary by Visit</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700"/>
        <w:gridCol w:w="1700"/>
        <w:gridCol w:w="17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b/>
                <w:bCs/>
                <w:sz w:val="18"/>
                <w:szCs w:val="18"/>
              </w:rPr>
              <w:t xml:space="preserve">Parameter / Statistic</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15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UPADALIMIB 30 mg
(N=200)</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Placebo
(N=200)</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Systolic Blood Pressure (mmHg)  </w:t>
            </w:r>
            <w:r>
              <w:rPr>
                <w:rFonts w:ascii="Arial" w:cs="Arial" w:eastAsia="Arial" w:hAnsi="Arial"/>
                <w:color w:val="C00000"/>
                <w:sz w:val="18"/>
                <w:szCs w:val="18"/>
              </w:rPr>
              <w:t xml:space="preserve">ADVS.PARAMCD='SYSBP'</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Diastolic Blood Pressure (mmHg)  </w:t>
            </w:r>
            <w:r>
              <w:rPr>
                <w:rFonts w:ascii="Arial" w:cs="Arial" w:eastAsia="Arial" w:hAnsi="Arial"/>
                <w:color w:val="C00000"/>
                <w:sz w:val="18"/>
                <w:szCs w:val="18"/>
              </w:rPr>
              <w:t xml:space="preserve">ADVS.PARAMCD='DIABP'</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Heart Rate (bpm)  </w:t>
            </w:r>
            <w:r>
              <w:rPr>
                <w:rFonts w:ascii="Arial" w:cs="Arial" w:eastAsia="Arial" w:hAnsi="Arial"/>
                <w:color w:val="C00000"/>
                <w:sz w:val="18"/>
                <w:szCs w:val="18"/>
              </w:rPr>
              <w:t xml:space="preserve">ADVS.PARAMCD='PULSE'</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9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left"/>
            </w:pPr>
            <w:r>
              <w:rPr>
                <w:rFonts w:ascii="Arial" w:cs="Arial" w:eastAsia="Arial" w:hAnsi="Arial"/>
                <w:sz w:val="18"/>
                <w:szCs w:val="18"/>
              </w:rPr>
              <w:t xml:space="preserve">Body Weight (kg)  </w:t>
            </w:r>
            <w:r>
              <w:rPr>
                <w:rFonts w:ascii="Arial" w:cs="Arial" w:eastAsia="Arial" w:hAnsi="Arial"/>
                <w:color w:val="C00000"/>
                <w:sz w:val="18"/>
                <w:szCs w:val="18"/>
              </w:rPr>
              <w:t xml:space="preserve">ADVS.PARAMCD='WEIGHT'</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Baseline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52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Wk 140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Mean (SD)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Median (Q1, Q3)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xxx.x (xxx.x, xxx.x)</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Arial" w:cs="Arial" w:eastAsia="Arial" w:hAnsi="Arial"/>
                <w:sz w:val="18"/>
                <w:szCs w:val="18"/>
              </w:rPr>
              <w:t xml:space="preserve">    Min, Max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 xxx.x</w:t>
            </w:r>
          </w:p>
        </w:tc>
      </w:tr>
    </w:tbl>
    <w:p>
      <w:pPr>
        <w:spacing w:after="0" w:before="100"/>
        <w:jc w:val="left"/>
      </w:pPr>
      <w:r>
        <w:rPr>
          <w:rFonts w:ascii="Arial" w:cs="Arial" w:eastAsia="Arial" w:hAnsi="Arial"/>
          <w:i/>
          <w:iCs/>
          <w:sz w:val="16"/>
          <w:szCs w:val="16"/>
        </w:rPr>
        <w:t xml:space="preserve">Vital signs are measured prior to dose administration at each scheduled visit, after the subject has been seated and at rest for at least 5 minutes.</w:t>
      </w:r>
    </w:p>
    <w:p>
      <w:pPr>
        <w:spacing w:after="0" w:before="60"/>
        <w:jc w:val="left"/>
      </w:pPr>
      <w:r>
        <w:rPr>
          <w:rFonts w:ascii="Arial" w:cs="Arial" w:eastAsia="Arial" w:hAnsi="Arial"/>
          <w:i/>
          <w:iCs/>
          <w:color w:val="808080"/>
          <w:sz w:val="14"/>
          <w:szCs w:val="14"/>
        </w:rPr>
        <w:t xml:space="preserve">Source: ADVS.</w:t>
      </w:r>
    </w:p>
    <w:p>
      <w:r>
        <w:br w:type="page"/>
      </w:r>
    </w:p>
    <w:p>
      <w:pPr>
        <w:spacing w:after="60" w:before="240"/>
        <w:jc w:val="center"/>
      </w:pPr>
      <w:r>
        <w:rPr>
          <w:rFonts w:ascii="Arial" w:cs="Arial" w:eastAsia="Arial" w:hAnsi="Arial"/>
          <w:b/>
          <w:bCs/>
          <w:sz w:val="22"/>
          <w:szCs w:val="22"/>
        </w:rPr>
        <w:t xml:space="preserve">Figure 14.2.1</w:t>
      </w:r>
    </w:p>
    <w:p>
      <w:pPr>
        <w:spacing w:after="60"/>
        <w:jc w:val="center"/>
      </w:pPr>
      <w:r>
        <w:rPr>
          <w:rFonts w:ascii="Arial" w:cs="Arial" w:eastAsia="Arial" w:hAnsi="Arial"/>
          <w:b/>
          <w:bCs/>
          <w:sz w:val="22"/>
          <w:szCs w:val="22"/>
        </w:rPr>
        <w:t xml:space="preserve">EASI 75 / 90 / 100 Response Rates Over Time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p>
      <w:pPr>
        <w:spacing w:after="240" w:before="240"/>
        <w:jc w:val="center"/>
      </w:pPr>
      <w:r>
        <w:rPr>
          <w:rFonts w:ascii="Arial" w:cs="Arial" w:eastAsia="Arial" w:hAnsi="Arial"/>
          <w:i/>
          <w:iCs/>
          <w:color w:val="808080"/>
          <w:sz w:val="18"/>
          <w:szCs w:val="18"/>
        </w:rPr>
        <w:t xml:space="preserve">[FIGURE PLACEHOLDER — line plot generated by SAS PROC SGPLOT]</w:t>
      </w:r>
    </w:p>
    <w:p>
      <w:pPr>
        <w:spacing w:after="120"/>
        <w:jc w:val="center"/>
      </w:pPr>
      <w:r>
        <w:rPr>
          <w:rFonts w:ascii="Arial" w:cs="Arial" w:eastAsia="Arial" w:hAnsi="Arial"/>
          <w:sz w:val="16"/>
          <w:szCs w:val="16"/>
        </w:rPr>
        <w:t xml:space="preserve">Y-axis: Proportion of subjects (%) (with 95% CI error bars)</w:t>
      </w:r>
    </w:p>
    <w:p>
      <w:pPr>
        <w:spacing w:after="120"/>
        <w:jc w:val="center"/>
      </w:pPr>
      <w:r>
        <w:rPr>
          <w:rFonts w:ascii="Arial" w:cs="Arial" w:eastAsia="Arial" w:hAnsi="Arial"/>
          <w:sz w:val="16"/>
          <w:szCs w:val="16"/>
        </w:rPr>
        <w:t xml:space="preserve">X-axis: Study Week (Baseline, 1, 2, 4, 8, 12, 16, 20, 24, 32, 40, 52, 64, 76, 88, 100, 112, 124, 140)</w:t>
      </w:r>
    </w:p>
    <w:p>
      <w:pPr>
        <w:spacing w:after="200"/>
        <w:jc w:val="center"/>
      </w:pPr>
      <w:r>
        <w:rPr>
          <w:rFonts w:ascii="Arial" w:cs="Arial" w:eastAsia="Arial" w:hAnsi="Arial"/>
          <w:sz w:val="16"/>
          <w:szCs w:val="16"/>
        </w:rPr>
        <w:t xml:space="preserve">Series: one line per treatment arm (UPADALIMIB 15 mg, UPADALIMIB 30 mg, Placebo)</w:t>
      </w:r>
    </w:p>
    <w:p>
      <w:pPr>
        <w:spacing w:after="0" w:before="100"/>
        <w:jc w:val="left"/>
      </w:pPr>
      <w:r>
        <w:rPr>
          <w:rFonts w:ascii="Arial" w:cs="Arial" w:eastAsia="Arial" w:hAnsi="Arial"/>
          <w:i/>
          <w:iCs/>
          <w:sz w:val="16"/>
          <w:szCs w:val="16"/>
        </w:rPr>
        <w:t xml:space="preserve">Source: ADEFF (PARAMCD='EASI75|EASI90|EASI100'). Each timepoint plots the observed-case response rate with a 95% normal-approximation confidence interval.</w:t>
      </w:r>
    </w:p>
    <w:p>
      <w:r>
        <w:br w:type="page"/>
      </w:r>
    </w:p>
    <w:p>
      <w:pPr>
        <w:spacing w:after="60" w:before="240"/>
        <w:jc w:val="center"/>
      </w:pPr>
      <w:r>
        <w:rPr>
          <w:rFonts w:ascii="Arial" w:cs="Arial" w:eastAsia="Arial" w:hAnsi="Arial"/>
          <w:b/>
          <w:bCs/>
          <w:sz w:val="22"/>
          <w:szCs w:val="22"/>
        </w:rPr>
        <w:t xml:space="preserve">Figure 14.2.2</w:t>
      </w:r>
    </w:p>
    <w:p>
      <w:pPr>
        <w:spacing w:after="60"/>
        <w:jc w:val="center"/>
      </w:pPr>
      <w:r>
        <w:rPr>
          <w:rFonts w:ascii="Arial" w:cs="Arial" w:eastAsia="Arial" w:hAnsi="Arial"/>
          <w:b/>
          <w:bCs/>
          <w:sz w:val="22"/>
          <w:szCs w:val="22"/>
        </w:rPr>
        <w:t xml:space="preserve">vIGA-AD 0/1 Response Rates Over Time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p>
      <w:pPr>
        <w:spacing w:after="240" w:before="240"/>
        <w:jc w:val="center"/>
      </w:pPr>
      <w:r>
        <w:rPr>
          <w:rFonts w:ascii="Arial" w:cs="Arial" w:eastAsia="Arial" w:hAnsi="Arial"/>
          <w:i/>
          <w:iCs/>
          <w:color w:val="808080"/>
          <w:sz w:val="18"/>
          <w:szCs w:val="18"/>
        </w:rPr>
        <w:t xml:space="preserve">[FIGURE PLACEHOLDER — line plot generated by SAS PROC SGPLOT]</w:t>
      </w:r>
    </w:p>
    <w:p>
      <w:pPr>
        <w:spacing w:after="120"/>
        <w:jc w:val="center"/>
      </w:pPr>
      <w:r>
        <w:rPr>
          <w:rFonts w:ascii="Arial" w:cs="Arial" w:eastAsia="Arial" w:hAnsi="Arial"/>
          <w:sz w:val="16"/>
          <w:szCs w:val="16"/>
        </w:rPr>
        <w:t xml:space="preserve">Y-axis: Proportion of subjects (%) (with 95% CI error bars)</w:t>
      </w:r>
    </w:p>
    <w:p>
      <w:pPr>
        <w:spacing w:after="120"/>
        <w:jc w:val="center"/>
      </w:pPr>
      <w:r>
        <w:rPr>
          <w:rFonts w:ascii="Arial" w:cs="Arial" w:eastAsia="Arial" w:hAnsi="Arial"/>
          <w:sz w:val="16"/>
          <w:szCs w:val="16"/>
        </w:rPr>
        <w:t xml:space="preserve">X-axis: Study Week (Baseline, 1, 2, 4, 8, 12, 16, 20, 24, 32, 40, 52, 64, 76, 88, 100, 112, 124, 140)</w:t>
      </w:r>
    </w:p>
    <w:p>
      <w:pPr>
        <w:spacing w:after="200"/>
        <w:jc w:val="center"/>
      </w:pPr>
      <w:r>
        <w:rPr>
          <w:rFonts w:ascii="Arial" w:cs="Arial" w:eastAsia="Arial" w:hAnsi="Arial"/>
          <w:sz w:val="16"/>
          <w:szCs w:val="16"/>
        </w:rPr>
        <w:t xml:space="preserve">Series: one line per treatment arm (UPADALIMIB 15 mg, UPADALIMIB 30 mg, Placebo)</w:t>
      </w:r>
    </w:p>
    <w:p>
      <w:pPr>
        <w:spacing w:after="0" w:before="100"/>
        <w:jc w:val="left"/>
      </w:pPr>
      <w:r>
        <w:rPr>
          <w:rFonts w:ascii="Arial" w:cs="Arial" w:eastAsia="Arial" w:hAnsi="Arial"/>
          <w:i/>
          <w:iCs/>
          <w:sz w:val="16"/>
          <w:szCs w:val="16"/>
        </w:rPr>
        <w:t xml:space="preserve">Source: ADEFF (PARAMCD='IGA01'). Each timepoint plots the observed-case response rate with a 95% normal-approximation confidence interval.</w:t>
      </w:r>
    </w:p>
    <w:p>
      <w:r>
        <w:br w:type="page"/>
      </w:r>
    </w:p>
    <w:p>
      <w:pPr>
        <w:spacing w:after="60" w:before="240"/>
        <w:jc w:val="center"/>
      </w:pPr>
      <w:r>
        <w:rPr>
          <w:rFonts w:ascii="Arial" w:cs="Arial" w:eastAsia="Arial" w:hAnsi="Arial"/>
          <w:b/>
          <w:bCs/>
          <w:sz w:val="22"/>
          <w:szCs w:val="22"/>
        </w:rPr>
        <w:t xml:space="preserve">Figure 14.2.3</w:t>
      </w:r>
    </w:p>
    <w:p>
      <w:pPr>
        <w:spacing w:after="60"/>
        <w:jc w:val="center"/>
      </w:pPr>
      <w:r>
        <w:rPr>
          <w:rFonts w:ascii="Arial" w:cs="Arial" w:eastAsia="Arial" w:hAnsi="Arial"/>
          <w:b/>
          <w:bCs/>
          <w:sz w:val="22"/>
          <w:szCs w:val="22"/>
        </w:rPr>
        <w:t xml:space="preserve">WP-NRS ≥ 4-pt Improvement and WP-NRS 0/1 Response Rates Over Time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p>
      <w:pPr>
        <w:spacing w:after="240" w:before="240"/>
        <w:jc w:val="center"/>
      </w:pPr>
      <w:r>
        <w:rPr>
          <w:rFonts w:ascii="Arial" w:cs="Arial" w:eastAsia="Arial" w:hAnsi="Arial"/>
          <w:i/>
          <w:iCs/>
          <w:color w:val="808080"/>
          <w:sz w:val="18"/>
          <w:szCs w:val="18"/>
        </w:rPr>
        <w:t xml:space="preserve">[FIGURE PLACEHOLDER — line plot generated by SAS PROC SGPLOT]</w:t>
      </w:r>
    </w:p>
    <w:p>
      <w:pPr>
        <w:spacing w:after="120"/>
        <w:jc w:val="center"/>
      </w:pPr>
      <w:r>
        <w:rPr>
          <w:rFonts w:ascii="Arial" w:cs="Arial" w:eastAsia="Arial" w:hAnsi="Arial"/>
          <w:sz w:val="16"/>
          <w:szCs w:val="16"/>
        </w:rPr>
        <w:t xml:space="preserve">Y-axis: Proportion of subjects (%) (with 95% CI error bars)</w:t>
      </w:r>
    </w:p>
    <w:p>
      <w:pPr>
        <w:spacing w:after="120"/>
        <w:jc w:val="center"/>
      </w:pPr>
      <w:r>
        <w:rPr>
          <w:rFonts w:ascii="Arial" w:cs="Arial" w:eastAsia="Arial" w:hAnsi="Arial"/>
          <w:sz w:val="16"/>
          <w:szCs w:val="16"/>
        </w:rPr>
        <w:t xml:space="preserve">X-axis: Study Week (Baseline, 1, 2, 4, 8, 12, 16, 20, 24, 32, 40, 52, 64, 76, 88, 100, 112, 124, 140)</w:t>
      </w:r>
    </w:p>
    <w:p>
      <w:pPr>
        <w:spacing w:after="200"/>
        <w:jc w:val="center"/>
      </w:pPr>
      <w:r>
        <w:rPr>
          <w:rFonts w:ascii="Arial" w:cs="Arial" w:eastAsia="Arial" w:hAnsi="Arial"/>
          <w:sz w:val="16"/>
          <w:szCs w:val="16"/>
        </w:rPr>
        <w:t xml:space="preserve">Series: one line per treatment arm (UPADALIMIB 15 mg, UPADALIMIB 30 mg, Placebo)</w:t>
      </w:r>
    </w:p>
    <w:p>
      <w:pPr>
        <w:spacing w:after="0" w:before="100"/>
        <w:jc w:val="left"/>
      </w:pPr>
      <w:r>
        <w:rPr>
          <w:rFonts w:ascii="Arial" w:cs="Arial" w:eastAsia="Arial" w:hAnsi="Arial"/>
          <w:i/>
          <w:iCs/>
          <w:sz w:val="16"/>
          <w:szCs w:val="16"/>
        </w:rPr>
        <w:t xml:space="preserve">Source: ADEFF (PARAMCD='WPNRS4|WPNRS01'). Each timepoint plots the observed-case response rate with a 95% normal-approximation confidence interval.</w:t>
      </w:r>
    </w:p>
    <w:p>
      <w:r>
        <w:br w:type="page"/>
      </w:r>
    </w:p>
    <w:p>
      <w:pPr>
        <w:spacing w:after="60" w:before="240"/>
        <w:jc w:val="center"/>
      </w:pPr>
      <w:r>
        <w:rPr>
          <w:rFonts w:ascii="Arial" w:cs="Arial" w:eastAsia="Arial" w:hAnsi="Arial"/>
          <w:b/>
          <w:bCs/>
          <w:sz w:val="22"/>
          <w:szCs w:val="22"/>
        </w:rPr>
        <w:t xml:space="preserve">Figure 14.2.4</w:t>
      </w:r>
    </w:p>
    <w:p>
      <w:pPr>
        <w:spacing w:after="60"/>
        <w:jc w:val="center"/>
      </w:pPr>
      <w:r>
        <w:rPr>
          <w:rFonts w:ascii="Arial" w:cs="Arial" w:eastAsia="Arial" w:hAnsi="Arial"/>
          <w:b/>
          <w:bCs/>
          <w:sz w:val="22"/>
          <w:szCs w:val="22"/>
        </w:rPr>
        <w:t xml:space="preserve">Simultaneous Achievement of EASI 90 and WP-NRS 0/1 (MDA) Over Time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p>
      <w:pPr>
        <w:spacing w:after="240" w:before="240"/>
        <w:jc w:val="center"/>
      </w:pPr>
      <w:r>
        <w:rPr>
          <w:rFonts w:ascii="Arial" w:cs="Arial" w:eastAsia="Arial" w:hAnsi="Arial"/>
          <w:i/>
          <w:iCs/>
          <w:color w:val="808080"/>
          <w:sz w:val="18"/>
          <w:szCs w:val="18"/>
        </w:rPr>
        <w:t xml:space="preserve">[FIGURE PLACEHOLDER — line plot generated by SAS PROC SGPLOT]</w:t>
      </w:r>
    </w:p>
    <w:p>
      <w:pPr>
        <w:spacing w:after="120"/>
        <w:jc w:val="center"/>
      </w:pPr>
      <w:r>
        <w:rPr>
          <w:rFonts w:ascii="Arial" w:cs="Arial" w:eastAsia="Arial" w:hAnsi="Arial"/>
          <w:sz w:val="16"/>
          <w:szCs w:val="16"/>
        </w:rPr>
        <w:t xml:space="preserve">Y-axis: Proportion of subjects (%) (with 95% CI error bars)</w:t>
      </w:r>
    </w:p>
    <w:p>
      <w:pPr>
        <w:spacing w:after="120"/>
        <w:jc w:val="center"/>
      </w:pPr>
      <w:r>
        <w:rPr>
          <w:rFonts w:ascii="Arial" w:cs="Arial" w:eastAsia="Arial" w:hAnsi="Arial"/>
          <w:sz w:val="16"/>
          <w:szCs w:val="16"/>
        </w:rPr>
        <w:t xml:space="preserve">X-axis: Study Week (Baseline, 1, 2, 4, 8, 12, 16, 20, 24, 32, 40, 52, 64, 76, 88, 100, 112, 124, 140)</w:t>
      </w:r>
    </w:p>
    <w:p>
      <w:pPr>
        <w:spacing w:after="200"/>
        <w:jc w:val="center"/>
      </w:pPr>
      <w:r>
        <w:rPr>
          <w:rFonts w:ascii="Arial" w:cs="Arial" w:eastAsia="Arial" w:hAnsi="Arial"/>
          <w:sz w:val="16"/>
          <w:szCs w:val="16"/>
        </w:rPr>
        <w:t xml:space="preserve">Series: one line per treatment arm (UPADALIMIB 15 mg, UPADALIMIB 30 mg, Placebo)</w:t>
      </w:r>
    </w:p>
    <w:p>
      <w:pPr>
        <w:spacing w:after="0" w:before="100"/>
        <w:jc w:val="left"/>
      </w:pPr>
      <w:r>
        <w:rPr>
          <w:rFonts w:ascii="Arial" w:cs="Arial" w:eastAsia="Arial" w:hAnsi="Arial"/>
          <w:i/>
          <w:iCs/>
          <w:sz w:val="16"/>
          <w:szCs w:val="16"/>
        </w:rPr>
        <w:t xml:space="preserve">Source: ADEFF (PARAMCD='MDA90'). Each timepoint plots the observed-case response rate with a 95% normal-approximation confidence interval.</w:t>
      </w:r>
    </w:p>
    <w:p>
      <w:r>
        <w:br w:type="page"/>
      </w:r>
    </w:p>
    <w:p>
      <w:pPr>
        <w:spacing w:after="60" w:before="240"/>
        <w:jc w:val="center"/>
      </w:pPr>
      <w:r>
        <w:rPr>
          <w:rFonts w:ascii="Arial" w:cs="Arial" w:eastAsia="Arial" w:hAnsi="Arial"/>
          <w:b/>
          <w:bCs/>
          <w:sz w:val="22"/>
          <w:szCs w:val="22"/>
        </w:rPr>
        <w:t xml:space="preserve">Figure 14.2.5</w:t>
      </w:r>
    </w:p>
    <w:p>
      <w:pPr>
        <w:spacing w:after="60"/>
        <w:jc w:val="center"/>
      </w:pPr>
      <w:r>
        <w:rPr>
          <w:rFonts w:ascii="Arial" w:cs="Arial" w:eastAsia="Arial" w:hAnsi="Arial"/>
          <w:b/>
          <w:bCs/>
          <w:sz w:val="22"/>
          <w:szCs w:val="22"/>
        </w:rPr>
        <w:t xml:space="preserve">Mean Percent Change from Baseline in EASI Total Score Over Time Through Week 140</w:t>
      </w:r>
    </w:p>
    <w:p>
      <w:pPr>
        <w:spacing w:after="200"/>
        <w:jc w:val="center"/>
      </w:pPr>
      <w:r>
        <w:rPr>
          <w:rFonts w:ascii="Arial" w:cs="Arial" w:eastAsia="Arial" w:hAnsi="Arial"/>
          <w:sz w:val="18"/>
          <w:szCs w:val="18"/>
        </w:rPr>
        <w:t xml:space="preserve">Intent-to-Treat Population, Observed Cases (</w:t>
      </w:r>
      <w:r>
        <w:rPr>
          <w:rFonts w:ascii="Arial" w:cs="Arial" w:eastAsia="Arial" w:hAnsi="Arial"/>
          <w:color w:val="C00000"/>
          <w:sz w:val="18"/>
          <w:szCs w:val="18"/>
        </w:rPr>
        <w:t xml:space="preserve">ADSL.ITTFL='Y'</w:t>
      </w:r>
      <w:r>
        <w:rPr>
          <w:rFonts w:ascii="Arial" w:cs="Arial" w:eastAsia="Arial" w:hAnsi="Arial"/>
          <w:sz w:val="18"/>
          <w:szCs w:val="18"/>
        </w:rPr>
        <w:t xml:space="preserve">)</w:t>
      </w:r>
    </w:p>
    <w:p>
      <w:pPr>
        <w:spacing w:after="240" w:before="240"/>
        <w:jc w:val="center"/>
      </w:pPr>
      <w:r>
        <w:rPr>
          <w:rFonts w:ascii="Arial" w:cs="Arial" w:eastAsia="Arial" w:hAnsi="Arial"/>
          <w:i/>
          <w:iCs/>
          <w:color w:val="808080"/>
          <w:sz w:val="18"/>
          <w:szCs w:val="18"/>
        </w:rPr>
        <w:t xml:space="preserve">[FIGURE PLACEHOLDER — line plot generated by SAS PROC SGPLOT]</w:t>
      </w:r>
    </w:p>
    <w:p>
      <w:pPr>
        <w:spacing w:after="120"/>
        <w:jc w:val="center"/>
      </w:pPr>
      <w:r>
        <w:rPr>
          <w:rFonts w:ascii="Arial" w:cs="Arial" w:eastAsia="Arial" w:hAnsi="Arial"/>
          <w:sz w:val="16"/>
          <w:szCs w:val="16"/>
        </w:rPr>
        <w:t xml:space="preserve">Y-axis: Mean % change from baseline (95% CI) (with 95% CI error bars)</w:t>
      </w:r>
    </w:p>
    <w:p>
      <w:pPr>
        <w:spacing w:after="120"/>
        <w:jc w:val="center"/>
      </w:pPr>
      <w:r>
        <w:rPr>
          <w:rFonts w:ascii="Arial" w:cs="Arial" w:eastAsia="Arial" w:hAnsi="Arial"/>
          <w:sz w:val="16"/>
          <w:szCs w:val="16"/>
        </w:rPr>
        <w:t xml:space="preserve">X-axis: Study Week (Baseline, 1, 2, 4, 8, 12, 16, 20, 24, 32, 40, 52, 64, 76, 88, 100, 112, 124, 140)</w:t>
      </w:r>
    </w:p>
    <w:p>
      <w:pPr>
        <w:spacing w:after="200"/>
        <w:jc w:val="center"/>
      </w:pPr>
      <w:r>
        <w:rPr>
          <w:rFonts w:ascii="Arial" w:cs="Arial" w:eastAsia="Arial" w:hAnsi="Arial"/>
          <w:sz w:val="16"/>
          <w:szCs w:val="16"/>
        </w:rPr>
        <w:t xml:space="preserve">Series: one line per treatment arm (UPADALIMIB 15 mg, UPADALIMIB 30 mg, Placebo)</w:t>
      </w:r>
    </w:p>
    <w:p>
      <w:pPr>
        <w:spacing w:after="0" w:before="100"/>
        <w:jc w:val="left"/>
      </w:pPr>
      <w:r>
        <w:rPr>
          <w:rFonts w:ascii="Arial" w:cs="Arial" w:eastAsia="Arial" w:hAnsi="Arial"/>
          <w:i/>
          <w:iCs/>
          <w:sz w:val="16"/>
          <w:szCs w:val="16"/>
        </w:rPr>
        <w:t xml:space="preserve">Source: ADEFF (PARAMCD='EASIPCHG'). Each timepoint plots the observed-case response rate with a 95% normal-approximation confidence interval.</w:t>
      </w:r>
    </w:p>
    <w:p>
      <w:r>
        <w:br w:type="page"/>
      </w:r>
    </w:p>
    <w:p>
      <w:pPr>
        <w:spacing w:after="60" w:before="240"/>
        <w:jc w:val="center"/>
      </w:pPr>
      <w:r>
        <w:rPr>
          <w:rFonts w:ascii="Arial" w:cs="Arial" w:eastAsia="Arial" w:hAnsi="Arial"/>
          <w:b/>
          <w:bCs/>
          <w:sz w:val="22"/>
          <w:szCs w:val="22"/>
        </w:rPr>
        <w:t xml:space="preserve">Figure 14.3.1</w:t>
      </w:r>
    </w:p>
    <w:p>
      <w:pPr>
        <w:spacing w:after="60"/>
        <w:jc w:val="center"/>
      </w:pPr>
      <w:r>
        <w:rPr>
          <w:rFonts w:ascii="Arial" w:cs="Arial" w:eastAsia="Arial" w:hAnsi="Arial"/>
          <w:b/>
          <w:bCs/>
          <w:sz w:val="22"/>
          <w:szCs w:val="22"/>
        </w:rPr>
        <w:t xml:space="preserve">Forest Plot of Adverse Event of Special Interest (AESI) Exposure-Adjusted Event Rates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p>
      <w:pPr>
        <w:spacing w:after="240" w:before="240"/>
        <w:jc w:val="center"/>
      </w:pPr>
      <w:r>
        <w:rPr>
          <w:rFonts w:ascii="Arial" w:cs="Arial" w:eastAsia="Arial" w:hAnsi="Arial"/>
          <w:i/>
          <w:iCs/>
          <w:color w:val="808080"/>
          <w:sz w:val="18"/>
          <w:szCs w:val="18"/>
        </w:rPr>
        <w:t xml:space="preserve">[FOREST PLOT PLACEHOLDER — generated by SAS PROC SGPLOT]</w:t>
      </w:r>
    </w:p>
    <w:p>
      <w:pPr>
        <w:spacing w:after="120"/>
        <w:jc w:val="center"/>
      </w:pPr>
      <w:r>
        <w:rPr>
          <w:rFonts w:ascii="Arial" w:cs="Arial" w:eastAsia="Arial" w:hAnsi="Arial"/>
          <w:sz w:val="16"/>
          <w:szCs w:val="16"/>
        </w:rPr>
        <w:t xml:space="preserve">Y-axis (categories): Serious infection, Opportunistic infection (excl. TB &amp; HZ), Herpes zoster, Eczema herpeticum, Hepatic disorder, Anemia, Neutropenia, Lymphopenia, CPK elevation, NMSC, Malignancy excl. NMSC, Adjudicated MACE, Adjudicated VTE</w:t>
      </w:r>
    </w:p>
    <w:p>
      <w:pPr>
        <w:spacing w:after="120"/>
        <w:jc w:val="center"/>
      </w:pPr>
      <w:r>
        <w:rPr>
          <w:rFonts w:ascii="Arial" w:cs="Arial" w:eastAsia="Arial" w:hAnsi="Arial"/>
          <w:sz w:val="16"/>
          <w:szCs w:val="16"/>
        </w:rPr>
        <w:t xml:space="preserve">X-axis: Exposure-adjusted event rate (E/100 PY) — log scale</w:t>
      </w:r>
    </w:p>
    <w:p>
      <w:pPr>
        <w:spacing w:after="200"/>
        <w:jc w:val="center"/>
      </w:pPr>
      <w:r>
        <w:rPr>
          <w:rFonts w:ascii="Arial" w:cs="Arial" w:eastAsia="Arial" w:hAnsi="Arial"/>
          <w:sz w:val="16"/>
          <w:szCs w:val="16"/>
        </w:rPr>
        <w:t xml:space="preserve">Series: one point estimate + 95% CI per AESI per UPADALIMIB arm (UPADALIMIB 15 mg, UPADALIMIB 30 mg)</w:t>
      </w:r>
    </w:p>
    <w:p>
      <w:pPr>
        <w:spacing w:after="0" w:before="100"/>
        <w:jc w:val="left"/>
      </w:pPr>
      <w:r>
        <w:rPr>
          <w:rFonts w:ascii="Arial" w:cs="Arial" w:eastAsia="Arial" w:hAnsi="Arial"/>
          <w:i/>
          <w:iCs/>
          <w:sz w:val="16"/>
          <w:szCs w:val="16"/>
        </w:rPr>
        <w:t xml:space="preserve">Source: ADAE (AESI flag) and ADEX (PY denominator). 95% CIs computed using exact Poisson method.</w:t>
      </w:r>
    </w:p>
    <w:p>
      <w:r>
        <w:br w:type="page"/>
      </w:r>
    </w:p>
    <w:p>
      <w:pPr>
        <w:sectPr>
          <w:headerReference w:type="default" r:id="rId7"/>
          <w:footerReference w:type="default" r:id="rId8"/>
          <w:pgSz w:w="12240" w:h="15840" w:orient="portrait"/>
          <w:pgMar w:top="1080" w:right="1080" w:bottom="1080" w:left="1080" w:header="708" w:footer="708" w:gutter="0"/>
          <w:pgNumType/>
          <w:docGrid w:linePitch="360"/>
        </w:sectPr>
      </w:pPr>
    </w:p>
    <w:p>
      <w:pPr>
        <w:spacing w:after="60" w:before="240"/>
        <w:jc w:val="center"/>
      </w:pPr>
      <w:r>
        <w:rPr>
          <w:rFonts w:ascii="Arial" w:cs="Arial" w:eastAsia="Arial" w:hAnsi="Arial"/>
          <w:b/>
          <w:bCs/>
          <w:sz w:val="22"/>
          <w:szCs w:val="22"/>
        </w:rPr>
        <w:t xml:space="preserve">Listing 16.2.4.1</w:t>
      </w:r>
    </w:p>
    <w:p>
      <w:pPr>
        <w:spacing w:after="60"/>
        <w:jc w:val="center"/>
      </w:pPr>
      <w:r>
        <w:rPr>
          <w:rFonts w:ascii="Arial" w:cs="Arial" w:eastAsia="Arial" w:hAnsi="Arial"/>
          <w:b/>
          <w:bCs/>
          <w:sz w:val="22"/>
          <w:szCs w:val="22"/>
        </w:rPr>
        <w:t xml:space="preserve">All Treatment-Emergent Adverse Events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650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3200"/>
        <w:gridCol w:w="2400"/>
        <w:gridCol w:w="1300"/>
        <w:gridCol w:w="1100"/>
        <w:gridCol w:w="1100"/>
        <w:gridCol w:w="900"/>
        <w:gridCol w:w="1300"/>
        <w:gridCol w:w="1300"/>
        <w:gridCol w:w="1300"/>
      </w:tblGrid>
      <w:tr>
        <w:trPr>
          <w:tblHeader/>
        </w:trPr>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AE PT (Verbatim)
AEDECOD (AETERM)</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SOC
AEBODSYS</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Onset Date
AESTDTC</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Duration
ADUR</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Severity
AESEV</w:t>
            </w:r>
          </w:p>
        </w:tc>
        <w:tc>
          <w:tcPr>
            <w:tcW w:type="dxa" w:w="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Serious?
AESER</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Action
AEACN</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Relationship
AEREL</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Outcome
AEOUT</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TEAEs are sorted by USUBJID, then by AE start date. AESI flag and adjudication status (where applicable) are shown in Listing 16.2.4.5.</w:t>
      </w:r>
    </w:p>
    <w:p>
      <w:pPr>
        <w:spacing w:after="0" w:before="60"/>
        <w:jc w:val="left"/>
      </w:pPr>
      <w:r>
        <w:rPr>
          <w:rFonts w:ascii="Arial" w:cs="Arial" w:eastAsia="Arial" w:hAnsi="Arial"/>
          <w:i/>
          <w:iCs/>
          <w:color w:val="808080"/>
          <w:sz w:val="14"/>
          <w:szCs w:val="14"/>
        </w:rPr>
        <w:t xml:space="preserve">Source: ADAE (TRTEMFL='Y').</w:t>
      </w:r>
    </w:p>
    <w:p>
      <w:r>
        <w:br w:type="page"/>
      </w:r>
    </w:p>
    <w:p>
      <w:pPr>
        <w:spacing w:after="60" w:before="240"/>
        <w:jc w:val="center"/>
      </w:pPr>
      <w:r>
        <w:rPr>
          <w:rFonts w:ascii="Arial" w:cs="Arial" w:eastAsia="Arial" w:hAnsi="Arial"/>
          <w:b/>
          <w:bCs/>
          <w:sz w:val="22"/>
          <w:szCs w:val="22"/>
        </w:rPr>
        <w:t xml:space="preserve">Listing 16.2.4.2</w:t>
      </w:r>
    </w:p>
    <w:p>
      <w:pPr>
        <w:spacing w:after="60"/>
        <w:jc w:val="center"/>
      </w:pPr>
      <w:r>
        <w:rPr>
          <w:rFonts w:ascii="Arial" w:cs="Arial" w:eastAsia="Arial" w:hAnsi="Arial"/>
          <w:b/>
          <w:bCs/>
          <w:sz w:val="22"/>
          <w:szCs w:val="22"/>
        </w:rPr>
        <w:t xml:space="preserve">Serious Adverse Events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66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3200"/>
        <w:gridCol w:w="2400"/>
        <w:gridCol w:w="1300"/>
        <w:gridCol w:w="1500"/>
        <w:gridCol w:w="1300"/>
        <w:gridCol w:w="1100"/>
        <w:gridCol w:w="1500"/>
        <w:gridCol w:w="1500"/>
      </w:tblGrid>
      <w:tr>
        <w:trPr>
          <w:tblHeader/>
        </w:trPr>
        <w:tc>
          <w:tcPr>
            <w:tcW w:type="dxa" w:w="1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AE PT
AEDECOD</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Onset / End
AESTDTC / AEENDTC</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Severity
AESEV</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Hospitalization
AESHOSP</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Life Threat.
AESLIFE</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Death
AESDTH</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Relationship
AEREL</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Outcome
AEOUT</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All SAEs reported through Week 140 are listed. SAE narrative reports are provided in CSR Appendix 16.2.4.</w:t>
      </w:r>
    </w:p>
    <w:p>
      <w:pPr>
        <w:spacing w:after="0" w:before="60"/>
        <w:jc w:val="left"/>
      </w:pPr>
      <w:r>
        <w:rPr>
          <w:rFonts w:ascii="Arial" w:cs="Arial" w:eastAsia="Arial" w:hAnsi="Arial"/>
          <w:i/>
          <w:iCs/>
          <w:color w:val="808080"/>
          <w:sz w:val="14"/>
          <w:szCs w:val="14"/>
        </w:rPr>
        <w:t xml:space="preserve">Source: ADAE (TRTEMFL='Y' and AESER='Y').</w:t>
      </w:r>
    </w:p>
    <w:p>
      <w:r>
        <w:br w:type="page"/>
      </w:r>
    </w:p>
    <w:p>
      <w:pPr>
        <w:spacing w:after="60" w:before="240"/>
        <w:jc w:val="center"/>
      </w:pPr>
      <w:r>
        <w:rPr>
          <w:rFonts w:ascii="Arial" w:cs="Arial" w:eastAsia="Arial" w:hAnsi="Arial"/>
          <w:b/>
          <w:bCs/>
          <w:sz w:val="22"/>
          <w:szCs w:val="22"/>
        </w:rPr>
        <w:t xml:space="preserve">Listing 16.2.4.3</w:t>
      </w:r>
    </w:p>
    <w:p>
      <w:pPr>
        <w:spacing w:after="60"/>
        <w:jc w:val="center"/>
      </w:pPr>
      <w:r>
        <w:rPr>
          <w:rFonts w:ascii="Arial" w:cs="Arial" w:eastAsia="Arial" w:hAnsi="Arial"/>
          <w:b/>
          <w:bCs/>
          <w:sz w:val="22"/>
          <w:szCs w:val="22"/>
        </w:rPr>
        <w:t xml:space="preserve">TEAEs Leading to Study Drug Discontinuation</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56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700"/>
        <w:gridCol w:w="3200"/>
        <w:gridCol w:w="1500"/>
        <w:gridCol w:w="1300"/>
        <w:gridCol w:w="1700"/>
        <w:gridCol w:w="1700"/>
        <w:gridCol w:w="1600"/>
      </w:tblGrid>
      <w:tr>
        <w:trPr>
          <w:tblHeader/>
        </w:trPr>
        <w:tc>
          <w:tcPr>
            <w:tcW w:type="dxa" w:w="1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Last Dose Date
LSTDOSDT</w:t>
            </w:r>
          </w:p>
        </w:tc>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AE PT
AEDECOD</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AE Onset
AESTDTC</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Severity
AESEV</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Relationship
AEREL</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Days from First Dose
ADY</w:t>
            </w:r>
          </w:p>
        </w:tc>
        <w:tc>
          <w:tcPr>
            <w:tcW w:type="dxa" w:w="1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Outcome
AEOUT</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Subjects who had study drug discontinued due to an adverse event are listed. AEACN='DRUG WITHDRAWN'.</w:t>
      </w:r>
    </w:p>
    <w:p>
      <w:pPr>
        <w:spacing w:after="0" w:before="60"/>
        <w:jc w:val="left"/>
      </w:pPr>
      <w:r>
        <w:rPr>
          <w:rFonts w:ascii="Arial" w:cs="Arial" w:eastAsia="Arial" w:hAnsi="Arial"/>
          <w:i/>
          <w:iCs/>
          <w:color w:val="808080"/>
          <w:sz w:val="14"/>
          <w:szCs w:val="14"/>
        </w:rPr>
        <w:t xml:space="preserve">Source: ADAE (TRTEMFL='Y' and AEACN='DRUG WITHDRAWN').</w:t>
      </w:r>
    </w:p>
    <w:p>
      <w:r>
        <w:br w:type="page"/>
      </w:r>
    </w:p>
    <w:p>
      <w:pPr>
        <w:spacing w:after="60" w:before="240"/>
        <w:jc w:val="center"/>
      </w:pPr>
      <w:r>
        <w:rPr>
          <w:rFonts w:ascii="Arial" w:cs="Arial" w:eastAsia="Arial" w:hAnsi="Arial"/>
          <w:b/>
          <w:bCs/>
          <w:sz w:val="22"/>
          <w:szCs w:val="22"/>
        </w:rPr>
        <w:t xml:space="preserve">Listing 16.2.4.4</w:t>
      </w:r>
    </w:p>
    <w:p>
      <w:pPr>
        <w:spacing w:after="60"/>
        <w:jc w:val="center"/>
      </w:pPr>
      <w:r>
        <w:rPr>
          <w:rFonts w:ascii="Arial" w:cs="Arial" w:eastAsia="Arial" w:hAnsi="Arial"/>
          <w:b/>
          <w:bCs/>
          <w:sz w:val="22"/>
          <w:szCs w:val="22"/>
        </w:rPr>
        <w:t xml:space="preserve">Deaths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560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700"/>
        <w:gridCol w:w="1900"/>
        <w:gridCol w:w="4000"/>
        <w:gridCol w:w="2400"/>
        <w:gridCol w:w="1000"/>
      </w:tblGrid>
      <w:tr>
        <w:trPr>
          <w:tblHeader/>
        </w:trPr>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Age / Sex
AGE / SEX</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Date of Death
DTHDT</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Days from Last Dose
DTHDY-LSTDY</w:t>
            </w:r>
          </w:p>
        </w:tc>
        <w:tc>
          <w:tcPr>
            <w:tcW w:type="dxa" w:w="4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Cause of Death
DTHCAUS</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Relationship to Study Drug
DTHREL</w:t>
            </w:r>
          </w:p>
        </w:tc>
        <w:tc>
          <w:tcPr>
            <w:tcW w:type="dxa" w:w="1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Autopsy?
AEAUTOPSY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Cause of death classified per investigator's primary cause. Detailed narratives are provided in CSR Appendix 16.2.4.</w:t>
      </w:r>
    </w:p>
    <w:p>
      <w:pPr>
        <w:spacing w:after="0" w:before="60"/>
        <w:jc w:val="left"/>
      </w:pPr>
      <w:r>
        <w:rPr>
          <w:rFonts w:ascii="Arial" w:cs="Arial" w:eastAsia="Arial" w:hAnsi="Arial"/>
          <w:i/>
          <w:iCs/>
          <w:color w:val="808080"/>
          <w:sz w:val="14"/>
          <w:szCs w:val="14"/>
        </w:rPr>
        <w:t xml:space="preserve">Source: ADSL (DTHFL='Y') and ADAE (AESDTH='Y').</w:t>
      </w:r>
    </w:p>
    <w:p>
      <w:r>
        <w:br w:type="page"/>
      </w:r>
    </w:p>
    <w:p>
      <w:pPr>
        <w:spacing w:after="60" w:before="240"/>
        <w:jc w:val="center"/>
      </w:pPr>
      <w:r>
        <w:rPr>
          <w:rFonts w:ascii="Arial" w:cs="Arial" w:eastAsia="Arial" w:hAnsi="Arial"/>
          <w:b/>
          <w:bCs/>
          <w:sz w:val="22"/>
          <w:szCs w:val="22"/>
        </w:rPr>
        <w:t xml:space="preserve">Listing 16.2.4.5</w:t>
      </w:r>
    </w:p>
    <w:p>
      <w:pPr>
        <w:spacing w:after="60"/>
        <w:jc w:val="center"/>
      </w:pPr>
      <w:r>
        <w:rPr>
          <w:rFonts w:ascii="Arial" w:cs="Arial" w:eastAsia="Arial" w:hAnsi="Arial"/>
          <w:b/>
          <w:bCs/>
          <w:sz w:val="22"/>
          <w:szCs w:val="22"/>
        </w:rPr>
        <w:t xml:space="preserve">Adverse Events of Special Interest (AESIs)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650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2400"/>
        <w:gridCol w:w="2700"/>
        <w:gridCol w:w="1300"/>
        <w:gridCol w:w="1500"/>
        <w:gridCol w:w="1100"/>
        <w:gridCol w:w="1000"/>
        <w:gridCol w:w="1300"/>
        <w:gridCol w:w="1300"/>
        <w:gridCol w:w="1300"/>
      </w:tblGrid>
      <w:tr>
        <w:trPr>
          <w:tblHeader/>
        </w:trPr>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AESI Category
AESI</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AE PT
AEDECOD</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AE Onset
AESTDTC</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Days from First Dose
ADY</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Severity
AESEV</w:t>
            </w:r>
          </w:p>
        </w:tc>
        <w:tc>
          <w:tcPr>
            <w:tcW w:type="dxa" w:w="1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Serious?
AESER</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Relationship
AEREL</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Adjudicated?
AEADJUD</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Outcome
AEOUT</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AESI categories: Serious infection; Opportunistic infection (excl. TB &amp; HZ); Herpes zoster; Eczema herpeticum; Active TB; Hepatic disorder; Anemia; Neutropenia; Lymphopenia; CPK elevation; Adjudicated MACE; Adjudicated VTE; Adjudicated GI perforation; NMSC; Malignancy excl. NMSC; Lymphoma; Renal dysfunction.</w:t>
      </w:r>
    </w:p>
    <w:p>
      <w:pPr>
        <w:spacing w:after="0" w:before="60"/>
        <w:jc w:val="left"/>
      </w:pPr>
      <w:r>
        <w:rPr>
          <w:rFonts w:ascii="Arial" w:cs="Arial" w:eastAsia="Arial" w:hAnsi="Arial"/>
          <w:i/>
          <w:iCs/>
          <w:color w:val="808080"/>
          <w:sz w:val="14"/>
          <w:szCs w:val="14"/>
        </w:rPr>
        <w:t xml:space="preserve">Source: ADAE (AESI flag set).</w:t>
      </w:r>
    </w:p>
    <w:p>
      <w:r>
        <w:br w:type="page"/>
      </w:r>
    </w:p>
    <w:p>
      <w:pPr>
        <w:spacing w:after="60" w:before="240"/>
        <w:jc w:val="center"/>
      </w:pPr>
      <w:r>
        <w:rPr>
          <w:rFonts w:ascii="Arial" w:cs="Arial" w:eastAsia="Arial" w:hAnsi="Arial"/>
          <w:b/>
          <w:bCs/>
          <w:sz w:val="22"/>
          <w:szCs w:val="22"/>
        </w:rPr>
        <w:t xml:space="preserve">Listing 16.2.5.1</w:t>
      </w:r>
    </w:p>
    <w:p>
      <w:pPr>
        <w:spacing w:after="60"/>
        <w:jc w:val="center"/>
      </w:pPr>
      <w:r>
        <w:rPr>
          <w:rFonts w:ascii="Arial" w:cs="Arial" w:eastAsia="Arial" w:hAnsi="Arial"/>
          <w:b/>
          <w:bCs/>
          <w:sz w:val="22"/>
          <w:szCs w:val="22"/>
        </w:rPr>
        <w:t xml:space="preserve">Concomitant Medications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79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2700"/>
        <w:gridCol w:w="2300"/>
        <w:gridCol w:w="1900"/>
        <w:gridCol w:w="2000"/>
        <w:gridCol w:w="1700"/>
        <w:gridCol w:w="1300"/>
        <w:gridCol w:w="2200"/>
        <w:gridCol w:w="1100"/>
      </w:tblGrid>
      <w:tr>
        <w:trPr>
          <w:tblHeader/>
        </w:trPr>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Medication (Verbatim)
CMTRT</w:t>
            </w:r>
          </w:p>
        </w:tc>
        <w:tc>
          <w:tcPr>
            <w:tcW w:type="dxa" w:w="2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WHO-DD PT
CMDECOD</w:t>
            </w:r>
          </w:p>
        </w:tc>
        <w:tc>
          <w:tcPr>
            <w:tcW w:type="dxa" w:w="1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ATC L3
CMCLAS</w:t>
            </w:r>
          </w:p>
        </w:tc>
        <w:tc>
          <w:tcPr>
            <w:tcW w:type="dxa" w:w="2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Indication
CMINDC</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Dose / Unit
CMDOSE / CMDOSU</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Frequency
CMDOSFRQ</w:t>
            </w:r>
          </w:p>
        </w:tc>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Start / End
CMSTDTC / CMENDTC</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Concomitant?
CONTRTFL</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A medication is considered concomitant if taken at any time between first dose of study drug and 30 days after last dose. Topical AD therapies (TCS/TCI) are listed separately in Listing 16.2.5.2.</w:t>
      </w:r>
    </w:p>
    <w:p>
      <w:pPr>
        <w:spacing w:after="0" w:before="60"/>
        <w:jc w:val="left"/>
      </w:pPr>
      <w:r>
        <w:rPr>
          <w:rFonts w:ascii="Arial" w:cs="Arial" w:eastAsia="Arial" w:hAnsi="Arial"/>
          <w:i/>
          <w:iCs/>
          <w:color w:val="808080"/>
          <w:sz w:val="14"/>
          <w:szCs w:val="14"/>
        </w:rPr>
        <w:t xml:space="preserve">Source: ADCM.</w:t>
      </w:r>
    </w:p>
    <w:p>
      <w:r>
        <w:br w:type="page"/>
      </w:r>
    </w:p>
    <w:p>
      <w:pPr>
        <w:spacing w:after="60" w:before="240"/>
        <w:jc w:val="center"/>
      </w:pPr>
      <w:r>
        <w:rPr>
          <w:rFonts w:ascii="Arial" w:cs="Arial" w:eastAsia="Arial" w:hAnsi="Arial"/>
          <w:b/>
          <w:bCs/>
          <w:sz w:val="22"/>
          <w:szCs w:val="22"/>
        </w:rPr>
        <w:t xml:space="preserve">Listing 16.2.5.2</w:t>
      </w:r>
    </w:p>
    <w:p>
      <w:pPr>
        <w:spacing w:after="60"/>
        <w:jc w:val="center"/>
      </w:pPr>
      <w:r>
        <w:rPr>
          <w:rFonts w:ascii="Arial" w:cs="Arial" w:eastAsia="Arial" w:hAnsi="Arial"/>
          <w:b/>
          <w:bCs/>
          <w:sz w:val="22"/>
          <w:szCs w:val="22"/>
        </w:rPr>
        <w:t xml:space="preserve">Topical AD Therapy Use (TCS / TCI)</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610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3000"/>
        <w:gridCol w:w="2200"/>
        <w:gridCol w:w="1700"/>
        <w:gridCol w:w="2200"/>
        <w:gridCol w:w="1700"/>
        <w:gridCol w:w="2200"/>
      </w:tblGrid>
      <w:tr>
        <w:trPr>
          <w:tblHeader/>
        </w:trPr>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3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Therapy Name
CMTRT</w:t>
            </w:r>
          </w:p>
        </w:tc>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Type (TCS / TCI / Other)
CMCAT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Potency
CMSCAT</w:t>
            </w:r>
          </w:p>
        </w:tc>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Indication
CMINDC</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Body Region
CMLOC</w:t>
            </w:r>
          </w:p>
        </w:tc>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Start / End
CMSTDTC / CMENDTC</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Topical therapy use captured at every study visit for the prior 4-week period. CMCAT in ('TCS','TCI','EMOLLIENT','OTHER TOPICAL').</w:t>
      </w:r>
    </w:p>
    <w:p>
      <w:pPr>
        <w:spacing w:after="0" w:before="60"/>
        <w:jc w:val="left"/>
      </w:pPr>
      <w:r>
        <w:rPr>
          <w:rFonts w:ascii="Arial" w:cs="Arial" w:eastAsia="Arial" w:hAnsi="Arial"/>
          <w:i/>
          <w:iCs/>
          <w:color w:val="808080"/>
          <w:sz w:val="14"/>
          <w:szCs w:val="14"/>
        </w:rPr>
        <w:t xml:space="preserve">Source: ADCM where ADCAT='TOPICAL THERAPY'.</w:t>
      </w:r>
    </w:p>
    <w:p>
      <w:r>
        <w:br w:type="page"/>
      </w:r>
    </w:p>
    <w:p>
      <w:pPr>
        <w:spacing w:after="60" w:before="240"/>
        <w:jc w:val="center"/>
      </w:pPr>
      <w:r>
        <w:rPr>
          <w:rFonts w:ascii="Arial" w:cs="Arial" w:eastAsia="Arial" w:hAnsi="Arial"/>
          <w:b/>
          <w:bCs/>
          <w:sz w:val="22"/>
          <w:szCs w:val="22"/>
        </w:rPr>
        <w:t xml:space="preserve">Listing 16.2.6.1</w:t>
      </w:r>
    </w:p>
    <w:p>
      <w:pPr>
        <w:spacing w:after="60"/>
        <w:jc w:val="center"/>
      </w:pPr>
      <w:r>
        <w:rPr>
          <w:rFonts w:ascii="Arial" w:cs="Arial" w:eastAsia="Arial" w:hAnsi="Arial"/>
          <w:b/>
          <w:bCs/>
          <w:sz w:val="22"/>
          <w:szCs w:val="22"/>
        </w:rPr>
        <w:t xml:space="preserve">Medical History (Including Atopic Comorbidities)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820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3500"/>
        <w:gridCol w:w="2700"/>
        <w:gridCol w:w="2700"/>
        <w:gridCol w:w="1500"/>
        <w:gridCol w:w="1700"/>
        <w:gridCol w:w="1700"/>
        <w:gridCol w:w="1300"/>
      </w:tblGrid>
      <w:tr>
        <w:trPr>
          <w:tblHeader/>
        </w:trPr>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3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Condition (Verbatim)
MHTERM</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MedDRA PT
MHDECOD</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SOC
MHBODSYS</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AD-Related?
MHIND</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Atopic Comorbidity?
MHATOP</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Onset Date
MHSTDTC</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Ongoing?
MHENRTPT='ONGOING'</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Atopic comorbidities flagged: asthma, allergic rhinitis, food allergy, allergic conjunctivitis. AD-related conditions (e.g., prior eczema flares, secondary skin infections, sleep disturbance) flagged with MHIND='Y'.</w:t>
      </w:r>
    </w:p>
    <w:p>
      <w:pPr>
        <w:spacing w:after="0" w:before="60"/>
        <w:jc w:val="left"/>
      </w:pPr>
      <w:r>
        <w:rPr>
          <w:rFonts w:ascii="Arial" w:cs="Arial" w:eastAsia="Arial" w:hAnsi="Arial"/>
          <w:i/>
          <w:iCs/>
          <w:color w:val="808080"/>
          <w:sz w:val="14"/>
          <w:szCs w:val="14"/>
        </w:rPr>
        <w:t xml:space="preserve">Source: ADMH.</w:t>
      </w:r>
    </w:p>
    <w:p>
      <w:r>
        <w:br w:type="page"/>
      </w:r>
    </w:p>
    <w:p>
      <w:pPr>
        <w:spacing w:after="60" w:before="240"/>
        <w:jc w:val="center"/>
      </w:pPr>
      <w:r>
        <w:rPr>
          <w:rFonts w:ascii="Arial" w:cs="Arial" w:eastAsia="Arial" w:hAnsi="Arial"/>
          <w:b/>
          <w:bCs/>
          <w:sz w:val="22"/>
          <w:szCs w:val="22"/>
        </w:rPr>
        <w:t xml:space="preserve">Listing 16.2.7.1</w:t>
      </w:r>
    </w:p>
    <w:p>
      <w:pPr>
        <w:spacing w:after="60"/>
        <w:jc w:val="center"/>
      </w:pPr>
      <w:r>
        <w:rPr>
          <w:rFonts w:ascii="Arial" w:cs="Arial" w:eastAsia="Arial" w:hAnsi="Arial"/>
          <w:b/>
          <w:bCs/>
          <w:sz w:val="22"/>
          <w:szCs w:val="22"/>
        </w:rPr>
        <w:t xml:space="preserve">Vital Signs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45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700"/>
        <w:gridCol w:w="1300"/>
        <w:gridCol w:w="1300"/>
        <w:gridCol w:w="1300"/>
        <w:gridCol w:w="1200"/>
        <w:gridCol w:w="1200"/>
        <w:gridCol w:w="1200"/>
        <w:gridCol w:w="1300"/>
        <w:gridCol w:w="1300"/>
      </w:tblGrid>
      <w:tr>
        <w:trPr>
          <w:tblHeader/>
        </w:trPr>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
VISIT</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Date
ADT</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SBP (mmHg)
SYSBP</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DBP (mmHg)
DIABP</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HR (bpm)
PULSE</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Temp (°C)
TEMP</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Resp Rate
RESP</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Weight (kg)
WEIGHT</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Height (cm)
HEIGHT</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Vital signs measured prior to dose administration after subject has been seated and at rest for at least 5 minutes. Height collected at screening only.</w:t>
      </w:r>
    </w:p>
    <w:p>
      <w:pPr>
        <w:spacing w:after="0" w:before="60"/>
        <w:jc w:val="left"/>
      </w:pPr>
      <w:r>
        <w:rPr>
          <w:rFonts w:ascii="Arial" w:cs="Arial" w:eastAsia="Arial" w:hAnsi="Arial"/>
          <w:i/>
          <w:iCs/>
          <w:color w:val="808080"/>
          <w:sz w:val="14"/>
          <w:szCs w:val="14"/>
        </w:rPr>
        <w:t xml:space="preserve">Source: ADVS.</w:t>
      </w:r>
    </w:p>
    <w:p>
      <w:r>
        <w:br w:type="page"/>
      </w:r>
    </w:p>
    <w:p>
      <w:pPr>
        <w:spacing w:after="60" w:before="240"/>
        <w:jc w:val="center"/>
      </w:pPr>
      <w:r>
        <w:rPr>
          <w:rFonts w:ascii="Arial" w:cs="Arial" w:eastAsia="Arial" w:hAnsi="Arial"/>
          <w:b/>
          <w:bCs/>
          <w:sz w:val="22"/>
          <w:szCs w:val="22"/>
        </w:rPr>
        <w:t xml:space="preserve">Listing 16.2.7.2</w:t>
      </w:r>
    </w:p>
    <w:p>
      <w:pPr>
        <w:spacing w:after="60"/>
        <w:jc w:val="center"/>
      </w:pPr>
      <w:r>
        <w:rPr>
          <w:rFonts w:ascii="Arial" w:cs="Arial" w:eastAsia="Arial" w:hAnsi="Arial"/>
          <w:b/>
          <w:bCs/>
          <w:sz w:val="22"/>
          <w:szCs w:val="22"/>
        </w:rPr>
        <w:t xml:space="preserve">Laboratory Results</w:t>
      </w:r>
    </w:p>
    <w:p>
      <w:pPr>
        <w:spacing w:after="200"/>
        <w:jc w:val="center"/>
      </w:pPr>
      <w:r>
        <w:rPr>
          <w:rFonts w:ascii="Arial" w:cs="Arial" w:eastAsia="Arial" w:hAnsi="Arial"/>
          <w:sz w:val="18"/>
          <w:szCs w:val="18"/>
        </w:rPr>
        <w:t xml:space="preserve">Safety Population (</w:t>
      </w:r>
      <w:r>
        <w:rPr>
          <w:rFonts w:ascii="Arial" w:cs="Arial" w:eastAsia="Arial" w:hAnsi="Arial"/>
          <w:color w:val="C00000"/>
          <w:sz w:val="18"/>
          <w:szCs w:val="18"/>
        </w:rPr>
        <w:t xml:space="preserve">ADSL.SAFFL='Y'</w:t>
      </w:r>
      <w:r>
        <w:rPr>
          <w:rFonts w:ascii="Arial" w:cs="Arial" w:eastAsia="Arial" w:hAnsi="Arial"/>
          <w:sz w:val="18"/>
          <w:szCs w:val="18"/>
        </w:rPr>
        <w:t xml:space="preserve">)</w:t>
      </w:r>
    </w:p>
    <w:tbl>
      <w:tblPr>
        <w:tblW w:type="dxa" w:w="15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700"/>
        <w:gridCol w:w="1300"/>
        <w:gridCol w:w="2700"/>
        <w:gridCol w:w="1300"/>
        <w:gridCol w:w="1100"/>
        <w:gridCol w:w="1700"/>
        <w:gridCol w:w="1500"/>
        <w:gridCol w:w="1400"/>
      </w:tblGrid>
      <w:tr>
        <w:trPr>
          <w:tblHeader/>
        </w:trPr>
        <w:tc>
          <w:tcPr>
            <w:tcW w:type="dxa" w:w="1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Subject ID
USUBJID</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Arm
ACTARMCD</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Visit
VISIT</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Date
ADT</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Lab Test
PARAM</w:t>
            </w:r>
          </w:p>
        </w:tc>
        <w:tc>
          <w:tcPr>
            <w:tcW w:type="dxa" w:w="1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Result
AVAL</w:t>
            </w:r>
          </w:p>
        </w:tc>
        <w:tc>
          <w:tcPr>
            <w:tcW w:type="dxa" w:w="11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Units
AVALU</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Range Low / High
A1LO / A1HI</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Range Indicator
ANRIND</w:t>
            </w:r>
          </w:p>
        </w:tc>
        <w:tc>
          <w:tcPr>
            <w:tcW w:type="dxa" w:w="1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vAlign w:val="center"/>
          </w:tcPr>
          <w:p>
            <w:pPr>
              <w:jc w:val="center"/>
            </w:pPr>
            <w:r>
              <w:rPr>
                <w:rFonts w:ascii="Arial" w:cs="Arial" w:eastAsia="Arial" w:hAnsi="Arial"/>
                <w:b/>
                <w:bCs/>
                <w:sz w:val="18"/>
                <w:szCs w:val="18"/>
              </w:rPr>
              <w:t xml:space="preserve">CTCAE Grade
ATOXGR</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Arial" w:cs="Arial" w:eastAsia="Arial" w:hAnsi="Arial"/>
                <w:sz w:val="18"/>
                <w:szCs w:val="18"/>
              </w:rPr>
              <w:t xml:space="preserve">xxx</w:t>
            </w:r>
          </w:p>
        </w:tc>
      </w:tr>
    </w:tbl>
    <w:p>
      <w:pPr>
        <w:spacing w:after="0" w:before="100"/>
        <w:jc w:val="left"/>
      </w:pPr>
      <w:r>
        <w:rPr>
          <w:rFonts w:ascii="Arial" w:cs="Arial" w:eastAsia="Arial" w:hAnsi="Arial"/>
          <w:i/>
          <w:iCs/>
          <w:sz w:val="16"/>
          <w:szCs w:val="16"/>
        </w:rPr>
        <w:t xml:space="preserve">All clinically relevant laboratory results listed. ANRIND in ('LOW','NORMAL','HIGH'). ATOXGR per CTCAE v5.0.</w:t>
      </w:r>
    </w:p>
    <w:p>
      <w:pPr>
        <w:spacing w:after="0" w:before="60"/>
        <w:jc w:val="left"/>
      </w:pPr>
      <w:r>
        <w:rPr>
          <w:rFonts w:ascii="Arial" w:cs="Arial" w:eastAsia="Arial" w:hAnsi="Arial"/>
          <w:i/>
          <w:iCs/>
          <w:color w:val="808080"/>
          <w:sz w:val="14"/>
          <w:szCs w:val="14"/>
        </w:rPr>
        <w:t xml:space="preserve">Source: ADLB.</w:t>
      </w:r>
    </w:p>
    <w:p>
      <w:r>
        <w:br w:type="page"/>
      </w:r>
    </w:p>
    <w:sectPr>
      <w:headerReference w:type="default" r:id="rId9"/>
      <w:footerReference w:type="default" r:id="rId10"/>
      <w:pgSz w:w="12240" w:h="158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color w:val="808080"/>
        <w:sz w:val="16"/>
        <w:szCs w:val="16"/>
      </w:rPr>
      <w:fldChar w:fldCharType="begin"/>
      <w:instrText xml:space="preserve">PAGE</w:instrText>
      <w:fldChar w:fldCharType="separate"/>
      <w:fldChar w:fldCharType="end"/>
    </w:r>
    <w:r>
      <w:rPr>
        <w:rFonts w:ascii="Arial" w:cs="Arial" w:eastAsia="Arial" w:hAnsi="Arial"/>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color w:val="808080"/>
        <w:sz w:val="16"/>
        <w:szCs w:val="16"/>
      </w:rPr>
      <w:fldChar w:fldCharType="begin"/>
      <w:instrText xml:space="preserve">PAGE</w:instrText>
      <w:fldChar w:fldCharType="separate"/>
      <w:fldChar w:fldCharType="end"/>
    </w:r>
    <w:r>
      <w:rPr>
        <w:rFonts w:ascii="Arial" w:cs="Arial" w:eastAsia="Arial" w:hAnsi="Arial"/>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APX-DRM-301  •  TLF Shells v1.0  •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APX-DRM-301  •  TLF Shells v1.0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v1.0</dc:title>
  <dc:creator>Apex Therapeutics, Inc. Biostatistics</dc:creator>
  <cp:lastModifiedBy>Un-named</cp:lastModifiedBy>
  <cp:revision>1</cp:revision>
  <dcterms:created xsi:type="dcterms:W3CDTF">2026-04-28T05:27:08.878Z</dcterms:created>
  <dcterms:modified xsi:type="dcterms:W3CDTF">2026-04-28T05:27:08.878Z</dcterms:modified>
</cp:coreProperties>
</file>

<file path=docProps/custom.xml><?xml version="1.0" encoding="utf-8"?>
<Properties xmlns="http://schemas.openxmlformats.org/officeDocument/2006/custom-properties" xmlns:vt="http://schemas.openxmlformats.org/officeDocument/2006/docPropsVTypes"/>
</file>