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14.5.1 Demographics by Dose Group – Cohort 1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Low (N=XX) ADSL.COHORTN=1 AND ADSL.CGHGR1N=1</w:t>
            </w:r>
          </w:p>
        </w:tc>
        <w:tc>
          <w:p>
            <w:pPr>
              <w:pStyle w:val="Normal"/>
            </w:pPr>
            <w:r>
              <w:t>Medium (N=XX) ADSL.COHORTN=1 AND ADSL.CGHGR1N=2</w:t>
            </w:r>
          </w:p>
        </w:tc>
        <w:tc>
          <w:p>
            <w:pPr>
              <w:pStyle w:val="Normal"/>
            </w:pPr>
            <w:r>
              <w:t>High (N=XX) ADSL.COHORTN=1 AND ADSL.CGHGR1N=3</w:t>
            </w:r>
          </w:p>
        </w:tc>
        <w:tc>
          <w:p>
            <w:pPr>
              <w:pStyle w:val="Normal"/>
            </w:pPr>
            <w:r>
              <w:t>Total (N=XX) ADSL.COHORTN=1</w:t>
            </w:r>
          </w:p>
        </w:tc>
      </w:tr>
      <w:tr>
        <w:tc>
          <w:p>
            <w:pPr>
              <w:pStyle w:val="Normal"/>
            </w:pPr>
            <w:r>
              <w:t>Age (years)  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Sex, n (%)  ADSL.SEX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Female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2026-08-11T22:46:35Z</dcterms:modified>
  <cp:category/>
</cp:coreProperties>
</file>