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sz w:val="40"/>
          <w:szCs w:val="40"/>
        </w:rPr>
        <w:t xml:space="preserve">STATISTICAL ANALYSIS PLAN</w:t>
      </w:r>
    </w:p>
    <w:p>
      <w:pPr>
        <w:spacing w:after="240"/>
        <w:jc w:val="center"/>
      </w:pPr>
      <w:r>
        <w:rPr>
          <w:b/>
          <w:bCs/>
          <w:sz w:val="32"/>
          <w:szCs w:val="32"/>
        </w:rPr>
        <w:t xml:space="preserve">Protocol APX-DRM-301</w:t>
      </w:r>
    </w:p>
    <w:p>
      <w:pPr>
        <w:spacing w:after="600"/>
        <w:jc w:val="center"/>
      </w:pPr>
      <w:r>
        <w:rPr>
          <w:i/>
          <w:iCs/>
          <w:sz w:val="24"/>
          <w:szCs w:val="24"/>
        </w:rPr>
        <w:t xml:space="preserve">A Phase 3, Randomized, Double-Blind, Placebo-Controlled Study to Evaluate the Long-Term Efficacy and Safety of UPADALIMIB 15 mg and 30 mg Once Daily in Adults and Adolescents with Moderate-to-Severe Atopic Dermatitis</w:t>
      </w:r>
    </w:p>
    <w:p>
      <w:pPr>
        <w:spacing w:after="120"/>
        <w:jc w:val="center"/>
      </w:pPr>
      <w:r>
        <w:rPr>
          <w:sz w:val="24"/>
          <w:szCs w:val="24"/>
        </w:rPr>
        <w:t xml:space="preserve">Sponsor: Apex Therapeutics, Inc.</w:t>
      </w:r>
    </w:p>
    <w:p>
      <w:pPr>
        <w:spacing w:after="120"/>
        <w:jc w:val="center"/>
      </w:pPr>
      <w:r>
        <w:rPr>
          <w:sz w:val="24"/>
          <w:szCs w:val="24"/>
        </w:rPr>
        <w:t xml:space="preserve">Investigational Product: UPADALIMIB (APX-1572)</w:t>
      </w:r>
    </w:p>
    <w:p>
      <w:pPr>
        <w:spacing w:after="1200"/>
        <w:jc w:val="center"/>
      </w:pPr>
      <w:r>
        <w:rPr>
          <w:sz w:val="24"/>
          <w:szCs w:val="24"/>
        </w:rPr>
        <w:t xml:space="preserve">SAP Version 1.0  •  27 April 2026</w:t>
      </w:r>
    </w:p>
    <w:p>
      <w:pPr>
        <w:jc w:val="center"/>
      </w:pPr>
      <w:r>
        <w:rPr>
          <w:b/>
          <w:bCs/>
          <w:color w:val="C00000"/>
          <w:sz w:val="28"/>
          <w:szCs w:val="28"/>
        </w:rPr>
        <w:t xml:space="preserve">CONFIDENTIAL</w:t>
      </w:r>
    </w:p>
    <w:p>
      <w:pPr>
        <w:spacing w:after="200"/>
        <w:jc w:val="center"/>
      </w:pPr>
      <w:r>
        <w:rPr>
          <w:i/>
          <w:iCs/>
          <w:color w:val="808080"/>
          <w:sz w:val="18"/>
          <w:szCs w:val="18"/>
        </w:rPr>
        <w:t xml:space="preserve">This document contains synthetic data for illustrative purposes only.</w:t>
      </w:r>
    </w:p>
    <w:p>
      <w:r>
        <w:br w:type="page"/>
      </w:r>
    </w:p>
    <w:p>
      <w:pPr>
        <w:pStyle w:val="Heading1"/>
        <w:spacing w:after="180" w:before="360"/>
      </w:pPr>
      <w:r>
        <w:t xml:space="preserve">1. Document Approval</w:t>
      </w:r>
    </w:p>
    <w:p>
      <w:pPr>
        <w:spacing w:after="120"/>
      </w:pPr>
      <w:r>
        <w:t xml:space="preserve">This document is approved by the signatories below. Approvals are required prior to database lock for the final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Role</w:t>
            </w:r>
          </w:p>
        </w:tc>
        <w:tc>
          <w:tcPr>
            <w:tcW w:type="dxa" w:w="312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Name / Title</w:t>
            </w:r>
          </w:p>
        </w:tc>
        <w:tc>
          <w:tcPr>
            <w:tcW w:type="dxa" w:w="312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Signature / Date</w:t>
            </w:r>
          </w:p>
        </w:tc>
      </w:tr>
      <w:tr>
        <w:tc>
          <w:tcPr>
            <w:tcW w:type="dxa" w:w="312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Author</w:t>
            </w:r>
          </w:p>
        </w:tc>
        <w:tc>
          <w:tcPr>
            <w:tcW w:type="dxa" w:w="312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Lead Biostatistician, Apex Therapeutics, Inc.</w:t>
            </w:r>
          </w:p>
        </w:tc>
        <w:tc>
          <w:tcPr>
            <w:tcW w:type="dxa" w:w="312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t>
            </w:r>
          </w:p>
        </w:tc>
      </w:tr>
      <w:tr>
        <w:tc>
          <w:tcPr>
            <w:tcW w:type="dxa" w:w="312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Reviewer</w:t>
            </w:r>
          </w:p>
        </w:tc>
        <w:tc>
          <w:tcPr>
            <w:tcW w:type="dxa" w:w="312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Senior Director, Clinical Development</w:t>
            </w:r>
          </w:p>
        </w:tc>
        <w:tc>
          <w:tcPr>
            <w:tcW w:type="dxa" w:w="312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t>
            </w:r>
          </w:p>
        </w:tc>
      </w:tr>
      <w:tr>
        <w:tc>
          <w:tcPr>
            <w:tcW w:type="dxa" w:w="312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Approver</w:t>
            </w:r>
          </w:p>
        </w:tc>
        <w:tc>
          <w:tcPr>
            <w:tcW w:type="dxa" w:w="312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Vice President, Biometrics</w:t>
            </w:r>
          </w:p>
        </w:tc>
        <w:tc>
          <w:tcPr>
            <w:tcW w:type="dxa" w:w="312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t>
            </w:r>
          </w:p>
        </w:tc>
      </w:tr>
    </w:tbl>
    <w:p>
      <w:r>
        <w:br w:type="page"/>
      </w:r>
    </w:p>
    <w:p>
      <w:pPr>
        <w:pStyle w:val="Heading1"/>
        <w:spacing w:after="180" w:before="360"/>
      </w:pPr>
      <w:r>
        <w:t xml:space="preserve">2. 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Abbreviation</w:t>
            </w:r>
          </w:p>
        </w:tc>
        <w:tc>
          <w:tcPr>
            <w:tcW w:type="dxa" w:w="676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Definition</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AD</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Atopic Dermatitis</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ADaM</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Analysis Data Model</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AE</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Adverse Event</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AESI</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Adverse Event of Special Interest</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ANOVA</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Analysis of Variance</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BSA</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Body Surface Area</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CDISC</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Clinical Data Interchange Standards Consortium</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CFB</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Change From Baseline</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CI</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Confidence Interval</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CMH</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Cochran-Mantel-Haenszel</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CPK</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Creatine Phosphokinase</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CRF</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Case Report Form</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CSR</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Clinical Study Report</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DBL</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Database Lock</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DLQI</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Dermatology Life Quality Index</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EASI</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Eczema Area and Severity Index</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eCRF</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Electronic Case Report Form</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FAS</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Full Analysis Set</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HSV</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Herpes Simplex Virus</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HZ</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Herpes Zoster</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ITT</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Intent-to-Treat</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JAK</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Janus Kinase</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MACE</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Major Adverse Cardiovascular Event</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MedDRA</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Medical Dictionary for Regulatory Activities</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MDA</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Minimal Disease Activity</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mITT</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Modified Intent-to-Treat</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NMSC</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Non-Melanoma Skin Cancer</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NRI</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Non-Responder Imputation</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OR</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Odds Ratio</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PO</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Per Os (orally)</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POEM</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Patient-Oriented Eczema Measure</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PP</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Per-Protocol</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PT</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Preferred Term</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QD</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Once Daily</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SAE</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Serious Adverse Event</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SAP</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Statistical Analysis Plan</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SD</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Standard Deviation</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SDTM</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Study Data Tabulation Model</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SOC</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System Organ Class</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TCI</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Topical Calcineurin Inhibitor</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TCS</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Topical Corticosteroid</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TEAE</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Treatment-Emergent Adverse Event</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TLF</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Tables, Listings, and Figures</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UPA</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Upadalimib</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ULN</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Upper Limit of Normal</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vIGA-AD</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validated Investigator Global Assessment for Atopic Dermatitis</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VTE</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Venous Thromboembolic Event</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WHO-DD</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World Health Organization Drug Dictionary</w:t>
            </w:r>
          </w:p>
        </w:tc>
      </w:tr>
      <w:tr>
        <w:tc>
          <w:tcPr>
            <w:tcW w:type="dxa" w:w="26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WP-NRS</w:t>
            </w:r>
          </w:p>
        </w:tc>
        <w:tc>
          <w:tcPr>
            <w:tcW w:type="dxa" w:w="6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Worst Pruritus Numerical Rating Scale</w:t>
            </w:r>
          </w:p>
        </w:tc>
      </w:tr>
    </w:tbl>
    <w:p>
      <w:r>
        <w:br w:type="page"/>
      </w:r>
    </w:p>
    <w:p>
      <w:pPr>
        <w:pStyle w:val="Heading1"/>
        <w:spacing w:after="180" w:before="360"/>
      </w:pPr>
      <w:r>
        <w:t xml:space="preserve">3. Introduction</w:t>
      </w:r>
    </w:p>
    <w:p>
      <w:pPr>
        <w:pStyle w:val="Heading2"/>
        <w:spacing w:after="120" w:before="240"/>
      </w:pPr>
      <w:r>
        <w:t xml:space="preserve">3.1 Background</w:t>
      </w:r>
    </w:p>
    <w:p>
      <w:pPr>
        <w:spacing w:after="120"/>
      </w:pPr>
      <w:r>
        <w:t xml:space="preserve">Subjects with moderate-to-severe atopic dermatitis in adults and adolescents face significant clinical need. Existing therapeutic options have limitations in efficacy, tolerability, or long-term outcomes, and there remains an unmet need for new agents that improve achievement of easi 75 at week 16 in this population.</w:t>
      </w:r>
    </w:p>
    <w:p>
      <w:pPr>
        <w:spacing w:after="120"/>
      </w:pPr>
      <w:r>
        <w:t xml:space="preserve">UPADALIMIB (APX-1572) is the investigational product for this study, administered as a 30 mg oral dose once daily. Earlier-phase development supports the dose, schedule, and population selected for this confirmatory study.</w:t>
      </w:r>
    </w:p>
    <w:p>
      <w:pPr>
        <w:pStyle w:val="Heading2"/>
        <w:spacing w:after="120" w:before="240"/>
      </w:pPr>
      <w:r>
        <w:t xml:space="preserve">3.2 Rationale</w:t>
      </w:r>
    </w:p>
    <w:p>
      <w:pPr>
        <w:spacing w:after="120"/>
      </w:pPr>
      <w:r>
        <w:t xml:space="preserve">Study APX-DRM-301 is a Phase 3 trial designed to evaluate UPADALIMIB versus comparator with respect to achievement of easi 75 at week 16 in subjects with moderate-to-severe atopic dermatitis in adults and adolescents. This Statistical Analysis Plan (SAP) describes the planned statistical analyses for the study, including handling of missing data, multiplicity, and subgroup analyses.</w:t>
      </w:r>
    </w:p>
    <w:p>
      <w:pPr>
        <w:pStyle w:val="Heading2"/>
        <w:spacing w:after="120" w:before="240"/>
      </w:pPr>
      <w:r>
        <w:t xml:space="preserve">3.3 Scope</w:t>
      </w:r>
    </w:p>
    <w:p>
      <w:pPr>
        <w:spacing w:after="120"/>
      </w:pPr>
      <w:r>
        <w:t xml:space="preserve">This SAP covers analyses to be performed at the primary completion analysis (PCA), to occur after all randomized subjects have completed Week 96 or discontinued earlier. Any analyses described in the protocol but not addressed here will be considered exploratory.</w:t>
      </w:r>
    </w:p>
    <w:p>
      <w:r>
        <w:br w:type="page"/>
      </w:r>
    </w:p>
    <w:p>
      <w:pPr>
        <w:pStyle w:val="Heading1"/>
        <w:spacing w:after="180" w:before="360"/>
      </w:pPr>
      <w:r>
        <w:t xml:space="preserve">4. Study Objectives and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Objective</w:t>
            </w:r>
          </w:p>
        </w:tc>
        <w:tc>
          <w:tcPr>
            <w:tcW w:type="dxa" w:w="468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Endpoint</w:t>
            </w:r>
          </w:p>
        </w:tc>
      </w:tr>
      <w:tr>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Primary</w:t>
            </w:r>
          </w:p>
          <w:p>
            <w:r>
              <w:rPr>
                <w:sz w:val="20"/>
                <w:szCs w:val="20"/>
              </w:rPr>
              <w:t xml:space="preserve">To evaluate the efficacy of UPADALIMIB 30 mg PO once daily versus UPADALIMIB 15 mg/UPADALIMIB 30 mg/Placebo with respect to achievement of easi 75 at week 16 in subjects with moderate-to-severe atopic dermatitis in adults and adolescents.</w:t>
            </w:r>
          </w:p>
        </w:tc>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Primary</w:t>
            </w:r>
          </w:p>
          <w:p>
            <w:r>
              <w:rPr>
                <w:sz w:val="20"/>
                <w:szCs w:val="20"/>
              </w:rPr>
              <w:t xml:space="preserve">Achievement of EASI 75 at Week 16 (EASI 75). The proportion of subjects achieving at least 75% improvement from baseline in the Eczema Area and Severity Index (EASI) at Week 16.</w:t>
            </w:r>
          </w:p>
        </w:tc>
      </w:tr>
      <w:tr>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Key Secondary</w:t>
            </w:r>
          </w:p>
          <w:p>
            <w:r>
              <w:rPr>
                <w:sz w:val="20"/>
                <w:szCs w:val="20"/>
              </w:rPr>
              <w:t xml:space="preserve">To evaluate proportion of subjects achieving viga-ad 0/1 with at least 2 grades of improvement at week 16.</w:t>
            </w:r>
          </w:p>
        </w:tc>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Key Secondary</w:t>
            </w:r>
          </w:p>
          <w:p>
            <w:r>
              <w:rPr>
                <w:sz w:val="20"/>
                <w:szCs w:val="20"/>
              </w:rPr>
              <w:t xml:space="preserve">Proportion of subjects achieving vIGA-AD 0/1 with at least 2 grades of improvement at Week 16</w:t>
            </w:r>
          </w:p>
        </w:tc>
      </w:tr>
      <w:tr>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Secondary</w:t>
            </w:r>
          </w:p>
          <w:p>
            <w:r>
              <w:rPr>
                <w:sz w:val="20"/>
                <w:szCs w:val="20"/>
              </w:rPr>
              <w:t xml:space="preserve">To evaluate proportion of subjects achieving easi 90 at week 16.</w:t>
            </w:r>
          </w:p>
        </w:tc>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Secondary</w:t>
            </w:r>
          </w:p>
          <w:p>
            <w:r>
              <w:rPr>
                <w:sz w:val="20"/>
                <w:szCs w:val="20"/>
              </w:rPr>
              <w:t xml:space="preserve">Proportion of subjects achieving EASI 90 at Week 16</w:t>
            </w:r>
          </w:p>
        </w:tc>
      </w:tr>
      <w:tr>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Secondary</w:t>
            </w:r>
          </w:p>
          <w:p>
            <w:r>
              <w:rPr>
                <w:sz w:val="20"/>
                <w:szCs w:val="20"/>
              </w:rPr>
              <w:t xml:space="preserve">To evaluate proportion of subjects achieving at least a 4-point improvement in worst pruritus numerical rating scale (wp-nrs) at week 16.</w:t>
            </w:r>
          </w:p>
        </w:tc>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Secondary</w:t>
            </w:r>
          </w:p>
          <w:p>
            <w:r>
              <w:rPr>
                <w:sz w:val="20"/>
                <w:szCs w:val="20"/>
              </w:rPr>
              <w:t xml:space="preserve">Proportion of subjects achieving at least a 4-point improvement in Worst Pruritus Numerical Rating Scale (WP-NRS) at Week 16</w:t>
            </w:r>
          </w:p>
        </w:tc>
      </w:tr>
      <w:tr>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Secondary</w:t>
            </w:r>
          </w:p>
          <w:p>
            <w:r>
              <w:rPr>
                <w:sz w:val="20"/>
                <w:szCs w:val="20"/>
              </w:rPr>
              <w:t xml:space="preserve">To evaluate proportion of subjects simultaneously achieving easi 90 and wp-nrs 0/1 at week 16.</w:t>
            </w:r>
          </w:p>
        </w:tc>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Secondary</w:t>
            </w:r>
          </w:p>
          <w:p>
            <w:r>
              <w:rPr>
                <w:sz w:val="20"/>
                <w:szCs w:val="20"/>
              </w:rPr>
              <w:t xml:space="preserve">Proportion of subjects simultaneously achieving EASI 90 and WP-NRS 0/1 at Week 16</w:t>
            </w:r>
          </w:p>
        </w:tc>
      </w:tr>
      <w:tr>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Secondary</w:t>
            </w:r>
          </w:p>
          <w:p>
            <w:r>
              <w:rPr>
                <w:sz w:val="20"/>
                <w:szCs w:val="20"/>
              </w:rPr>
              <w:t xml:space="preserve">To evaluate maintenance of easi 75 response from week 16 through week 140.</w:t>
            </w:r>
          </w:p>
        </w:tc>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Secondary</w:t>
            </w:r>
          </w:p>
          <w:p>
            <w:r>
              <w:rPr>
                <w:sz w:val="20"/>
                <w:szCs w:val="20"/>
              </w:rPr>
              <w:t xml:space="preserve">Maintenance of EASI 75 response from Week 16 through Week 140</w:t>
            </w:r>
          </w:p>
        </w:tc>
      </w:tr>
      <w:tr>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Secondary</w:t>
            </w:r>
          </w:p>
          <w:p>
            <w:r>
              <w:rPr>
                <w:sz w:val="20"/>
                <w:szCs w:val="20"/>
              </w:rPr>
              <w:t xml:space="preserve">To evaluate long-term safety profile through week 140.</w:t>
            </w:r>
          </w:p>
        </w:tc>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Secondary</w:t>
            </w:r>
          </w:p>
          <w:p>
            <w:r>
              <w:rPr>
                <w:sz w:val="20"/>
                <w:szCs w:val="20"/>
              </w:rPr>
              <w:t xml:space="preserve">Long-term safety profile through Week 140</w:t>
            </w:r>
          </w:p>
        </w:tc>
      </w:tr>
      <w:tr>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Safety</w:t>
            </w:r>
          </w:p>
          <w:p>
            <w:r>
              <w:rPr>
                <w:sz w:val="20"/>
                <w:szCs w:val="20"/>
              </w:rPr>
              <w:t xml:space="preserve">To characterize the safety and tolerability of UPADALIMIB.</w:t>
            </w:r>
          </w:p>
        </w:tc>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Safety</w:t>
            </w:r>
          </w:p>
          <w:p>
            <w:r>
              <w:rPr>
                <w:sz w:val="20"/>
                <w:szCs w:val="20"/>
              </w:rPr>
              <w:t xml:space="preserve">Incidence and severity of TEAEs, SAEs, AEs leading to study drug discontinuation, and adverse events of special interest (serious infection, opportunistic infection, herpes zoster, eczema herpeticum, hepatic disorder, anemia, neutropenia, lymphopenia, CPK elevation, MACE, VTE, NMSC, and malignancy excluding NMSC); clinically significant changes in laboratory parameters and vital signs.</w:t>
            </w:r>
          </w:p>
        </w:tc>
      </w:tr>
      <w:tr>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Exploratory</w:t>
            </w:r>
          </w:p>
          <w:p>
            <w:r>
              <w:rPr>
                <w:sz w:val="20"/>
                <w:szCs w:val="20"/>
              </w:rPr>
              <w:t xml:space="preserve">To assess long-term durability of response, quality-of-life impact, and topical therapy use over 140 weeks.</w:t>
            </w:r>
          </w:p>
        </w:tc>
        <w:tc>
          <w:tcPr>
            <w:tcW w:type="dxa" w:w="4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b/>
                <w:bCs/>
                <w:sz w:val="20"/>
                <w:szCs w:val="20"/>
              </w:rPr>
              <w:t xml:space="preserve">Exploratory</w:t>
            </w:r>
          </w:p>
          <w:p>
            <w:r>
              <w:rPr>
                <w:sz w:val="20"/>
                <w:szCs w:val="20"/>
              </w:rPr>
              <w:t xml:space="preserve">Maintenance of EASI 75/EASI 90 from Week 16 through Week 140; change from baseline in DLQI; proportion of patient-visit periods with TCS/TCI use.</w:t>
            </w:r>
          </w:p>
        </w:tc>
      </w:tr>
    </w:tbl>
    <w:p>
      <w:r>
        <w:br w:type="page"/>
      </w:r>
    </w:p>
    <w:p>
      <w:pPr>
        <w:pStyle w:val="Heading1"/>
        <w:spacing w:after="180" w:before="360"/>
      </w:pPr>
      <w:r>
        <w:t xml:space="preserve">5. Study Design</w:t>
      </w:r>
    </w:p>
    <w:p>
      <w:pPr>
        <w:pStyle w:val="Heading2"/>
        <w:spacing w:after="120" w:before="240"/>
      </w:pPr>
      <w:r>
        <w:t xml:space="preserve">5.1 Overall Design</w:t>
      </w:r>
    </w:p>
    <w:p>
      <w:pPr>
        <w:spacing w:after="120"/>
      </w:pPr>
      <w:r>
        <w:t xml:space="preserve">APX-DRM-301 is a Phase 3, multi-center, randomized, double-blind, placebo-controlled with re-randomization at week 16 study evaluating the efficacy and safety of UPADALIMIB 30 mg administered oral once daily compared with UPADALIMIB 30 mg/Placebo. The total planned enrollment is 600 subjects randomized 200:200:200 (200 per arm, 200 per arm, 200 per arm) at multiple sites globally.</w:t>
      </w:r>
    </w:p>
    <w:p>
      <w:pPr>
        <w:spacing w:after="120"/>
      </w:pPr>
      <w:r>
        <w:t xml:space="preserve">Adults (18-75 years) and adolescents (12-17 years, body weight greater than or equal to 40 kg) with moderate-to-severe atopic dermatitis (EASI greater than or equal to 16, vIGA-AD greater than or equal to 3, and BSA involvement greater than or equal to 10%) who are candidates for systemic therapy and have had an inadequate response to topical treatments.</w:t>
      </w:r>
    </w:p>
    <w:p>
      <w:pPr>
        <w:pStyle w:val="Heading2"/>
        <w:spacing w:after="120" w:before="240"/>
      </w:pPr>
      <w:r>
        <w:t xml:space="preserve">5.2 Randomization and Blinding</w:t>
      </w:r>
    </w:p>
    <w:p>
      <w:pPr>
        <w:spacing w:after="120"/>
      </w:pPr>
      <w:r>
        <w:t xml:space="preserve">Randomization is performed centrally via an Interactive Response Technology (IRT) system using permuted blocks, stratified by Baseline disease severity (vIGA-AD 3 vs. vIGA-AD 4), Age group (Adolescent vs. Adult), Geographic region. UPADALIMIB and comparator are visually indistinguishable; subjects, investigators, site staff, and the sponsor study team remain blinded until database lock.</w:t>
      </w:r>
    </w:p>
    <w:p>
      <w:pPr>
        <w:pStyle w:val="Heading2"/>
        <w:spacing w:after="120" w:before="240"/>
      </w:pPr>
      <w:r>
        <w:t xml:space="preserve">5.3 Treatment Duration</w:t>
      </w:r>
    </w:p>
    <w:p>
      <w:pPr>
        <w:spacing w:after="120"/>
      </w:pPr>
      <w:r>
        <w:t xml:space="preserve">Subjects receive study drug for up to 140 weeks or until protocol-defined treatment completion, unacceptable toxicity, withdrawal of consent, or death. After end-of-treatment, subjects are followed periodically for survival and outcome status until the end of the study.</w:t>
      </w:r>
    </w:p>
    <w:p>
      <w:pPr>
        <w:pStyle w:val="Heading2"/>
        <w:spacing w:after="120" w:before="240"/>
      </w:pPr>
      <w:r>
        <w:t xml:space="preserve">5.4 Schedule of Activities (Abridged)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340"/>
        <w:gridCol w:w="1340"/>
        <w:gridCol w:w="1700"/>
        <w:gridCol w:w="1170"/>
        <w:gridCol w:w="1170"/>
      </w:tblGrid>
      <w:tr>
        <w:trPr>
          <w:tblHeader/>
        </w:trPr>
        <w:tc>
          <w:tcPr>
            <w:tcW w:type="dxa" w:w="264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Assessment</w:t>
            </w:r>
          </w:p>
        </w:tc>
        <w:tc>
          <w:tcPr>
            <w:tcW w:type="dxa" w:w="134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Screening (≤28d)</w:t>
            </w:r>
          </w:p>
        </w:tc>
        <w:tc>
          <w:tcPr>
            <w:tcW w:type="dxa" w:w="134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Randomization (D1)</w:t>
            </w:r>
          </w:p>
        </w:tc>
        <w:tc>
          <w:tcPr>
            <w:tcW w:type="dxa" w:w="17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Treatment (Weeks 1-140, q4 wks)</w:t>
            </w:r>
          </w:p>
        </w:tc>
        <w:tc>
          <w:tcPr>
            <w:tcW w:type="dxa" w:w="117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End of Treatment</w:t>
            </w:r>
          </w:p>
        </w:tc>
        <w:tc>
          <w:tcPr>
            <w:tcW w:type="dxa" w:w="117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Follow-up</w:t>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Informed Consent</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Eligibility Criteria</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Demographics</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Medical History (incl. atopic comorbidities)</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Physical Exam</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Vital Signs</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EASI Assessment</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 (Wks 1,2,4,8,12,16, then q12 wks)</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vIGA-AD Assessment</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 (Wks 1,2,4,8,12,16, then q12 wks)</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BSA Affected by AD</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 (Wks 4,8,12,16, then q12 wks)</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WP-NRS (daily diary, weekly avg)</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 (continuous)</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POEM Questionnaire</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 (Wks 4,8,12,16, then q12 wks)</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DLQI / CDLQI Questionnaire</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 (Wks 16, 52, then q24 wks)</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Hematology / Chemistry / Lipids / CPK</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 (Wks 2,4,8,12,16, then q12 wks)</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TB / HBV / HCV / HIV Screening</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Pregnancy Test (WOCBP)</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 (q4 wks)</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Study Drug Dispensation</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 (q4 wks)</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TCS / TCI Use Capture</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 (every visit)</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X</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Adverse Events</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t>
            </w:r>
          </w:p>
        </w:tc>
      </w:tr>
      <w:tr>
        <w:tc>
          <w:tcPr>
            <w:tcW w:type="dxa" w:w="26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Concomitant Medications</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t>
            </w:r>
          </w:p>
        </w:tc>
        <w:tc>
          <w:tcPr>
            <w:tcW w:type="dxa" w:w="134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t>
            </w:r>
          </w:p>
        </w:tc>
        <w:tc>
          <w:tcPr>
            <w:tcW w:type="dxa" w:w="117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w:t>
            </w:r>
          </w:p>
        </w:tc>
      </w:tr>
    </w:tbl>
    <w:p>
      <w:r>
        <w:br w:type="page"/>
      </w:r>
    </w:p>
    <w:p>
      <w:pPr>
        <w:pStyle w:val="Heading1"/>
        <w:spacing w:after="180" w:before="360"/>
      </w:pPr>
      <w:r>
        <w:t xml:space="preserve">6. Sample Size Determination</w:t>
      </w:r>
    </w:p>
    <w:p>
      <w:pPr>
        <w:spacing w:after="120"/>
      </w:pPr>
      <w:r>
        <w:t xml:space="preserve">The primary efficacy hypothesis is that UPADALIMIB is superior to comparator with respect to Achievement of EASI 75 at Week 16 (EASI 75). The total enrollment of 600 subjects randomized 200:200:200provides adequate power to detect a clinically meaningful treatment effect using a two-sided test at α = 0.05. Detailed sample-size assumptions and power calculations are provided in the protocol.</w:t>
      </w:r>
    </w:p>
    <w:p>
      <w:r>
        <w:br w:type="page"/>
      </w:r>
    </w:p>
    <w:p>
      <w:pPr>
        <w:pStyle w:val="Heading1"/>
        <w:spacing w:after="180" w:before="360"/>
      </w:pPr>
      <w:r>
        <w:t xml:space="preserve">7. Analysis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Population</w:t>
            </w:r>
          </w:p>
        </w:tc>
        <w:tc>
          <w:tcPr>
            <w:tcW w:type="dxa" w:w="476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Definition</w:t>
            </w:r>
          </w:p>
        </w:tc>
        <w:tc>
          <w:tcPr>
            <w:tcW w:type="dxa" w:w="22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Primary Use</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Screened</w:t>
            </w:r>
          </w:p>
        </w:tc>
        <w:tc>
          <w:tcPr>
            <w:tcW w:type="dxa" w:w="4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All subjects who signed informed consent (DSDECOD = 'INFORMED CONSENT OBTAINED').</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Disposition</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Intent-to-Treat (ITT)</w:t>
            </w:r>
          </w:p>
        </w:tc>
        <w:tc>
          <w:tcPr>
            <w:tcW w:type="dxa" w:w="4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All randomized subjects, analyzed according to the treatment to which they were randomized (ADSL.ITTFL = 'Y').</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Primary efficacy</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Modified ITT (mITT)</w:t>
            </w:r>
          </w:p>
        </w:tc>
        <w:tc>
          <w:tcPr>
            <w:tcW w:type="dxa" w:w="4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All randomized subjects who received at least one dose of study drug (ADSL.MITTFL = 'Y').</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Sensitivity efficacy</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Safety</w:t>
            </w:r>
          </w:p>
        </w:tc>
        <w:tc>
          <w:tcPr>
            <w:tcW w:type="dxa" w:w="4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All randomized subjects who received at least one dose of study drug, analyzed according to the treatment actually received (ADSL.SAFFL = 'Y').</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Safety</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Per-Protocol (PP)</w:t>
            </w:r>
          </w:p>
        </w:tc>
        <w:tc>
          <w:tcPr>
            <w:tcW w:type="dxa" w:w="47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Subjects in the mITT population without major protocol deviations affecting efficacy assessment (ADSL.PPROTFL = 'Y').</w:t>
            </w:r>
          </w:p>
        </w:tc>
        <w:tc>
          <w:tcPr>
            <w:tcW w:type="dxa" w:w="22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Sensitivity efficacy</w:t>
            </w:r>
          </w:p>
        </w:tc>
      </w:tr>
    </w:tbl>
    <w:p>
      <w:r>
        <w:br w:type="page"/>
      </w:r>
    </w:p>
    <w:p>
      <w:pPr>
        <w:pStyle w:val="Heading1"/>
        <w:spacing w:after="180" w:before="360"/>
      </w:pPr>
      <w:r>
        <w:t xml:space="preserve">8. Statistical Methods</w:t>
      </w:r>
    </w:p>
    <w:p>
      <w:pPr>
        <w:pStyle w:val="Heading2"/>
        <w:spacing w:after="120" w:before="240"/>
      </w:pPr>
      <w:r>
        <w:t xml:space="preserve">8.1 General Considerations</w:t>
      </w:r>
    </w:p>
    <w:p>
      <w:pPr>
        <w:spacing w:after="120"/>
      </w:pPr>
      <w:r>
        <w:t xml:space="preserve">All analyses will be conducted using SAS® version 9.4 or higher. Continuous variables will be summarized using n, mean, standard deviation (SD), median, Q1, Q3, minimum, and maximum. Categorical variables will be summarized using counts and percentages. Percentages will be calculated using the number of subjects with non-missing data as the denominator unless otherwise specified.</w:t>
      </w:r>
    </w:p>
    <w:p>
      <w:pPr>
        <w:spacing w:after="120"/>
      </w:pPr>
      <w:r>
        <w:t xml:space="preserve">Two-sided 95% confidence intervals will be reported where applicable. No adjustment for multiplicity will be made for secondary or exploratory endpoints; their analyses are descriptive.</w:t>
      </w:r>
    </w:p>
    <w:p>
      <w:pPr>
        <w:spacing w:after="120"/>
      </w:pPr>
      <w:r>
        <w:t xml:space="preserve">Baseline is defined as the last non-missing measurement collected on or before the date of first dose of study drug. For subjects who never receive study drug, baseline is the last non-missing measurement on or before randomization.</w:t>
      </w:r>
    </w:p>
    <w:p>
      <w:pPr>
        <w:pStyle w:val="Heading2"/>
        <w:spacing w:after="120" w:before="240"/>
      </w:pPr>
      <w:r>
        <w:t xml:space="preserve">8.2 Subject Disposition</w:t>
      </w:r>
    </w:p>
    <w:p>
      <w:pPr>
        <w:spacing w:after="120"/>
      </w:pPr>
      <w:r>
        <w:t xml:space="preserve">The number and percentage of subjects screened, screen-failed, randomized, treated, completing the treatment period, completing the study, and discontinuing (with reasons) will be summarized for the All Subjects population. Reasons for screen failure and reasons for treatment discontinuation will be tabulated separately. See Table 14.1.1.</w:t>
      </w:r>
    </w:p>
    <w:p>
      <w:pPr>
        <w:pStyle w:val="Heading2"/>
        <w:spacing w:after="120" w:before="240"/>
      </w:pPr>
      <w:r>
        <w:t xml:space="preserve">8.3 Demographics and Baseline Characteristics</w:t>
      </w:r>
    </w:p>
    <w:p>
      <w:pPr>
        <w:spacing w:after="120"/>
      </w:pPr>
      <w:r>
        <w:t xml:space="preserve">Demographics (age, age group [adolescent vs. adult], race, ethnicity, sex, body weight, BMI, geographic region), baseline AD characteristics (age at AD onset, AD duration, baseline EASI total score and severity category [moderate vs. severe], baseline vIGA-AD, baseline BSA affected, baseline WP-NRS, baseline POEM, baseline DLQI/CDLQI), atopic comorbidities (asthma, allergic rhinitis, food allergy, allergic conjunctivitis), and prior AD treatments will be summarized by treatment group and overall on the Safety population. See Table 14.1.2.</w:t>
      </w:r>
    </w:p>
    <w:p>
      <w:pPr>
        <w:pStyle w:val="Heading2"/>
        <w:spacing w:after="120" w:before="240"/>
      </w:pPr>
      <w:r>
        <w:t xml:space="preserve">8.4 Efficacy Analyses</w:t>
      </w:r>
    </w:p>
    <w:p>
      <w:pPr>
        <w:pStyle w:val="Heading3"/>
        <w:spacing w:after="100" w:before="180"/>
      </w:pPr>
      <w:r>
        <w:t xml:space="preserve">8.4.1 Primary Endpoint: Achievement of EASI 75 at Week 16</w:t>
      </w:r>
    </w:p>
    <w:p>
      <w:pPr>
        <w:spacing w:after="120"/>
      </w:pPr>
      <w:r>
        <w:t xml:space="preserve">EASI 75 will be analyzed in the ITT population. The proportion of responders will be summarized with 95% CIs (Clopper-Pearson). The difference between treatment arms will be tested using a Cochran-Mantel-Haenszel test stratified by the randomization stratification factors.</w:t>
      </w:r>
    </w:p>
    <w:p>
      <w:pPr>
        <w:spacing w:after="120"/>
      </w:pPr>
      <w:r>
        <w:t xml:space="preserve">Sensitivity analyses include repeating the primary analysis on the mITT and PP populations, alternative handling of missing data, and where applicable, unstratified versions of the primary analysis.</w:t>
      </w:r>
    </w:p>
    <w:p>
      <w:pPr>
        <w:pStyle w:val="Heading3"/>
        <w:spacing w:after="100" w:before="180"/>
      </w:pPr>
      <w:r>
        <w:t xml:space="preserve">8.4.2 Secondary Endpoints</w:t>
      </w:r>
    </w:p>
    <w:p>
      <w:pPr>
        <w:spacing w:after="120"/>
      </w:pPr>
      <w:r>
        <w:t xml:space="preserve">Secondary endpoints will be analyzed using methods appropriate to each endpoint type, with descriptive summaries by treatment arm and visit. Treatment comparisons will use stratified methods consistent with the primary analysis.</w:t>
      </w:r>
    </w:p>
    <w:p>
      <w:pPr>
        <w:spacing w:after="120"/>
      </w:pPr>
      <w:r>
        <w:t xml:space="preserve">Patient-reported outcomes (Patient-Oriented Eczema Measure) will be analyzed using a Mixed Model for Repeated Measures (MMRM) with treatment, visit, treatment-by-visit interaction, baseline value, and stratification factors as fixed effects, and an unstructured covariance matrix.</w:t>
      </w:r>
    </w:p>
    <w:p>
      <w:pPr>
        <w:pStyle w:val="Heading2"/>
        <w:spacing w:after="120" w:before="240"/>
      </w:pPr>
      <w:r>
        <w:t xml:space="preserve">8.5 Safety Analyses</w:t>
      </w:r>
    </w:p>
    <w:p>
      <w:pPr>
        <w:spacing w:after="120"/>
      </w:pPr>
      <w:r>
        <w:t xml:space="preserve">All safety analyses will be conducted on the Safety population, with subjects analyzed according to the treatment actually received.</w:t>
      </w:r>
    </w:p>
    <w:p>
      <w:pPr>
        <w:pStyle w:val="Heading3"/>
        <w:spacing w:after="100" w:before="180"/>
      </w:pPr>
      <w:r>
        <w:t xml:space="preserve">8.5.1 Adverse Events</w:t>
      </w:r>
    </w:p>
    <w:p>
      <w:pPr>
        <w:spacing w:after="120"/>
      </w:pPr>
      <w:r>
        <w:t xml:space="preserve">Adverse events will be coded using MedDRA (most current version available at database lock). Treatment-emergent adverse events (TEAEs) are defined as any AE with onset on or after the date of first dose of study drug, or any pre-existing event that worsens after first dose.</w:t>
      </w:r>
    </w:p>
    <w:p>
      <w:pPr>
        <w:spacing w:after="120"/>
      </w:pPr>
      <w:r>
        <w:t xml:space="preserve">Overview of AEs (any AE, any TEAE, any SAE, AEs leading to discontinuation, deaths) will be presented in Table 14.3.1. TEAEs will be tabulated by System Organ Class (SOC) and Preferred Term (PT) by treatment arm in Table 14.3.2; subjects experiencing the same event multiple times will be counted once at the worst severity.</w:t>
      </w:r>
    </w:p>
    <w:p>
      <w:pPr>
        <w:pStyle w:val="Heading3"/>
        <w:spacing w:after="100" w:before="180"/>
      </w:pPr>
      <w:r>
        <w:t xml:space="preserve">8.5.2 Laboratory Evaluations - Hematology, Hepatic, Lipids, CPK</w:t>
      </w:r>
    </w:p>
    <w:p>
      <w:pPr>
        <w:spacing w:after="120"/>
      </w:pPr>
      <w:r>
        <w:t xml:space="preserve">Laboratory parameters will be summarized using shift tables (low/normal/high relative to laboratory reference range) and continuous summaries by visit. Per the JAK inhibitor risk-management plan, particular attention will be given to changes in hemoglobin, lymphocyte count, neutrophil count, ALT/AST, creatinine, CPK, and lipid panel (LDL/HDL). Treatment-emergent grade ≥3 laboratory abnormalities (CTCAE v5.0) and shifts to outside reference range will be tabulated by visit and treatment arm.</w:t>
      </w:r>
    </w:p>
    <w:p>
      <w:pPr>
        <w:pStyle w:val="Heading3"/>
        <w:spacing w:after="100" w:before="180"/>
      </w:pPr>
      <w:r>
        <w:t xml:space="preserve">8.5.3 Vital Signs and Physical Examination</w:t>
      </w:r>
    </w:p>
    <w:p>
      <w:pPr>
        <w:spacing w:after="120"/>
      </w:pPr>
      <w:r>
        <w:t xml:space="preserve">Systolic and diastolic blood pressure, heart rate, respiratory rate, temperature, and body weight will be summarized by visit (continuous summaries and changes from baseline). Subject-level vital signs are presented in Listing 16.2.7.9. Skin physical examination findings, including signs of skin infection (e.g., eczema herpeticum), will be reviewed at every visit.</w:t>
      </w:r>
    </w:p>
    <w:p>
      <w:pPr>
        <w:pStyle w:val="Heading3"/>
        <w:spacing w:after="100" w:before="180"/>
      </w:pPr>
      <w:r>
        <w:t xml:space="preserve">8.5.4 Concomitant Medications</w:t>
      </w:r>
    </w:p>
    <w:p>
      <w:pPr>
        <w:spacing w:after="120"/>
      </w:pPr>
      <w:r>
        <w:t xml:space="preserve">Concomitant medications will be coded using WHO-DD and tabulated by ATC Level 3 class and Preferred Term in Table 14.1.3. A medication is considered concomitant if it was taken at any time between first dose and 30 days after last dose (ADCM.CONTRTFL = 'Y').</w:t>
      </w:r>
    </w:p>
    <w:p>
      <w:pPr>
        <w:pStyle w:val="Heading3"/>
        <w:spacing w:after="100" w:before="180"/>
      </w:pPr>
      <w:r>
        <w:t xml:space="preserve">8.5.5 Study Drug Exposure</w:t>
      </w:r>
    </w:p>
    <w:p>
      <w:pPr>
        <w:spacing w:after="120"/>
      </w:pPr>
      <w:r>
        <w:t xml:space="preserve">Duration of exposure (weeks and patient-years), cumulative dose, dose intensity (% of planned), and dose-modification events (interruptions, missed doses, dose reductions) will be summarized in Table 14.1.4.</w:t>
      </w:r>
    </w:p>
    <w:p>
      <w:pPr>
        <w:pStyle w:val="Heading2"/>
        <w:spacing w:after="120" w:before="240"/>
      </w:pPr>
      <w:r>
        <w:t xml:space="preserve">8.6 Patient-Reported Outcomes</w:t>
      </w:r>
    </w:p>
    <w:p>
      <w:pPr>
        <w:spacing w:after="120"/>
      </w:pPr>
      <w:r>
        <w:t xml:space="preserve">The Patient-Oriented Eczema Measure (POEM) total score and individual item scores will be summarized by visit and treatment arm. Total score is computed as the sum of the constituent symptom items; higher scores indicate worse symptoms. Subjects with &gt; 2 missing items at a visit will be considered missing for that visit's total.</w:t>
      </w:r>
    </w:p>
    <w:p>
      <w:r>
        <w:br w:type="page"/>
      </w:r>
    </w:p>
    <w:p>
      <w:pPr>
        <w:pStyle w:val="Heading1"/>
        <w:spacing w:after="180" w:before="360"/>
      </w:pPr>
      <w:r>
        <w:t xml:space="preserve">9. Interim Analyses</w:t>
      </w:r>
    </w:p>
    <w:p>
      <w:pPr>
        <w:spacing w:after="120"/>
      </w:pPr>
      <w:r>
        <w:t xml:space="preserve">One pre-specified interim futility analysis will be conducted by the Independent Data Monitoring Committee (IDMC) when approximately 60% of the planned events/data have accrued. The O'Brien-Fleming spending function will be used to control the overall Type I error at 0.05. The Sponsor study team will remain blinded to the interim results unless the IDMC recommends study modification.</w:t>
      </w:r>
    </w:p>
    <w:p>
      <w:r>
        <w:br w:type="page"/>
      </w:r>
    </w:p>
    <w:p>
      <w:pPr>
        <w:pStyle w:val="Heading1"/>
        <w:spacing w:after="180" w:before="360"/>
      </w:pPr>
      <w:r>
        <w:t xml:space="preserve">10. Handling of Missing Data</w:t>
      </w:r>
    </w:p>
    <w:p>
      <w:pPr>
        <w:spacing w:after="120"/>
      </w:pPr>
      <w:r>
        <w:t xml:space="preserve">For the primary endpoint, missing values will be handled per the analysis method described in Section 8.4.1. </w:t>
      </w:r>
    </w:p>
    <w:p>
      <w:pPr>
        <w:spacing w:after="120"/>
      </w:pPr>
      <w:r>
        <w:t xml:space="preserve">For continuous endpoints, missing data will not be imputed for descriptive summaries. MMRM analyses implicitly handle data missing at random.</w:t>
      </w:r>
    </w:p>
    <w:p>
      <w:r>
        <w:br w:type="page"/>
      </w:r>
    </w:p>
    <w:p>
      <w:pPr>
        <w:pStyle w:val="Heading1"/>
        <w:spacing w:after="180" w:before="360"/>
      </w:pPr>
      <w:r>
        <w:t xml:space="preserve">11. Changes from Protocol</w:t>
      </w:r>
    </w:p>
    <w:p>
      <w:pPr>
        <w:spacing w:after="120"/>
      </w:pPr>
      <w:r>
        <w:t xml:space="preserve">Any analyses described in this SAP that were not pre-specified in the protocol are considered exploratory. Sensitivity analyses, subgroup analyses, and any deviations from protocol-specified analyses will be documented in the Clinical Study Report (CSR).</w:t>
      </w:r>
    </w:p>
    <w:p>
      <w:r>
        <w:br w:type="page"/>
      </w:r>
    </w:p>
    <w:p>
      <w:pPr>
        <w:pStyle w:val="Heading1"/>
        <w:spacing w:after="180" w:before="360"/>
      </w:pPr>
      <w:r>
        <w:t xml:space="preserve">12. Appendix A — List of Tables, Listings, and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tblHeader/>
        </w:trPr>
        <w:tc>
          <w:tcPr>
            <w:tcW w:type="dxa" w:w="15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Number</w:t>
            </w:r>
          </w:p>
        </w:tc>
        <w:tc>
          <w:tcPr>
            <w:tcW w:type="dxa" w:w="586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Title</w:t>
            </w:r>
          </w:p>
        </w:tc>
        <w:tc>
          <w:tcPr>
            <w:tcW w:type="dxa" w:w="2000"/>
            <w:tcBorders>
              <w:top w:val="single" w:color="808080" w:sz="4"/>
              <w:left w:val="single" w:color="808080" w:sz="4"/>
              <w:bottom w:val="single" w:color="808080" w:sz="4"/>
              <w:right w:val="single" w:color="808080" w:sz="4"/>
            </w:tcBorders>
            <w:shd w:fill="D9E2F3" w:val="clear"/>
            <w:tcMar>
              <w:top w:type="dxa" w:w="80"/>
              <w:left w:type="dxa" w:w="120"/>
              <w:bottom w:type="dxa" w:w="80"/>
              <w:right w:type="dxa" w:w="120"/>
            </w:tcMar>
            <w:vAlign w:val="top"/>
          </w:tcPr>
          <w:p>
            <w:r>
              <w:rPr>
                <w:b/>
                <w:bCs/>
                <w:sz w:val="20"/>
                <w:szCs w:val="20"/>
              </w:rPr>
              <w:t xml:space="preserve">Population</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Table 14.1.1</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Subject Disposition by Treatment Arm</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All Subjects</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Table 14.1.2</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Subject Demographics and Baseline Disease Characteristics</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Safety</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Table 14.1.3</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Concomitant Medications and Topical Therapy Use by ATC Class and PT</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Safety</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Table 14.1.4</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Study Drug Exposure (Patient-Years)</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Safety</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Table 14.2.1</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Proportion of Subjects Achieving EASI 75 at Week 16 (Primary Endpoint)</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ITT</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Table 14.2.2</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Proportion of Subjects Achieving vIGA-AD 0/1 at Week 16</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ITT</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Table 14.2.3</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Proportion of Subjects Achieving EASI 90 / EASI 100 at Week 16</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ITT</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Table 14.2.4</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Proportion of Subjects Achieving WP-NRS ≥4-pt Improvement at Week 16</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ITT (WP-NRS≥4 at BL)</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Table 14.2.5</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Long-term Maintenance of EASI 75 / EASI 90 Through Week 140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ITT</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Table 14.3.1</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Overview of TEAEs (Exposure-Adjusted, E/100 PY)</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Safety</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Table 14.3.2</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TEAEs by SOC and Preferred Term (≥5% in any arm)</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Safety</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Table 14.3.3</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Adverse Events of Special Interest (AESI) Summary</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Safety</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Figure 14.2.1</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EASI 75 Response Rates Over Time Through Week 140</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ITT</w:t>
            </w:r>
          </w:p>
        </w:tc>
      </w:tr>
      <w:tr>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Listing 16.2.7.9</w:t>
            </w:r>
          </w:p>
        </w:tc>
        <w:tc>
          <w:tcPr>
            <w:tcW w:type="dxa" w:w="586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Adjudicated MACE / VTE / Malignancy Events</w:t>
            </w:r>
          </w:p>
        </w:tc>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r>
              <w:rPr>
                <w:sz w:val="20"/>
                <w:szCs w:val="20"/>
              </w:rPr>
              <w:t xml:space="preserve">Safety</w:t>
            </w:r>
          </w:p>
        </w:tc>
      </w:tr>
    </w:tbl>
    <w:p>
      <w:pPr>
        <w:spacing w:before="400"/>
        <w:jc w:val="center"/>
      </w:pPr>
      <w:r>
        <w:rPr>
          <w:i/>
          <w:iCs/>
          <w:color w:val="808080"/>
          <w:sz w:val="18"/>
          <w:szCs w:val="18"/>
        </w:rPr>
        <w:t xml:space="preserve">—— End of Statistical Analysis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APX-DRM-301  •  SAP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APX-DRM-301 Statistical Analysis Plan v1.0</dc:title>
  <dc:creator>Apex Therapeutics, Inc. Biostatistics</dc:creator>
  <cp:lastModifiedBy>Un-named</cp:lastModifiedBy>
  <cp:revision>1</cp:revision>
  <dcterms:created xsi:type="dcterms:W3CDTF">2026-04-28T05:27:05.683Z</dcterms:created>
  <dcterms:modified xsi:type="dcterms:W3CDTF">2026-04-28T05:27:05.684Z</dcterms:modified>
</cp:coreProperties>
</file>

<file path=docProps/custom.xml><?xml version="1.0" encoding="utf-8"?>
<Properties xmlns="http://schemas.openxmlformats.org/officeDocument/2006/custom-properties" xmlns:vt="http://schemas.openxmlformats.org/officeDocument/2006/docPropsVTypes"/>
</file>