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14.3.1</w:t>
      </w:r>
    </w:p>
    <w:p>
      <w:pPr>
        <w:pStyle w:val="Normal"/>
      </w:pPr>
      <w:r>
        <w:t xml:space="preserve">Overview of Treatment-Emergent Adverse Events</w:t>
      </w:r>
    </w:p>
    <w:p>
      <w:pPr>
        <w:pStyle w:val="Normal"/>
      </w:pPr>
      <w:r>
        <w:t xml:space="preserve">Safety Population (ADSL.SAFFL='Y')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Category</w:t>
            </w:r>
          </w:p>
        </w:tc>
        <w:tc>
          <w:p>
            <w:pPr>
              <w:pStyle w:val="Normal"/>
            </w:pPr>
            <w:r>
              <w:t>Treatment A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</w:tr>
      <w:tr>
        <w:tc>
          <w:p>
            <w:pPr>
              <w:pStyle w:val="Normal"/>
            </w:pPr>
            <w:r>
              <w:t>Serious TEAE, n (%)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 (%)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 xmlns:w="http://schemas.openxmlformats.org/wordprocessingml/2006/main">
        <w:rPr>
          <w:color w:val="FF0000"/>
        </w:rPr>
        <w:t xml:space="preserve">Serious TEAE -&gt; ADAE.AESER=</w:t>
      </w:r>
      <w:r xmlns:w="http://schemas.openxmlformats.org/wordprocessingml/2006/main">
        <w:rPr>
          <w:color w:val="EE0000"/>
        </w:rPr>
        <w:t xml:space="preserve">”Severe”</w:t>
      </w:r>
    </w:p>
    <w:p>
      <w:pPr>
        <w:pStyle w:val="Normal"/>
      </w:pPr>
      <w:r>
        <w:t xml:space="preserve">Source: ADAE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2026-07-26T22:48:50Z</dcterms:modified>
  <cp:category/>
</cp:coreProperties>
</file>