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BMD (g/cm2)  ADSL.WEIGHT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>
  <w:p>
    <w:r>
      <w:t xml:space="preserve">Table 14.5.1</w:t>
    </w:r>
  </w:p>
  <w:p>
    <w:r>
      <w:t xml:space="preserve">Bone Mineral Density Change from Baseline</w:t>
    </w:r>
  </w:p>
  <w:p>
    <w:r>
      <w:t xml:space="preserve">Safety Population (ADSL.SAFFL='Y')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2026-07-20T11:10:52Z</dcterms:modified>
  <cp:category/>
</cp:coreProperties>
</file>