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14.5.2 Demographics by Subgroup – Cohort 1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Low dose (N=XX) ADSL.COHORTN=1 AND ADSL.CGHGR1N=1</w:t>
            </w:r>
          </w:p>
        </w:tc>
        <w:tc>
          <w:p>
            <w:pPr>
              <w:pStyle w:val="Normal"/>
            </w:pPr>
            <w:r>
              <w:t>Elderly (N=XX) ADSL.COHORTN=1 AND ADSL.AGEGR1N=2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2026-08-11T22:46:35Z</dcterms:modified>
  <cp:category/>
</cp:coreProperties>
</file>