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14.9.1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Characteristic</w:t>
            </w:r>
          </w:p>
        </w:tc>
        <w:tc>
          <w:p>
            <w:pPr>
              <w:pStyle w:val="Normal"/>
            </w:pPr>
            <w:r>
              <w:t>Treatment A</w:t>
            </w:r>
          </w:p>
        </w:tc>
        <w:tc>
          <w:p>
            <w:pPr>
              <w:pStyle w:val="Normal"/>
            </w:pPr>
            <w:r>
              <w:t>Placebo</w:t>
            </w:r>
          </w:p>
        </w:tc>
      </w:tr>
      <w:tr>
        <w:tc>
          <w:p>
            <w:pPr>
              <w:pStyle w:val="Normal"/>
            </w:pPr>
            <w:r>
              <w:t>Age (years)  ADSL.AGE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n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Mean (SD)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</w:tbl>
    <w:p>
      <w:pPr>
        <w:pStyle w:val="Normal"/>
      </w:pPr>
      <w:r>
        <w:t xml:space="preserve">Source: ADSL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Hamid</cp:lastModifiedBy>
  <cp:revision>9</cp:revision>
  <dcterms:created xsi:type="dcterms:W3CDTF">2017-02-28T11:18:00Z</dcterms:created>
  <dcterms:modified xsi:type="dcterms:W3CDTF">2026-07-20T12:48:44Z</dcterms:modified>
  <cp:category/>
</cp:coreProperties>
</file>