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CDISC Simulated Sponsor</w:t>
      </w:r>
    </w:p>
    <w:p>
      <w:pPr>
        <w:pStyle w:val="Normal"/>
      </w:pPr>
      <w:r>
        <w:t xml:space="preserve">Protocol CDSC-ALZ-201</w:t>
      </w:r>
    </w:p>
    <w:p>
      <w:pPr>
        <w:pStyle w:val="Normal"/>
      </w:pPr>
      <w:r>
        <w:t xml:space="preserve">A Phase 2, Randomized, Double-Blind, Placebo-Controlled Study of Xanomeline Transdermal Therapeutic System in Subjects with Mild-to-Moderate Alzheimer's Disease</w:t>
      </w:r>
    </w:p>
    <w:p>
      <w:pPr>
        <w:pStyle w:val="Normal"/>
      </w:pPr>
      <w:r>
        <w:t xml:space="preserve">Tables, Listings, and Figures Shells</w:t>
      </w:r>
    </w:p>
    <w:p>
      <w:pPr>
        <w:pStyle w:val="Normal"/>
      </w:pPr>
      <w:r>
        <w:t xml:space="preserve">Version 1.0 - 2026-07-03</w:t>
      </w:r>
    </w:p>
    <w:p>
      <w:pPr>
        <w:pStyle w:val="Normal"/>
      </w:pPr>
      <w:r>
        <w:t xml:space="preserve">CONFIDENTIAL</w:t>
      </w:r>
    </w:p>
    <w:p>
      <w:pPr>
        <w:pStyle w:val="Normal"/>
      </w:pPr>
      <w:r>
        <w:t xml:space="preserve">(Synthetic mock for illustration - pharmaverseadam, Apache-2.0. No real patient data.)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Red italic text = programming annotation: data source as DATASET.VARIABLE. Not part of the final output.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14.1.1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Subject Disposition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All Subjects Enrolled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(ADSL; all enrolled subjects - no ITTFL/DCSREAS in this ADSL)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Category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  <w:tc>
          <w:p>
            <w:pPr>
              <w:pStyle w:val="Normal"/>
            </w:pPr>
            <w:r>
              <w:t>Xanomeline Low</w:t>
            </w:r>
          </w:p>
        </w:tc>
        <w:tc>
          <w:p>
            <w:pPr>
              <w:pStyle w:val="Normal"/>
            </w:pPr>
            <w:r>
              <w:t>Xanomeline High</w:t>
            </w:r>
          </w:p>
        </w:tc>
      </w:tr>
      <w:tr>
        <w:tc>
          <w:p>
            <w:pPr>
              <w:pStyle w:val="Normal"/>
            </w:pPr>
            <w:r>
              <w:t>Subjects enrolled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  Screen failures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Randomized / treated (Safety)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Completed study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Discontinued study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  (End-of-study status)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</w:tbl>
    <w:p>
      <w:pPr>
        <w:pStyle w:val="Normal"/>
      </w:pPr>
      <w:r>
        <w:t xml:space="preserve">Percentages based on number of subjects enrolled in each treatment group.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Source: ADSL.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Subjects enrolled -&gt; count of ADSL.USUBJID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Screen failures -&gt; ADSL.TRT01P = 'Screen Failure'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Randomized / treated (Safety) -&gt; ADSL.SAFFL = 'Y'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Completed / Discontinued -&gt; ADSL.EOSSTT (COMPLETED / DISCONTINUED)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Treatment columns -&gt; ADSL.TRT01A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14.1.2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Demographics and Baseline Characteristics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Safety Population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  <w:tc>
          <w:p>
            <w:pPr>
              <w:pStyle w:val="Normal"/>
            </w:pPr>
            <w:r>
              <w:t>Xanomeline Low</w:t>
            </w:r>
          </w:p>
        </w:tc>
        <w:tc>
          <w:p>
            <w:pPr>
              <w:pStyle w:val="Normal"/>
            </w:pPr>
            <w:r>
              <w:t>Xanomeline High</w:t>
            </w:r>
          </w:p>
        </w:tc>
      </w:tr>
      <w:tr>
        <w:tc>
          <w:p>
            <w:pPr>
              <w:pStyle w:val="Normal"/>
            </w:pPr>
            <w:r>
              <w:t>Age (years) - Mean (SD)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  Min, Max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Age group, n (%)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Sex, n (%) - Female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  Male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Race, n (%)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Ethnicity, n (%)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Source: ADSL.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Age (years) -&gt; ADSL.AGE (unit ADSL.AGEU)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Age group -&gt; ADSL.AGEGR1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Sex -&gt; ADSL.SEX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Race -&gt; ADSL.RACE ; Ethnicity -&gt; ADSL.ETHNIC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Column N and treatment -&gt; ADSL.TRT01A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14.3.1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Overview of Treatment-Emergent Adverse Events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Safety Population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Category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  <w:tc>
          <w:p>
            <w:pPr>
              <w:pStyle w:val="Normal"/>
            </w:pPr>
            <w:r>
              <w:t>Xanomeline Low</w:t>
            </w:r>
          </w:p>
        </w:tc>
        <w:tc>
          <w:p>
            <w:pPr>
              <w:pStyle w:val="Normal"/>
            </w:pPr>
            <w:r>
              <w:t>Xanomeline High</w:t>
            </w:r>
          </w:p>
        </w:tc>
      </w:tr>
      <w:tr>
        <w:tc>
          <w:p>
            <w:pPr>
              <w:pStyle w:val="Normal"/>
            </w:pPr>
            <w:r>
              <w:t>Any TEAE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Serious TEAE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TEAE leading to discontinuation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TEAE by maximum severity - Mild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  Moderate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  Severe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TEAE related to study drug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</w:tbl>
    <w:p>
      <w:pPr>
        <w:pStyle w:val="Normal"/>
      </w:pPr>
      <w:r>
        <w:t xml:space="preserve">n (%) of subjects. A subject is counted once at maximum severity. Percentages use column N as denominator.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Source: ADAE.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Any TEAE -&gt; ADAE.TRTEMFL = 'Y'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Serious TEAE -&gt; ADAE.AESER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TEAE leading to discontinuation -&gt; ADAE.AEACN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Maximum severity (Mild/Moderate/Severe) -&gt; ADAE.ASEV / ASEVN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Related to study drug -&gt; ADAE.AEREL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Treatment -&gt; ADAE.TRT01A ; denominator N -&gt; ADSL.SAFFL='Y'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14.3.2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Treatment-Emergent Adverse Events by System Organ Class and Preferred Term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Safety Population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System Organ Class / Preferred Term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  <w:tc>
          <w:p>
            <w:pPr>
              <w:pStyle w:val="Normal"/>
            </w:pPr>
            <w:r>
              <w:t>Xanomeline Low</w:t>
            </w:r>
          </w:p>
        </w:tc>
        <w:tc>
          <w:p>
            <w:pPr>
              <w:pStyle w:val="Normal"/>
            </w:pPr>
            <w:r>
              <w:t>Xanomeline High</w:t>
            </w:r>
          </w:p>
        </w:tc>
      </w:tr>
      <w:tr>
        <w:tc>
          <w:p>
            <w:pPr>
              <w:pStyle w:val="Normal"/>
            </w:pPr>
            <w:r>
              <w:t>Subjects with any TEAE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  &lt;System Organ Class&gt;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    &lt;Preferred Term&gt;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    &lt;Preferred Term&gt;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  &lt;System Organ Class&gt;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    &lt;Preferred Term&gt;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</w:tbl>
    <w:p>
      <w:pPr>
        <w:pStyle w:val="Normal"/>
      </w:pPr>
      <w:r>
        <w:t xml:space="preserve">Subjects counted once per SOC and once per PT. Sorted by descending frequency in the total xanomeline group.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Source: ADAE.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System Organ Class -&gt; ADAE.AESOC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Preferred Term -&gt; ADAE.AEDECOD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Row inclusion -&gt; ADAE.TRTEMFL = 'Y'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Once-per-subject counting -&gt; ADAE.AOCCIFL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Treatment -&gt; ADAE.TRT01A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14.2.1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Study Drug Exposure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Safety Population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Statistic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  <w:tc>
          <w:p>
            <w:pPr>
              <w:pStyle w:val="Normal"/>
            </w:pPr>
            <w:r>
              <w:t>Xanomeline Low</w:t>
            </w:r>
          </w:p>
        </w:tc>
        <w:tc>
          <w:p>
            <w:pPr>
              <w:pStyle w:val="Normal"/>
            </w:pPr>
            <w:r>
              <w:t>Xanomeline High</w:t>
            </w:r>
          </w:p>
        </w:tc>
      </w:tr>
      <w:tr>
        <w:tc>
          <w:p>
            <w:pPr>
              <w:pStyle w:val="Normal"/>
            </w:pPr>
            <w:r>
              <w:t>Duration of exposure (days)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  Mean (SD)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  Median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  Min, Max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Total exposure (subject-days)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Average daily dose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Source: ADEX.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Duration of exposure -&gt; ADEX.TRTDURD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Dose -&gt; ADEX.AVAL by ADEX.PARAMCD (ADEX.EXDOSE / EXDOSU)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Treatment -&gt; ADEX.TRT01A ; denominator -&gt; ADSL.SAFFL='Y'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Listing 16.2.7.1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Listing of Adverse Events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Safety Population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Subject</w:t>
            </w:r>
          </w:p>
        </w:tc>
        <w:tc>
          <w:p>
            <w:pPr>
              <w:pStyle w:val="Normal"/>
            </w:pPr>
            <w:r>
              <w:t>Treatment</w:t>
            </w:r>
          </w:p>
        </w:tc>
        <w:tc>
          <w:p>
            <w:pPr>
              <w:pStyle w:val="Normal"/>
            </w:pPr>
            <w:r>
              <w:t>AE (PT)</w:t>
            </w:r>
          </w:p>
        </w:tc>
        <w:tc>
          <w:p>
            <w:pPr>
              <w:pStyle w:val="Normal"/>
            </w:pPr>
            <w:r>
              <w:t>SOC</w:t>
            </w:r>
          </w:p>
        </w:tc>
        <w:tc>
          <w:p>
            <w:pPr>
              <w:pStyle w:val="Normal"/>
            </w:pPr>
            <w:r>
              <w:t>Start/Stop</w:t>
            </w:r>
          </w:p>
        </w:tc>
        <w:tc>
          <w:p>
            <w:pPr>
              <w:pStyle w:val="Normal"/>
            </w:pPr>
            <w:r>
              <w:t>Sev</w:t>
            </w:r>
          </w:p>
        </w:tc>
        <w:tc>
          <w:p>
            <w:pPr>
              <w:pStyle w:val="Normal"/>
            </w:pPr>
            <w:r>
              <w:t>Ser</w:t>
            </w:r>
          </w:p>
        </w:tc>
        <w:tc>
          <w:p>
            <w:pPr>
              <w:pStyle w:val="Normal"/>
            </w:pPr>
            <w:r>
              <w:t>Rel</w:t>
            </w:r>
          </w:p>
        </w:tc>
        <w:tc>
          <w:p>
            <w:pPr>
              <w:pStyle w:val="Normal"/>
            </w:pPr>
            <w:r>
              <w:t>Outcome</w:t>
            </w:r>
          </w:p>
        </w:tc>
      </w:tr>
      <w:tr>
        <w:tc>
          <w:p>
            <w:pPr>
              <w:pStyle w:val="Normal"/>
            </w:pPr>
            <w:r>
              <w:t>xxx-xxx</w:t>
            </w:r>
          </w:p>
        </w:tc>
        <w:tc>
          <w:p>
            <w:pPr>
              <w:pStyle w:val="Normal"/>
            </w:pPr>
            <w:r>
              <w:t>xxxx</w:t>
            </w:r>
          </w:p>
        </w:tc>
        <w:tc>
          <w:p>
            <w:pPr>
              <w:pStyle w:val="Normal"/>
            </w:pPr>
            <w:r>
              <w:t>xxxx</w:t>
            </w:r>
          </w:p>
        </w:tc>
        <w:tc>
          <w:p>
            <w:pPr>
              <w:pStyle w:val="Normal"/>
            </w:pPr>
            <w:r>
              <w:t>xxxx</w:t>
            </w:r>
          </w:p>
        </w:tc>
        <w:tc>
          <w:p>
            <w:pPr>
              <w:pStyle w:val="Normal"/>
            </w:pPr>
            <w:r>
              <w:t>dd-mmm / dd-mmm</w:t>
            </w:r>
          </w:p>
        </w:tc>
        <w:tc>
          <w:p>
            <w:pPr>
              <w:pStyle w:val="Normal"/>
            </w:pPr>
            <w:r>
              <w:t>x</w:t>
            </w:r>
          </w:p>
        </w:tc>
        <w:tc>
          <w:p>
            <w:pPr>
              <w:pStyle w:val="Normal"/>
            </w:pPr>
            <w:r>
              <w:t>x</w:t>
            </w:r>
          </w:p>
        </w:tc>
        <w:tc>
          <w:p>
            <w:pPr>
              <w:pStyle w:val="Normal"/>
            </w:pPr>
            <w:r>
              <w:t>x</w:t>
            </w:r>
          </w:p>
        </w:tc>
        <w:tc>
          <w:p>
            <w:pPr>
              <w:pStyle w:val="Normal"/>
            </w:pPr>
            <w:r>
              <w:t>xxxx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Source: ADAE.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Subject -&gt; ADAE.USUBJID ; Treatment -&gt; ADAE.TRT01A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AE (PT) -&gt; ADAE.AEDECOD ; SOC -&gt; ADAE.AESOC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Start/Stop -&gt; ADAE.ASTDT / AENDT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Sev -&gt; ADAE.ASEV ; Ser -&gt; ADAE.AESER ; Rel -&gt; ADAE.AEREL ; Outcome -&gt; ADAE.AEOUT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Row inclusion -&gt; one row per record where ADAE.TRTEMFL='Y'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Listing 16.2.4.1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Listing of Concomitant Medications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Safety Population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Subject</w:t>
            </w:r>
          </w:p>
        </w:tc>
        <w:tc>
          <w:p>
            <w:pPr>
              <w:pStyle w:val="Normal"/>
            </w:pPr>
            <w:r>
              <w:t>Treatment</w:t>
            </w:r>
          </w:p>
        </w:tc>
        <w:tc>
          <w:p>
            <w:pPr>
              <w:pStyle w:val="Normal"/>
            </w:pPr>
            <w:r>
              <w:t>Reported term</w:t>
            </w:r>
          </w:p>
        </w:tc>
        <w:tc>
          <w:p>
            <w:pPr>
              <w:pStyle w:val="Normal"/>
            </w:pPr>
            <w:r>
              <w:t>WHODrug PT</w:t>
            </w:r>
          </w:p>
        </w:tc>
        <w:tc>
          <w:p>
            <w:pPr>
              <w:pStyle w:val="Normal"/>
            </w:pPr>
            <w:r>
              <w:t>Class</w:t>
            </w:r>
          </w:p>
        </w:tc>
        <w:tc>
          <w:p>
            <w:pPr>
              <w:pStyle w:val="Normal"/>
            </w:pPr>
            <w:r>
              <w:t>Indication</w:t>
            </w:r>
          </w:p>
        </w:tc>
        <w:tc>
          <w:p>
            <w:pPr>
              <w:pStyle w:val="Normal"/>
            </w:pPr>
            <w:r>
              <w:t>Start/Stop</w:t>
            </w:r>
          </w:p>
        </w:tc>
      </w:tr>
      <w:tr>
        <w:tc>
          <w:p>
            <w:pPr>
              <w:pStyle w:val="Normal"/>
            </w:pPr>
            <w:r>
              <w:t>xxx-xxx</w:t>
            </w:r>
          </w:p>
        </w:tc>
        <w:tc>
          <w:p>
            <w:pPr>
              <w:pStyle w:val="Normal"/>
            </w:pPr>
            <w:r>
              <w:t>xxxx</w:t>
            </w:r>
          </w:p>
        </w:tc>
        <w:tc>
          <w:p>
            <w:pPr>
              <w:pStyle w:val="Normal"/>
            </w:pPr>
            <w:r>
              <w:t>xxxx</w:t>
            </w:r>
          </w:p>
        </w:tc>
        <w:tc>
          <w:p>
            <w:pPr>
              <w:pStyle w:val="Normal"/>
            </w:pPr>
            <w:r>
              <w:t>xxxx</w:t>
            </w:r>
          </w:p>
        </w:tc>
        <w:tc>
          <w:p>
            <w:pPr>
              <w:pStyle w:val="Normal"/>
            </w:pPr>
            <w:r>
              <w:t>xxxx</w:t>
            </w:r>
          </w:p>
        </w:tc>
        <w:tc>
          <w:p>
            <w:pPr>
              <w:pStyle w:val="Normal"/>
            </w:pPr>
            <w:r>
              <w:t>xxxx</w:t>
            </w:r>
          </w:p>
        </w:tc>
        <w:tc>
          <w:p>
            <w:pPr>
              <w:pStyle w:val="Normal"/>
            </w:pPr>
            <w:r>
              <w:t>dd-mmm / dd-mmm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Source: ADCM.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Subject -&gt; ADCM.USUBJID ; Treatment -&gt; ADCM.TRTA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Reported term -&gt; ADCM.CMTRT ; WHODrug PT -&gt; ADCM.CMDECOD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Class -&gt; ADCM.CMCLAS ; Indication -&gt; ADCM.CMINDC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Start/Stop -&gt; ADCM.ASTDT / AENDT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Figure 14.3.1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Mean (+/- SE) Pulse Rate Over Time by Treatment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Safety Population; on-treatment records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(ADSL.SAFFL='Y', ADVS.ANL01FL='Y')</w:t>
      </w:r>
    </w:p>
    <w:p>
      <w:pPr>
        <w:pStyle w:val="Normal"/>
      </w:pPr>
      <w:r>
        <w:rPr/>
        <w:drawing>
          <wp:inline distT="0" distB="0" distL="0" distR="0">
            <wp:extent cx="64008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Points show arithmetic mean pulse rate at each analysis visit; error bars show +/- 1 standard error. Rendered from real pharmaverseadam ADVS data.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000000"/>
        </w:rPr>
        <w:t xml:space="preserve">Source: ADVS (PARAMCD='PULSE').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X axis -&gt; ADVS.AVISITN (label ADVS.AVISIT)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Y axis -&gt; mean of ADVS.AVAL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Series (colour) -&gt; ADVS.TRTA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Filter -&gt; ADVS.PARAMCD='PULSE', ADVS.SAFFL='Y', analysis records (ADVS.DTYPE missing)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8"/>
          <w:szCs w:val="18"/>
          <w:color w:val="FF0000"/>
        </w:rPr>
        <w:t xml:space="preserve">Error bars -&gt; SE = sd(ADVS.AVAL) / sqrt(n)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85f27523480c0e57ac7db30d06423a029fdfe2e6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2026-07-03T12:44:03Z</dcterms:modified>
  <cp:category/>
</cp:coreProperties>
</file>