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AC6F" w14:textId="77777777" w:rsidR="00CA11A6" w:rsidRDefault="00CA11A6" w:rsidP="00A549C1">
      <w:pPr>
        <w:pStyle w:val="Subtitle"/>
      </w:pPr>
      <w:r w:rsidRPr="00CA11A6">
        <w:t>Rascunho para discussão: Estrutura para o aninhamento de projetos a Programas Jurisdicionais de REDD+ - aplica</w:t>
      </w:r>
      <w:r>
        <w:t>ção ao estado do Pará</w:t>
      </w:r>
    </w:p>
    <w:p w14:paraId="575CDE17" w14:textId="3A975661" w:rsidR="004E608B" w:rsidRPr="0019384E" w:rsidRDefault="00CA11A6" w:rsidP="00652DE2">
      <w:pPr>
        <w:pStyle w:val="Heading1"/>
        <w:pBdr>
          <w:bottom w:val="single" w:sz="4" w:space="1" w:color="404040" w:themeColor="text1" w:themeTint="BF"/>
        </w:pBdr>
      </w:pPr>
      <w:r w:rsidRPr="0019384E">
        <w:t>Introdução</w:t>
      </w:r>
    </w:p>
    <w:p w14:paraId="4A21C013" w14:textId="07068F73" w:rsidR="00A141A3" w:rsidRDefault="00A141A3" w:rsidP="001C41B3">
      <w:r w:rsidRPr="00A141A3">
        <w:t xml:space="preserve">O Pará está desenvolvendo seu </w:t>
      </w:r>
      <w:hyperlink r:id="rId11" w:history="1">
        <w:r w:rsidRPr="00A141A3">
          <w:rPr>
            <w:rStyle w:val="Hyperlink"/>
          </w:rPr>
          <w:t>Programa Jurisdicional de REDD+</w:t>
        </w:r>
      </w:hyperlink>
      <w:r>
        <w:t xml:space="preserve"> </w:t>
      </w:r>
      <w:r w:rsidRPr="00A141A3">
        <w:t>no âmbito do ART TREES, como uma estratégia para destravar o financiamento necessário à implementação de atividades de combate ao desmatamento. O estado assinou um Acordo de Compra de Reduções de Emissões (ERPA) com a Coalizão LEAF, cobrindo o período de crédito de 2023 a 2027. Esses créditos serão gerados uma vez que o programa esteja totalmente implementado e monitorado.</w:t>
      </w:r>
    </w:p>
    <w:p w14:paraId="013F375A" w14:textId="75A4769B" w:rsidR="004A7F77" w:rsidRDefault="004A7F77" w:rsidP="001C41B3">
      <w:r w:rsidRPr="004A7F77">
        <w:t xml:space="preserve">Uma das formas de alcançar esses objetivos é contar, ao menos parcialmente, com o setor privado, que também pode investir em atividades em nível de projeto no estado que apoiem e/ou complementem os esforços do Pará. </w:t>
      </w:r>
      <w:r w:rsidR="00977FCB">
        <w:t>A harmonização</w:t>
      </w:r>
      <w:r w:rsidRPr="004A7F77">
        <w:t xml:space="preserve"> </w:t>
      </w:r>
      <w:r w:rsidR="00977FCB">
        <w:t>d</w:t>
      </w:r>
      <w:r w:rsidRPr="004A7F77">
        <w:t>os níveis de projeto e jurisdicional é fundamental para incentivar novos projetos e garantir o sucesso do programa, já que o estado abriga o maior número de projetos de REDD+ no Mercado Voluntário de Carbono (</w:t>
      </w:r>
      <w:r w:rsidR="00977FCB">
        <w:t>VCM</w:t>
      </w:r>
      <w:r w:rsidRPr="004A7F77">
        <w:t xml:space="preserve">) no Brasil, certificados tanto pela Verra quanto pela </w:t>
      </w:r>
      <w:proofErr w:type="spellStart"/>
      <w:r w:rsidRPr="004A7F77">
        <w:t>Cercarbono</w:t>
      </w:r>
      <w:proofErr w:type="spellEnd"/>
      <w:r w:rsidRPr="004A7F77">
        <w:t xml:space="preserve"> (um total de 42 projetos</w:t>
      </w:r>
      <w:r w:rsidR="00CF7C5B">
        <w:rPr>
          <w:rStyle w:val="FootnoteReference"/>
        </w:rPr>
        <w:footnoteReference w:id="1"/>
      </w:r>
      <w:r w:rsidRPr="004A7F77">
        <w:t>).</w:t>
      </w:r>
    </w:p>
    <w:p w14:paraId="003CA6D0" w14:textId="688FA701" w:rsidR="00B34063" w:rsidRDefault="00167AAE" w:rsidP="00D82056">
      <w:r w:rsidRPr="00167AAE">
        <w:t xml:space="preserve">Essa sobreposição espacial, no entanto, apresenta um desafio crítico, pois é regida por dois marcos legais e programáticos distintos que permitem </w:t>
      </w:r>
      <w:r>
        <w:t>que os projetos oper</w:t>
      </w:r>
      <w:r w:rsidRPr="00167AAE">
        <w:t>e</w:t>
      </w:r>
      <w:r>
        <w:t>m</w:t>
      </w:r>
      <w:r w:rsidRPr="00167AAE">
        <w:t xml:space="preserve"> fora de programas jurisdicionais:</w:t>
      </w:r>
      <w:r>
        <w:t xml:space="preserve"> </w:t>
      </w:r>
      <w:r w:rsidRPr="00167AAE">
        <w:t>(i) A Lei Federal nº 15.042/2024 concede aos proprietários privados o direito de excluir suas terras dos programas jurisdicionais, nos termos do Artigo 43, § 7º — uma afirmação significativa dos direitos de propriedade privada.</w:t>
      </w:r>
      <w:r>
        <w:t xml:space="preserve"> </w:t>
      </w:r>
      <w:r w:rsidRPr="00167AAE">
        <w:t>(</w:t>
      </w:r>
      <w:proofErr w:type="spellStart"/>
      <w:r w:rsidRPr="00167AAE">
        <w:t>ii</w:t>
      </w:r>
      <w:proofErr w:type="spellEnd"/>
      <w:r w:rsidRPr="00167AAE">
        <w:t>) O ART TREES exige a divulgação de todas as reduções de emissões verificadas ou emitidas dentro da mesma área contábil. Créditos de projetos independentes devem ser declarados e subtraídos do volume de créditos emitidos pelo TREES</w:t>
      </w:r>
      <w:r w:rsidR="000F1D6C">
        <w:rPr>
          <w:rStyle w:val="FootnoteReference"/>
          <w:lang w:val="en-US"/>
        </w:rPr>
        <w:footnoteReference w:id="2"/>
      </w:r>
      <w:r w:rsidR="00B34063" w:rsidRPr="001938F8">
        <w:t xml:space="preserve">. </w:t>
      </w:r>
    </w:p>
    <w:p w14:paraId="75AC66BC" w14:textId="0F182EC1" w:rsidR="00E57C08" w:rsidRDefault="00E57C08" w:rsidP="00D82056">
      <w:r w:rsidRPr="00E57C08">
        <w:t xml:space="preserve">Diante dessas obrigações e direitos sobrepostos, o </w:t>
      </w:r>
      <w:r>
        <w:t>e</w:t>
      </w:r>
      <w:r w:rsidRPr="00E57C08">
        <w:t xml:space="preserve">stado do Pará pretende incentivar o desenvolvimento e a implementação de projetos REDD+ de alta qualidade que complementem seus esforços jurisdicionais para combater o desmatamento. Para isso, o Pará planeja reconhecer oficialmente os projetos que atenderem a um conjunto determinado de critérios, concedendo-lhes </w:t>
      </w:r>
      <w:r w:rsidR="00D65045">
        <w:t>uma anuência de projeto aninhado (</w:t>
      </w:r>
      <w:r w:rsidRPr="00E57C08">
        <w:t xml:space="preserve">“Pará </w:t>
      </w:r>
      <w:proofErr w:type="spellStart"/>
      <w:r w:rsidRPr="00E57C08">
        <w:t>Nested</w:t>
      </w:r>
      <w:proofErr w:type="spellEnd"/>
      <w:r w:rsidRPr="00E57C08">
        <w:t>”</w:t>
      </w:r>
      <w:r w:rsidR="00D65045">
        <w:t>)</w:t>
      </w:r>
      <w:r w:rsidRPr="00E57C08">
        <w:t>.</w:t>
      </w:r>
    </w:p>
    <w:p w14:paraId="52B5663B" w14:textId="5AA67476" w:rsidR="00200800" w:rsidRPr="001938F8" w:rsidRDefault="00200800" w:rsidP="00D82056">
      <w:r w:rsidRPr="00200800">
        <w:t xml:space="preserve">O documento a seguir apresenta uma proposta de estrutura que o Pará pode utilizar para designar oficialmente projetos </w:t>
      </w:r>
      <w:r>
        <w:t>aninhados</w:t>
      </w:r>
      <w:r w:rsidRPr="00200800">
        <w:t>, considerando o primeiro período de crédito proposto pelo estado no âmbito do ART TREES (2023-2027</w:t>
      </w:r>
      <w:r>
        <w:rPr>
          <w:rStyle w:val="FootnoteReference"/>
          <w:b/>
          <w:bCs/>
          <w:lang w:val="en-US"/>
        </w:rPr>
        <w:footnoteReference w:id="3"/>
      </w:r>
      <w:r w:rsidRPr="00200800">
        <w:t>). Ele é composto por duas seções: a primeira estabelece critérios e ações necessárias para o</w:t>
      </w:r>
      <w:r>
        <w:t xml:space="preserve"> aninhamento</w:t>
      </w:r>
      <w:r w:rsidRPr="00200800">
        <w:t xml:space="preserve"> de projetos REDD+ dentro do programa jurisdicional de REDD+ do Pará, e a segunda descreve os benefícios para os projetos oficialmente </w:t>
      </w:r>
      <w:r>
        <w:t>aninhados ao estado.</w:t>
      </w:r>
    </w:p>
    <w:p w14:paraId="327BEBAB" w14:textId="6688E0C8" w:rsidR="001F2D04" w:rsidRPr="001F2D04" w:rsidRDefault="00161360" w:rsidP="00161360">
      <w:pPr>
        <w:pStyle w:val="Heading1"/>
        <w:pBdr>
          <w:bottom w:val="single" w:sz="4" w:space="1" w:color="404040" w:themeColor="text1" w:themeTint="BF"/>
        </w:pBdr>
        <w:jc w:val="left"/>
      </w:pPr>
      <w:r>
        <w:rPr>
          <w:bCs/>
        </w:rPr>
        <w:t xml:space="preserve">Definição dos critérios necessários para que projetos recebam a anuência “Pará </w:t>
      </w:r>
      <w:proofErr w:type="spellStart"/>
      <w:r>
        <w:rPr>
          <w:bCs/>
        </w:rPr>
        <w:t>nested</w:t>
      </w:r>
      <w:proofErr w:type="spellEnd"/>
      <w:r>
        <w:rPr>
          <w:bCs/>
        </w:rPr>
        <w:t>”</w:t>
      </w:r>
    </w:p>
    <w:p w14:paraId="7390E6C2" w14:textId="0972F534" w:rsidR="00DC05D4" w:rsidRPr="00DC05D4" w:rsidRDefault="00DC05D4" w:rsidP="001F2D04">
      <w:r w:rsidRPr="00DC05D4">
        <w:t xml:space="preserve">Para desenvolver uma estrutura de </w:t>
      </w:r>
      <w:r>
        <w:t>a</w:t>
      </w:r>
      <w:r w:rsidR="007500E7">
        <w:t>n</w:t>
      </w:r>
      <w:r>
        <w:t>inhamento</w:t>
      </w:r>
      <w:r w:rsidRPr="00DC05D4">
        <w:t xml:space="preserve"> eficiente, o Pará precisa definir quais devem ser os requisitos a serem cumpridos pelos projetos, relacionados a três pilares fundamentais que garantirão o apoio ao estado: contabilidade, salvaguardas sociais e requisitos legais. As seções a) e b) abaixo apresentam critérios propostos que podem ser utilizados para verificar se os projetos devem receber </w:t>
      </w:r>
      <w:r w:rsidR="00D65045">
        <w:t>a anuência</w:t>
      </w:r>
      <w:r w:rsidRPr="00DC05D4">
        <w:t xml:space="preserve"> “Pará </w:t>
      </w:r>
      <w:proofErr w:type="spellStart"/>
      <w:r w:rsidRPr="00DC05D4">
        <w:t>Nested</w:t>
      </w:r>
      <w:proofErr w:type="spellEnd"/>
      <w:r w:rsidRPr="00DC05D4">
        <w:t>”.</w:t>
      </w:r>
    </w:p>
    <w:p w14:paraId="23C35409" w14:textId="438BE3A6" w:rsidR="007B1622" w:rsidRPr="00DC05D4" w:rsidRDefault="00DC05D4" w:rsidP="00DD5F62">
      <w:pPr>
        <w:pStyle w:val="ListParagraph"/>
        <w:numPr>
          <w:ilvl w:val="0"/>
          <w:numId w:val="17"/>
        </w:numPr>
        <w:rPr>
          <w:u w:val="single"/>
        </w:rPr>
      </w:pPr>
      <w:r w:rsidRPr="00DC05D4">
        <w:rPr>
          <w:u w:val="single"/>
        </w:rPr>
        <w:t>Alinhar a contabilização de carbo</w:t>
      </w:r>
      <w:r>
        <w:rPr>
          <w:u w:val="single"/>
        </w:rPr>
        <w:t>no e o MRV</w:t>
      </w:r>
      <w:r w:rsidR="0003717D" w:rsidRPr="00DC05D4">
        <w:rPr>
          <w:u w:val="single"/>
        </w:rPr>
        <w:t xml:space="preserve"> </w:t>
      </w:r>
    </w:p>
    <w:p w14:paraId="2C66CDA9" w14:textId="57DF6FED" w:rsidR="00475944" w:rsidRDefault="00475944" w:rsidP="00EF4659">
      <w:r w:rsidRPr="00475944">
        <w:t xml:space="preserve">Para garantir a integridade ambiental, é </w:t>
      </w:r>
      <w:r>
        <w:t xml:space="preserve">extremamente importante que </w:t>
      </w:r>
      <w:r w:rsidRPr="00475944">
        <w:t xml:space="preserve">tanto o Pará quanto os projetos utilizem medidas contábeis semelhantes. O Pará definiu sua linha de base em conformidade com o FREL do Brasil, que se baseia em bases de dados e metodologias nacionais, como o PRODES/DETER. Assim, quaisquer projetos que </w:t>
      </w:r>
      <w:r>
        <w:t>almejem o aninhamento</w:t>
      </w:r>
      <w:r w:rsidRPr="00475944">
        <w:t xml:space="preserve"> no Pará precisarão adotar uma abordagem de definição de linha de base que seja semelhante ou consistente com a forma como o Pará está estabelecendo a sua</w:t>
      </w:r>
      <w:r>
        <w:rPr>
          <w:rStyle w:val="FootnoteReference"/>
          <w:lang w:val="en-US"/>
        </w:rPr>
        <w:footnoteReference w:id="4"/>
      </w:r>
      <w:r w:rsidRPr="00475944">
        <w:t>. Especificamente, os projetos precisam:</w:t>
      </w:r>
    </w:p>
    <w:p w14:paraId="0237A635" w14:textId="0F39592A" w:rsidR="005310DB" w:rsidRPr="007500E7" w:rsidRDefault="005310DB" w:rsidP="00E13D99">
      <w:pPr>
        <w:pStyle w:val="ListParagraph"/>
        <w:numPr>
          <w:ilvl w:val="0"/>
          <w:numId w:val="27"/>
        </w:numPr>
      </w:pPr>
      <w:r w:rsidRPr="007500E7">
        <w:t>Utilizar uma metodologia que considere as linhas de base jurisdicionais e, portanto, seja consistente com a linha de base do Pará e com sua abordagem geral</w:t>
      </w:r>
      <w:r w:rsidRPr="007500E7">
        <w:rPr>
          <w:rStyle w:val="FootnoteReference"/>
          <w:lang w:val="en-US"/>
        </w:rPr>
        <w:footnoteReference w:id="5"/>
      </w:r>
      <w:r w:rsidRPr="007500E7">
        <w:t>.</w:t>
      </w:r>
    </w:p>
    <w:p w14:paraId="2BEFE53E" w14:textId="0EB639EB" w:rsidR="005310DB" w:rsidRPr="007500E7" w:rsidRDefault="005310DB" w:rsidP="00E13D99">
      <w:pPr>
        <w:pStyle w:val="ListParagraph"/>
        <w:numPr>
          <w:ilvl w:val="0"/>
          <w:numId w:val="27"/>
        </w:numPr>
      </w:pPr>
      <w:r w:rsidRPr="007500E7">
        <w:t>Utilizar uma metodologia que seja consistente com referências internacionais e nacionais de integridade de mercado</w:t>
      </w:r>
      <w:r w:rsidRPr="007500E7">
        <w:rPr>
          <w:rStyle w:val="FootnoteReference"/>
          <w:lang w:val="en-US"/>
        </w:rPr>
        <w:footnoteReference w:id="6"/>
      </w:r>
      <w:r w:rsidRPr="007500E7">
        <w:t>.</w:t>
      </w:r>
    </w:p>
    <w:p w14:paraId="2D3A58E3" w14:textId="78B8B38B" w:rsidR="005310DB" w:rsidRPr="007500E7" w:rsidRDefault="005310DB" w:rsidP="00E13D99">
      <w:pPr>
        <w:pStyle w:val="ListParagraph"/>
        <w:numPr>
          <w:ilvl w:val="0"/>
          <w:numId w:val="27"/>
        </w:numPr>
      </w:pPr>
      <w:commentRangeStart w:id="0"/>
      <w:r w:rsidRPr="007500E7">
        <w:t>Limitar</w:t>
      </w:r>
      <w:commentRangeEnd w:id="0"/>
      <w:r w:rsidR="007A6F3D">
        <w:rPr>
          <w:rStyle w:val="CommentReference"/>
        </w:rPr>
        <w:commentReference w:id="0"/>
      </w:r>
      <w:r w:rsidRPr="007500E7">
        <w:t xml:space="preserve"> a emissão de créditos de carbono a um percentual</w:t>
      </w:r>
      <w:r w:rsidRPr="007500E7">
        <w:rPr>
          <w:rStyle w:val="FootnoteReference"/>
          <w:lang w:val="en-US"/>
        </w:rPr>
        <w:footnoteReference w:id="7"/>
      </w:r>
      <w:r w:rsidRPr="007500E7">
        <w:t xml:space="preserve"> do que a linha de base do Pará permitiria (na mesma área do projeto, utilizando os dados empregados pelo Pará para calcular sua linha de base jurisdicional).</w:t>
      </w:r>
      <w:r w:rsidR="001008C1" w:rsidRPr="007500E7">
        <w:rPr>
          <w:rStyle w:val="FootnoteReference"/>
        </w:rPr>
        <w:footnoteReference w:id="8"/>
      </w:r>
    </w:p>
    <w:p w14:paraId="112C2CDC" w14:textId="2B7432B2" w:rsidR="3853B158" w:rsidRDefault="3853B158" w:rsidP="000668C4">
      <w:pPr>
        <w:pStyle w:val="ListParagraph"/>
        <w:ind w:left="714" w:hanging="357"/>
      </w:pPr>
    </w:p>
    <w:p w14:paraId="7A951086" w14:textId="77777777" w:rsidR="007500E7" w:rsidRDefault="007500E7" w:rsidP="000668C4">
      <w:pPr>
        <w:pStyle w:val="ListParagraph"/>
        <w:ind w:left="714" w:hanging="357"/>
      </w:pPr>
    </w:p>
    <w:p w14:paraId="76C1AC9D" w14:textId="77777777" w:rsidR="00BC3922" w:rsidRDefault="00BC3922" w:rsidP="000668C4">
      <w:pPr>
        <w:pStyle w:val="ListParagraph"/>
        <w:ind w:left="714" w:hanging="357"/>
      </w:pPr>
    </w:p>
    <w:p w14:paraId="6F99A21D" w14:textId="77777777" w:rsidR="00BC3922" w:rsidRPr="0019384E" w:rsidRDefault="00BC3922" w:rsidP="000668C4">
      <w:pPr>
        <w:pStyle w:val="ListParagraph"/>
        <w:ind w:left="714" w:hanging="357"/>
      </w:pPr>
    </w:p>
    <w:p w14:paraId="51FAECD2" w14:textId="77777777" w:rsidR="00D55FFA" w:rsidRDefault="00D55FFA" w:rsidP="00DE6581">
      <w:pPr>
        <w:pStyle w:val="ListParagraph"/>
        <w:numPr>
          <w:ilvl w:val="0"/>
          <w:numId w:val="17"/>
        </w:numPr>
        <w:ind w:left="714" w:hanging="357"/>
        <w:contextualSpacing w:val="0"/>
        <w:rPr>
          <w:u w:val="single"/>
          <w:lang w:val="en-US"/>
        </w:rPr>
      </w:pPr>
      <w:proofErr w:type="spellStart"/>
      <w:r>
        <w:rPr>
          <w:u w:val="single"/>
          <w:lang w:val="en-US"/>
        </w:rPr>
        <w:t>Integrar</w:t>
      </w:r>
      <w:proofErr w:type="spellEnd"/>
      <w:r>
        <w:rPr>
          <w:u w:val="single"/>
          <w:lang w:val="en-US"/>
        </w:rPr>
        <w:t xml:space="preserve"> </w:t>
      </w:r>
      <w:proofErr w:type="spellStart"/>
      <w:r>
        <w:rPr>
          <w:u w:val="single"/>
          <w:lang w:val="en-US"/>
        </w:rPr>
        <w:t>salvaguardas</w:t>
      </w:r>
      <w:proofErr w:type="spellEnd"/>
    </w:p>
    <w:p w14:paraId="7EDE66E2" w14:textId="7255C5EF" w:rsidR="00734F70" w:rsidRDefault="00734F70" w:rsidP="00734F70">
      <w:r w:rsidRPr="00734F70">
        <w:t xml:space="preserve">Um sistema eficiente deve garantir que as salvaguardas sejam atendidas tanto no nível de projeto quanto no nível jurisdicional – mesmo que operem em diferentes escalas. O sistema de salvaguardas do Pará segue as regras propostas pelo TREES, baseadas principalmente nas Salvaguardas de Cancún, abrangendo cerca de 49 indicadores. Projetos que busquem fazer </w:t>
      </w:r>
      <w:proofErr w:type="spellStart"/>
      <w:r w:rsidRPr="00734F70">
        <w:rPr>
          <w:i/>
          <w:iCs/>
        </w:rPr>
        <w:t>nesting</w:t>
      </w:r>
      <w:proofErr w:type="spellEnd"/>
      <w:r w:rsidRPr="00734F70">
        <w:t xml:space="preserve"> precisam estar alinhados com os requisitos aplicáveis, também previstos na Lei nº 15.042/2024 e na Resolução CONAREDD+ nº 19/2025. A orientação específica é:</w:t>
      </w:r>
    </w:p>
    <w:p w14:paraId="123505BA" w14:textId="6A6E7977" w:rsidR="00A801BD" w:rsidRDefault="004432C3" w:rsidP="00A801BD">
      <w:pPr>
        <w:pStyle w:val="ListParagraph"/>
        <w:numPr>
          <w:ilvl w:val="0"/>
          <w:numId w:val="28"/>
        </w:numPr>
        <w:ind w:left="714" w:hanging="357"/>
        <w:contextualSpacing w:val="0"/>
      </w:pPr>
      <w:r>
        <w:t>No caso de projetos desenvolvidos em territórios coletivos e/ou com impacto direto em comunidades, s</w:t>
      </w:r>
      <w:r w:rsidR="000C1F07" w:rsidRPr="000C1F07">
        <w:t>eguir as diretrizes estaduais de salvaguardas</w:t>
      </w:r>
      <w:r w:rsidR="00EB1DAE">
        <w:rPr>
          <w:rStyle w:val="FootnoteReference"/>
          <w:lang w:val="en-US"/>
        </w:rPr>
        <w:footnoteReference w:id="9"/>
      </w:r>
      <w:r w:rsidR="000C1F07" w:rsidRPr="000C1F07">
        <w:t xml:space="preserve"> ou uma diretriz de salvaguardas existente</w:t>
      </w:r>
      <w:r w:rsidR="00160342">
        <w:rPr>
          <w:rStyle w:val="FootnoteReference"/>
          <w:lang w:val="en-US"/>
        </w:rPr>
        <w:footnoteReference w:id="10"/>
      </w:r>
      <w:r w:rsidR="000C1F07" w:rsidRPr="000C1F07">
        <w:t xml:space="preserve"> endossada pelo estado, </w:t>
      </w:r>
      <w:r w:rsidR="00503F98">
        <w:t>e que garanta a participação plena das comunidades nos momentos de decisão</w:t>
      </w:r>
      <w:r w:rsidR="0022029A">
        <w:t xml:space="preserve">. Os seguintes elementos deverão ser </w:t>
      </w:r>
      <w:commentRangeStart w:id="1"/>
      <w:r w:rsidR="0022029A">
        <w:t>considerados</w:t>
      </w:r>
      <w:commentRangeEnd w:id="1"/>
      <w:r w:rsidR="007A6F3D">
        <w:rPr>
          <w:rStyle w:val="CommentReference"/>
        </w:rPr>
        <w:commentReference w:id="1"/>
      </w:r>
      <w:r w:rsidR="0022029A">
        <w:t xml:space="preserve">: </w:t>
      </w:r>
    </w:p>
    <w:p w14:paraId="7C093EC5" w14:textId="28C08F5C" w:rsidR="00A801BD" w:rsidRDefault="000C1F07" w:rsidP="00684A3D">
      <w:pPr>
        <w:pStyle w:val="ListParagraph"/>
        <w:numPr>
          <w:ilvl w:val="0"/>
          <w:numId w:val="33"/>
        </w:numPr>
        <w:ind w:left="2138"/>
      </w:pPr>
      <w:r w:rsidRPr="000C1F07">
        <w:t>Consentimento Livre, Prévio e Informado (CLPI) efetivamente implementado</w:t>
      </w:r>
      <w:r>
        <w:t xml:space="preserve">; </w:t>
      </w:r>
    </w:p>
    <w:p w14:paraId="5368EA03" w14:textId="525113CB" w:rsidR="00102929" w:rsidRDefault="08C9FDEB" w:rsidP="00684A3D">
      <w:pPr>
        <w:pStyle w:val="ListParagraph"/>
        <w:numPr>
          <w:ilvl w:val="0"/>
          <w:numId w:val="33"/>
        </w:numPr>
        <w:ind w:left="2138"/>
      </w:pPr>
      <w:r>
        <w:t xml:space="preserve">Mecanismo de queixas em funcionamento; </w:t>
      </w:r>
    </w:p>
    <w:p w14:paraId="4374A4A2" w14:textId="3F9CF253" w:rsidR="00102929" w:rsidRDefault="009B0016" w:rsidP="00684A3D">
      <w:pPr>
        <w:pStyle w:val="ListParagraph"/>
        <w:numPr>
          <w:ilvl w:val="0"/>
          <w:numId w:val="33"/>
        </w:numPr>
        <w:ind w:left="2138"/>
      </w:pPr>
      <w:r>
        <w:t>Espaços de governança eficazes e com p</w:t>
      </w:r>
      <w:r w:rsidR="000C1F07" w:rsidRPr="000C1F07">
        <w:t>articipação plena e significativa das comunidades</w:t>
      </w:r>
      <w:r w:rsidR="00EB1DAE">
        <w:t>;</w:t>
      </w:r>
    </w:p>
    <w:p w14:paraId="249FE99D" w14:textId="14305C88" w:rsidR="00102929" w:rsidRDefault="000C1F07" w:rsidP="00684A3D">
      <w:pPr>
        <w:pStyle w:val="ListParagraph"/>
        <w:numPr>
          <w:ilvl w:val="0"/>
          <w:numId w:val="33"/>
        </w:numPr>
        <w:ind w:left="2138"/>
      </w:pPr>
      <w:r w:rsidRPr="000C1F07">
        <w:t>Contratos em linguagem acessível e culturalmente apropriada;</w:t>
      </w:r>
      <w:r w:rsidR="00EB1DAE">
        <w:t xml:space="preserve"> </w:t>
      </w:r>
    </w:p>
    <w:p w14:paraId="56841F4E" w14:textId="39084A34" w:rsidR="00102929" w:rsidRDefault="08C9FDEB" w:rsidP="00684A3D">
      <w:pPr>
        <w:pStyle w:val="ListParagraph"/>
        <w:numPr>
          <w:ilvl w:val="0"/>
          <w:numId w:val="33"/>
        </w:numPr>
        <w:ind w:left="2138"/>
      </w:pPr>
      <w:r>
        <w:t xml:space="preserve">Total transparência na repartição de benefícios e nos resultados; </w:t>
      </w:r>
    </w:p>
    <w:p w14:paraId="39111CFC" w14:textId="1650E92F" w:rsidR="00102929" w:rsidRDefault="08C9FDEB" w:rsidP="00684A3D">
      <w:pPr>
        <w:pStyle w:val="ListParagraph"/>
        <w:numPr>
          <w:ilvl w:val="0"/>
          <w:numId w:val="33"/>
        </w:numPr>
        <w:ind w:left="2138"/>
      </w:pPr>
      <w:r>
        <w:t xml:space="preserve">Previsão de assessoria técnica e jurídica independente; </w:t>
      </w:r>
    </w:p>
    <w:p w14:paraId="70510B4E" w14:textId="14F1DA08" w:rsidR="00102929" w:rsidRDefault="000C1F07" w:rsidP="00684A3D">
      <w:pPr>
        <w:pStyle w:val="ListParagraph"/>
        <w:numPr>
          <w:ilvl w:val="0"/>
          <w:numId w:val="33"/>
        </w:numPr>
        <w:ind w:left="2138"/>
      </w:pPr>
      <w:r w:rsidRPr="000C1F07">
        <w:t>Inclusão de cláusulas contratuais intergeracionais;</w:t>
      </w:r>
      <w:r w:rsidR="00EB1DAE">
        <w:t xml:space="preserve"> </w:t>
      </w:r>
    </w:p>
    <w:p w14:paraId="6F387288" w14:textId="1D462ECA" w:rsidR="00102929" w:rsidRDefault="000C1F07" w:rsidP="00684A3D">
      <w:pPr>
        <w:pStyle w:val="ListParagraph"/>
        <w:numPr>
          <w:ilvl w:val="0"/>
          <w:numId w:val="33"/>
        </w:numPr>
        <w:ind w:left="2138"/>
      </w:pPr>
      <w:r w:rsidRPr="000C1F07">
        <w:t>Garantia das práticas tradicionais de uso da terra;</w:t>
      </w:r>
      <w:r w:rsidR="00EB1DAE">
        <w:t xml:space="preserve"> </w:t>
      </w:r>
    </w:p>
    <w:p w14:paraId="30480648" w14:textId="287DB29B" w:rsidR="00102929" w:rsidRDefault="000C1F07" w:rsidP="00684A3D">
      <w:pPr>
        <w:pStyle w:val="ListParagraph"/>
        <w:numPr>
          <w:ilvl w:val="0"/>
          <w:numId w:val="33"/>
        </w:numPr>
        <w:ind w:left="2138"/>
      </w:pPr>
      <w:r w:rsidRPr="000C1F07">
        <w:t>Avaliações quantificadas de riscos de vazamento e de reversão, com estratégias de mitigação;</w:t>
      </w:r>
      <w:r w:rsidR="00EB1DAE">
        <w:t xml:space="preserve"> </w:t>
      </w:r>
    </w:p>
    <w:p w14:paraId="77CE5B02" w14:textId="7939B920" w:rsidR="00102929" w:rsidRDefault="000C1F07" w:rsidP="00684A3D">
      <w:pPr>
        <w:pStyle w:val="ListParagraph"/>
        <w:numPr>
          <w:ilvl w:val="0"/>
          <w:numId w:val="33"/>
        </w:numPr>
        <w:ind w:left="2138"/>
      </w:pPr>
      <w:r w:rsidRPr="000C1F07">
        <w:t>Planos de benefícios comunitários claros e monitorados;</w:t>
      </w:r>
      <w:r w:rsidR="00EB1DAE">
        <w:t xml:space="preserve"> </w:t>
      </w:r>
    </w:p>
    <w:p w14:paraId="4FCA69DC" w14:textId="753784A0" w:rsidR="00A801BD" w:rsidRDefault="000C1F07" w:rsidP="00684A3D">
      <w:pPr>
        <w:pStyle w:val="ListParagraph"/>
        <w:numPr>
          <w:ilvl w:val="0"/>
          <w:numId w:val="33"/>
        </w:numPr>
        <w:ind w:left="2138"/>
      </w:pPr>
      <w:r w:rsidRPr="000C1F07">
        <w:t>Alinhamento com as “Salvaguardas de Cancún” da UNFCCC</w:t>
      </w:r>
      <w:r w:rsidR="00102929">
        <w:t>.</w:t>
      </w:r>
      <w:r w:rsidR="00EB1DAE">
        <w:t xml:space="preserve"> </w:t>
      </w:r>
    </w:p>
    <w:p w14:paraId="1154692D" w14:textId="078034CD" w:rsidR="000C1F07" w:rsidRPr="000C1F07" w:rsidRDefault="00A801BD" w:rsidP="00684A3D">
      <w:pPr>
        <w:pStyle w:val="ListParagraph"/>
        <w:numPr>
          <w:ilvl w:val="0"/>
          <w:numId w:val="28"/>
        </w:numPr>
      </w:pPr>
      <w:r w:rsidRPr="000C1F07">
        <w:t>Demonstração clara dos direitos de propriedade</w:t>
      </w:r>
      <w:r>
        <w:t>, s</w:t>
      </w:r>
      <w:r w:rsidR="000C1F07" w:rsidRPr="000C1F07">
        <w:t>egui</w:t>
      </w:r>
      <w:r>
        <w:t>ndo</w:t>
      </w:r>
      <w:r w:rsidR="000C1F07" w:rsidRPr="000C1F07">
        <w:t xml:space="preserve"> as diretrizes específicas de regularização fundiária elaboradas pelo ITERPA</w:t>
      </w:r>
      <w:r>
        <w:t xml:space="preserve"> </w:t>
      </w:r>
      <w:r w:rsidR="00102929">
        <w:t xml:space="preserve">em áreas de domínio estadual </w:t>
      </w:r>
      <w:r>
        <w:t xml:space="preserve">ou </w:t>
      </w:r>
      <w:r w:rsidR="00102929">
        <w:t>diretrizes do governo federal, quando aplicável.</w:t>
      </w:r>
    </w:p>
    <w:p w14:paraId="3C53848A" w14:textId="1542465C" w:rsidR="000C1F07" w:rsidRPr="000C1F07" w:rsidRDefault="00D65045" w:rsidP="00684A3D">
      <w:pPr>
        <w:pStyle w:val="ListParagraph"/>
        <w:numPr>
          <w:ilvl w:val="0"/>
          <w:numId w:val="28"/>
        </w:numPr>
        <w:ind w:left="714" w:hanging="357"/>
        <w:contextualSpacing w:val="0"/>
      </w:pPr>
      <w:r>
        <w:t>Integrar o canal de queixas do projeto à ouvidoria climática do REDD+.</w:t>
      </w:r>
    </w:p>
    <w:p w14:paraId="7A713540" w14:textId="1B470445" w:rsidR="0096538A" w:rsidRPr="000B0562" w:rsidRDefault="000B0562" w:rsidP="000B0562">
      <w:pPr>
        <w:pStyle w:val="Heading1"/>
        <w:pBdr>
          <w:bottom w:val="single" w:sz="4" w:space="1" w:color="404040" w:themeColor="text1" w:themeTint="BF"/>
        </w:pBdr>
        <w:jc w:val="left"/>
        <w:rPr>
          <w:bCs/>
        </w:rPr>
      </w:pPr>
      <w:r>
        <w:rPr>
          <w:bCs/>
        </w:rPr>
        <w:t xml:space="preserve">Benefícios concedidos aos projetos “Pará </w:t>
      </w:r>
      <w:commentRangeStart w:id="2"/>
      <w:proofErr w:type="spellStart"/>
      <w:r>
        <w:rPr>
          <w:bCs/>
        </w:rPr>
        <w:t>Nested</w:t>
      </w:r>
      <w:commentRangeEnd w:id="2"/>
      <w:proofErr w:type="spellEnd"/>
      <w:r w:rsidR="007A6F3D">
        <w:rPr>
          <w:rStyle w:val="CommentReference"/>
          <w:rFonts w:asciiTheme="minorHAnsi" w:eastAsiaTheme="minorHAnsi" w:hAnsiTheme="minorHAnsi" w:cstheme="minorBidi"/>
          <w:b w:val="0"/>
          <w:color w:val="auto"/>
        </w:rPr>
        <w:commentReference w:id="2"/>
      </w:r>
      <w:r>
        <w:rPr>
          <w:bCs/>
        </w:rPr>
        <w:t>”</w:t>
      </w:r>
    </w:p>
    <w:p w14:paraId="41E55FE1" w14:textId="77777777" w:rsidR="0011113F" w:rsidRPr="0011113F" w:rsidRDefault="0011113F" w:rsidP="0011113F">
      <w:r w:rsidRPr="0011113F">
        <w:t xml:space="preserve">Projetos que alcançarem o status de “Pará </w:t>
      </w:r>
      <w:proofErr w:type="spellStart"/>
      <w:r w:rsidRPr="0011113F">
        <w:t>Nested</w:t>
      </w:r>
      <w:proofErr w:type="spellEnd"/>
      <w:r w:rsidRPr="0011113F">
        <w:t>” se beneficiarão de apoio direto do Estado do Pará. Especificamente, o Pará se compromete com o seguinte:</w:t>
      </w:r>
    </w:p>
    <w:p w14:paraId="179C043F" w14:textId="77777777" w:rsidR="0011113F" w:rsidRPr="0011113F" w:rsidRDefault="0011113F" w:rsidP="0011113F">
      <w:pPr>
        <w:pStyle w:val="ListParagraph"/>
        <w:numPr>
          <w:ilvl w:val="0"/>
          <w:numId w:val="31"/>
        </w:numPr>
      </w:pPr>
      <w:r w:rsidRPr="0011113F">
        <w:t xml:space="preserve">Listar os projetos “Pará </w:t>
      </w:r>
      <w:proofErr w:type="spellStart"/>
      <w:r w:rsidRPr="0011113F">
        <w:t>Nested</w:t>
      </w:r>
      <w:proofErr w:type="spellEnd"/>
      <w:r w:rsidRPr="0011113F">
        <w:t>” em seu site oficial;</w:t>
      </w:r>
    </w:p>
    <w:p w14:paraId="575B9FA1" w14:textId="77777777" w:rsidR="0011113F" w:rsidRPr="0011113F" w:rsidRDefault="0011113F" w:rsidP="0011113F">
      <w:pPr>
        <w:pStyle w:val="ListParagraph"/>
        <w:numPr>
          <w:ilvl w:val="0"/>
          <w:numId w:val="31"/>
        </w:numPr>
      </w:pPr>
      <w:r w:rsidRPr="0011113F">
        <w:t xml:space="preserve">Promover os projetos “Pará </w:t>
      </w:r>
      <w:proofErr w:type="spellStart"/>
      <w:r w:rsidRPr="0011113F">
        <w:t>Nested</w:t>
      </w:r>
      <w:proofErr w:type="spellEnd"/>
      <w:r w:rsidRPr="0011113F">
        <w:t>” para investidores e compradores de créditos de carbono, destacando o trabalho complementar que esses projetos realizam para apoiar os esforços do governo;</w:t>
      </w:r>
    </w:p>
    <w:p w14:paraId="7107CCE9" w14:textId="77777777" w:rsidR="0011113F" w:rsidRPr="0011113F" w:rsidRDefault="0011113F" w:rsidP="0011113F">
      <w:pPr>
        <w:pStyle w:val="ListParagraph"/>
        <w:numPr>
          <w:ilvl w:val="0"/>
          <w:numId w:val="31"/>
        </w:numPr>
      </w:pPr>
      <w:r w:rsidRPr="0011113F">
        <w:t xml:space="preserve">Promover junto ao Governo Federal a possibilidade de que os projetos Pará </w:t>
      </w:r>
      <w:proofErr w:type="spellStart"/>
      <w:r w:rsidRPr="0011113F">
        <w:t>Nested</w:t>
      </w:r>
      <w:proofErr w:type="spellEnd"/>
      <w:r w:rsidRPr="0011113F">
        <w:t xml:space="preserve"> sejam considerados para a geração de </w:t>
      </w:r>
      <w:proofErr w:type="spellStart"/>
      <w:r w:rsidRPr="0011113F">
        <w:t>CRVEs</w:t>
      </w:r>
      <w:proofErr w:type="spellEnd"/>
      <w:r w:rsidRPr="0011113F">
        <w:t xml:space="preserve"> no âmbito do Mercado de Carbono Brasileiro (SBCE);</w:t>
      </w:r>
    </w:p>
    <w:p w14:paraId="534CF649" w14:textId="1926371B" w:rsidR="0011113F" w:rsidRPr="0011113F" w:rsidRDefault="0011113F" w:rsidP="003A6EDF">
      <w:pPr>
        <w:pStyle w:val="ListParagraph"/>
        <w:numPr>
          <w:ilvl w:val="0"/>
          <w:numId w:val="31"/>
        </w:numPr>
      </w:pPr>
      <w:r w:rsidRPr="0011113F">
        <w:t xml:space="preserve">Trabalhar com os projetos “Pará </w:t>
      </w:r>
      <w:proofErr w:type="spellStart"/>
      <w:r w:rsidRPr="0011113F">
        <w:t>Nested</w:t>
      </w:r>
      <w:proofErr w:type="spellEnd"/>
      <w:r w:rsidRPr="0011113F">
        <w:t>” para garantir a venda de créditos de carbono, incluindo a integração dos créditos desses projetos em acordos de compra</w:t>
      </w:r>
      <w:r w:rsidR="00BA0269">
        <w:rPr>
          <w:rStyle w:val="FootnoteReference"/>
        </w:rPr>
        <w:footnoteReference w:id="11"/>
      </w:r>
      <w:r w:rsidRPr="0011113F">
        <w:t xml:space="preserve"> que o Pará realize com compradores, ou explorando outras formas inovadoras de apoiar o desenvolvimento de projetos REDD+ de alta qualidade;</w:t>
      </w:r>
    </w:p>
    <w:p w14:paraId="4A91413C" w14:textId="04163F10" w:rsidR="0011113F" w:rsidRPr="0011113F" w:rsidRDefault="0011113F" w:rsidP="003A6EDF">
      <w:pPr>
        <w:pStyle w:val="ListParagraph"/>
        <w:numPr>
          <w:ilvl w:val="0"/>
          <w:numId w:val="31"/>
        </w:numPr>
      </w:pPr>
      <w:r w:rsidRPr="0011113F">
        <w:t xml:space="preserve">Apoiar a permanência de longo prazo dos projetos “Pará </w:t>
      </w:r>
      <w:proofErr w:type="spellStart"/>
      <w:r w:rsidRPr="0011113F">
        <w:t>Nested</w:t>
      </w:r>
      <w:proofErr w:type="spellEnd"/>
      <w:r w:rsidRPr="0011113F">
        <w:t xml:space="preserve">” </w:t>
      </w:r>
      <w:r w:rsidR="00D65045">
        <w:t>com as atividades do Programa Jurisdicional.</w:t>
      </w:r>
      <w:r w:rsidR="004E6943">
        <w:rPr>
          <w:rStyle w:val="FootnoteReference"/>
        </w:rPr>
        <w:footnoteReference w:id="12"/>
      </w:r>
    </w:p>
    <w:p w14:paraId="41807828" w14:textId="77777777" w:rsidR="0011113F" w:rsidRPr="0011113F" w:rsidRDefault="0011113F" w:rsidP="003A6EDF">
      <w:r w:rsidRPr="0011113F">
        <w:t xml:space="preserve">Os projetos “Pará </w:t>
      </w:r>
      <w:proofErr w:type="spellStart"/>
      <w:r w:rsidRPr="0011113F">
        <w:t>Nested</w:t>
      </w:r>
      <w:proofErr w:type="spellEnd"/>
      <w:r w:rsidRPr="0011113F">
        <w:t xml:space="preserve">” se beneficiarão de forma significativa ao alcançar esse status, especialmente porque serão vistos como apoiadores do governo em seus esforços para deter o desmatamento, abordando assim uma das principais críticas aos projetos REDD+ – de que eles prejudicam a ação governamental. Os projetos “Pará </w:t>
      </w:r>
      <w:proofErr w:type="spellStart"/>
      <w:r w:rsidRPr="0011113F">
        <w:t>Nested</w:t>
      </w:r>
      <w:proofErr w:type="spellEnd"/>
      <w:r w:rsidRPr="0011113F">
        <w:t>” também poderão se beneficiar de esforços conjuntos de marketing e promoção.</w:t>
      </w:r>
    </w:p>
    <w:p w14:paraId="788E7CCE" w14:textId="02BAD791" w:rsidR="0011113F" w:rsidRPr="0011113F" w:rsidRDefault="0011113F" w:rsidP="0011113F">
      <w:r w:rsidRPr="0011113F">
        <w:t xml:space="preserve">Além disso, os projetos “Pará </w:t>
      </w:r>
      <w:proofErr w:type="spellStart"/>
      <w:r w:rsidRPr="0011113F">
        <w:t>Nested</w:t>
      </w:r>
      <w:proofErr w:type="spellEnd"/>
      <w:r w:rsidRPr="0011113F">
        <w:t>” enfrentarão menos riscos de reversões, o que permitirá reduzir suas contribuições individuais para o buffer.</w:t>
      </w:r>
      <w:r w:rsidR="00692FF4">
        <w:t xml:space="preserve"> Adicionalmente, </w:t>
      </w:r>
      <w:r w:rsidRPr="0011113F">
        <w:t xml:space="preserve">a colaboração próxima com o governo garantirá uma cooperação mais ampla e o apoio do Estado a esses projetos. </w:t>
      </w:r>
    </w:p>
    <w:p w14:paraId="40D71D55" w14:textId="7AB72B9B" w:rsidR="00755559" w:rsidRPr="00BA0269" w:rsidRDefault="00BA0269" w:rsidP="00755559">
      <w:pPr>
        <w:pStyle w:val="Heading1"/>
        <w:pBdr>
          <w:bottom w:val="single" w:sz="4" w:space="1" w:color="404040" w:themeColor="text1" w:themeTint="BF"/>
        </w:pBdr>
      </w:pPr>
      <w:r w:rsidRPr="00BA0269">
        <w:t>Exclusão de Projetos do Programa Jurisdicional do Pará</w:t>
      </w:r>
    </w:p>
    <w:p w14:paraId="066C7D3A" w14:textId="0F16038C" w:rsidR="00A83311" w:rsidRPr="00A83311" w:rsidRDefault="00A83311" w:rsidP="00A83311">
      <w:r w:rsidRPr="00A83311">
        <w:t xml:space="preserve">Estabelecer um procedimento formal de </w:t>
      </w:r>
      <w:proofErr w:type="spellStart"/>
      <w:r w:rsidRPr="00A83311">
        <w:rPr>
          <w:i/>
          <w:iCs/>
        </w:rPr>
        <w:t>opt-out</w:t>
      </w:r>
      <w:proofErr w:type="spellEnd"/>
      <w:r w:rsidRPr="00A83311">
        <w:t xml:space="preserve"> que permita ao Estado excluir áreas específicas de projetos e seus créditos de carbono associados da contabilidade do REDD+ jurisdicional quando solicitado por projetos </w:t>
      </w:r>
      <w:r w:rsidR="008B15C4">
        <w:t>via</w:t>
      </w:r>
      <w:r w:rsidRPr="00A83311">
        <w:t xml:space="preserve"> CONAREDD+. Esse processo garante que o </w:t>
      </w:r>
      <w:r w:rsidR="008B15C4" w:rsidRPr="008B15C4">
        <w:t xml:space="preserve">aninhamento </w:t>
      </w:r>
      <w:r w:rsidRPr="00A83311">
        <w:t>pretendido seja reconhecido, preserva a integridade do programa jurisdicional e previne a dupla contagem. As ações relacionadas a este tema devem incluir:</w:t>
      </w:r>
    </w:p>
    <w:p w14:paraId="0B0CC3A9" w14:textId="4A02B8ED" w:rsidR="00A83311" w:rsidRPr="00A83311" w:rsidRDefault="00A83311" w:rsidP="00A83311">
      <w:pPr>
        <w:numPr>
          <w:ilvl w:val="0"/>
          <w:numId w:val="32"/>
        </w:numPr>
      </w:pPr>
      <w:r w:rsidRPr="00A83311">
        <w:t xml:space="preserve">Definir um procedimento para avaliar solicitações de </w:t>
      </w:r>
      <w:proofErr w:type="spellStart"/>
      <w:r w:rsidRPr="00A83311">
        <w:rPr>
          <w:i/>
          <w:iCs/>
        </w:rPr>
        <w:t>opt-out</w:t>
      </w:r>
      <w:proofErr w:type="spellEnd"/>
      <w:r w:rsidRPr="00A83311">
        <w:t xml:space="preserve"> de projetos provenientes d</w:t>
      </w:r>
      <w:r w:rsidR="008B15C4">
        <w:t>a</w:t>
      </w:r>
      <w:r w:rsidRPr="00A83311">
        <w:t xml:space="preserve"> CONAREDD+, incluindo aspectos ambientais e legais a serem verificados pelo estado.</w:t>
      </w:r>
    </w:p>
    <w:p w14:paraId="0755FC25" w14:textId="2324B6A8" w:rsidR="00A83311" w:rsidRPr="00A83311" w:rsidRDefault="00A83311" w:rsidP="00755559">
      <w:pPr>
        <w:numPr>
          <w:ilvl w:val="0"/>
          <w:numId w:val="32"/>
        </w:numPr>
      </w:pPr>
      <w:r w:rsidRPr="00A83311">
        <w:t xml:space="preserve">Definir um procedimento para subtrair o número de créditos dos projetos que optarem pelo </w:t>
      </w:r>
      <w:proofErr w:type="spellStart"/>
      <w:r w:rsidRPr="00BC3922">
        <w:rPr>
          <w:i/>
          <w:iCs/>
        </w:rPr>
        <w:t>opt-out</w:t>
      </w:r>
      <w:proofErr w:type="spellEnd"/>
      <w:r w:rsidRPr="00A83311">
        <w:t xml:space="preserve"> e indicar na plataforma do estado que os projetos não estão </w:t>
      </w:r>
      <w:r w:rsidR="008B15C4" w:rsidRPr="008B15C4">
        <w:t>aninhados.</w:t>
      </w:r>
    </w:p>
    <w:sectPr w:rsidR="00A83311" w:rsidRPr="00A83311" w:rsidSect="006A7EBF">
      <w:headerReference w:type="even" r:id="rId16"/>
      <w:headerReference w:type="default" r:id="rId17"/>
      <w:footerReference w:type="even" r:id="rId18"/>
      <w:footerReference w:type="default" r:id="rId19"/>
      <w:headerReference w:type="first" r:id="rId20"/>
      <w:footerReference w:type="first" r:id="rId21"/>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lisa Guida" w:date="2025-10-05T13:27:00Z" w:initials="EG">
    <w:p w14:paraId="02DAEAF7" w14:textId="77777777" w:rsidR="007A6F3D" w:rsidRDefault="007A6F3D" w:rsidP="007A6F3D">
      <w:pPr>
        <w:pStyle w:val="CommentText"/>
        <w:jc w:val="left"/>
      </w:pPr>
      <w:r>
        <w:rPr>
          <w:rStyle w:val="CommentReference"/>
        </w:rPr>
        <w:annotationRef/>
      </w:r>
      <w:r>
        <w:t>Qual a percepção sobre o limite nas emissões e quais passos adicionais precisam ser tomados para se chegar a valores factíveis?</w:t>
      </w:r>
    </w:p>
  </w:comment>
  <w:comment w:id="1" w:author="Elisa Guida" w:date="2025-10-05T13:27:00Z" w:initials="EG">
    <w:p w14:paraId="510B0B68" w14:textId="77777777" w:rsidR="007A6F3D" w:rsidRDefault="007A6F3D" w:rsidP="007A6F3D">
      <w:pPr>
        <w:pStyle w:val="CommentText"/>
        <w:jc w:val="left"/>
      </w:pPr>
      <w:r>
        <w:rPr>
          <w:rStyle w:val="CommentReference"/>
        </w:rPr>
        <w:annotationRef/>
      </w:r>
      <w:r>
        <w:t xml:space="preserve">Qual a percepção sobre seguir um guia especifico do estado ou algum outro guia que possa ser endossado? </w:t>
      </w:r>
    </w:p>
  </w:comment>
  <w:comment w:id="2" w:author="Elisa Guida" w:date="2025-10-05T13:28:00Z" w:initials="EG">
    <w:p w14:paraId="22693D1E" w14:textId="77777777" w:rsidR="007A6F3D" w:rsidRDefault="007A6F3D" w:rsidP="007A6F3D">
      <w:pPr>
        <w:pStyle w:val="CommentText"/>
        <w:jc w:val="left"/>
      </w:pPr>
      <w:r>
        <w:rPr>
          <w:rStyle w:val="CommentReference"/>
        </w:rPr>
        <w:annotationRef/>
      </w:r>
      <w:r>
        <w:t>Qual a percepção sobre os potenciais benefícios?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DAEAF7" w15:done="0"/>
  <w15:commentEx w15:paraId="510B0B68" w15:done="0"/>
  <w15:commentEx w15:paraId="22693D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913D3C" w16cex:dateUtc="2025-10-05T16:27:00Z"/>
  <w16cex:commentExtensible w16cex:durableId="19C1DC4A" w16cex:dateUtc="2025-10-05T16:27:00Z"/>
  <w16cex:commentExtensible w16cex:durableId="6D4DCEB4" w16cex:dateUtc="2025-10-05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DAEAF7" w16cid:durableId="21913D3C"/>
  <w16cid:commentId w16cid:paraId="510B0B68" w16cid:durableId="19C1DC4A"/>
  <w16cid:commentId w16cid:paraId="22693D1E" w16cid:durableId="6D4DC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C0F18" w14:textId="77777777" w:rsidR="00CB4C7E" w:rsidRDefault="00CB4C7E" w:rsidP="00D15A08">
      <w:pPr>
        <w:spacing w:before="0" w:after="0" w:line="240" w:lineRule="auto"/>
      </w:pPr>
      <w:r>
        <w:separator/>
      </w:r>
    </w:p>
  </w:endnote>
  <w:endnote w:type="continuationSeparator" w:id="0">
    <w:p w14:paraId="23A8A87E" w14:textId="77777777" w:rsidR="00CB4C7E" w:rsidRDefault="00CB4C7E" w:rsidP="00D15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9153B" w14:textId="77777777" w:rsidR="002C7E9F" w:rsidRDefault="002C7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097489"/>
      <w:docPartObj>
        <w:docPartGallery w:val="Page Numbers (Bottom of Page)"/>
        <w:docPartUnique/>
      </w:docPartObj>
    </w:sdtPr>
    <w:sdtContent>
      <w:p w14:paraId="653D0818" w14:textId="7049499A" w:rsidR="00D15A08" w:rsidRDefault="00D15A08">
        <w:pPr>
          <w:pStyle w:val="Footer"/>
          <w:jc w:val="center"/>
        </w:pPr>
        <w:r>
          <w:fldChar w:fldCharType="begin"/>
        </w:r>
        <w:r>
          <w:instrText>PAGE   \* MERGEFORMAT</w:instrText>
        </w:r>
        <w:r>
          <w:fldChar w:fldCharType="separate"/>
        </w:r>
        <w:r>
          <w:t>2</w:t>
        </w:r>
        <w:r>
          <w:fldChar w:fldCharType="end"/>
        </w:r>
      </w:p>
    </w:sdtContent>
  </w:sdt>
  <w:p w14:paraId="0F928B70" w14:textId="77777777" w:rsidR="00D15A08" w:rsidRDefault="00D15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8CBC8" w14:textId="77777777" w:rsidR="002C7E9F" w:rsidRDefault="002C7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DAEAA" w14:textId="77777777" w:rsidR="00CB4C7E" w:rsidRDefault="00CB4C7E" w:rsidP="00D15A08">
      <w:pPr>
        <w:spacing w:before="0" w:after="0" w:line="240" w:lineRule="auto"/>
      </w:pPr>
      <w:r>
        <w:separator/>
      </w:r>
    </w:p>
  </w:footnote>
  <w:footnote w:type="continuationSeparator" w:id="0">
    <w:p w14:paraId="31301B89" w14:textId="77777777" w:rsidR="00CB4C7E" w:rsidRDefault="00CB4C7E" w:rsidP="00D15A08">
      <w:pPr>
        <w:spacing w:before="0" w:after="0" w:line="240" w:lineRule="auto"/>
      </w:pPr>
      <w:r>
        <w:continuationSeparator/>
      </w:r>
    </w:p>
  </w:footnote>
  <w:footnote w:id="1">
    <w:p w14:paraId="416700C2" w14:textId="2B6F4AF4" w:rsidR="00CF7C5B" w:rsidRDefault="00CF7C5B">
      <w:pPr>
        <w:pStyle w:val="FootnoteText"/>
      </w:pPr>
      <w:r>
        <w:rPr>
          <w:rStyle w:val="FootnoteReference"/>
        </w:rPr>
        <w:footnoteRef/>
      </w:r>
      <w:r>
        <w:t xml:space="preserve"> Informação de agosto de 2025.</w:t>
      </w:r>
    </w:p>
  </w:footnote>
  <w:footnote w:id="2">
    <w:p w14:paraId="1C964AA1" w14:textId="5B4BB620" w:rsidR="000F1D6C" w:rsidRPr="00357E28" w:rsidRDefault="000F1D6C">
      <w:pPr>
        <w:pStyle w:val="FootnoteText"/>
        <w:rPr>
          <w:sz w:val="19"/>
          <w:szCs w:val="19"/>
        </w:rPr>
      </w:pPr>
      <w:r w:rsidRPr="00357E28">
        <w:rPr>
          <w:rStyle w:val="FootnoteReference"/>
          <w:sz w:val="19"/>
          <w:szCs w:val="19"/>
        </w:rPr>
        <w:footnoteRef/>
      </w:r>
      <w:r w:rsidR="00D231AF" w:rsidRPr="00357E28">
        <w:rPr>
          <w:sz w:val="19"/>
          <w:szCs w:val="19"/>
        </w:rPr>
        <w:t xml:space="preserve">A Seção 13 do </w:t>
      </w:r>
      <w:hyperlink r:id="rId1" w:history="1">
        <w:r w:rsidR="00D231AF" w:rsidRPr="00357E28">
          <w:rPr>
            <w:rStyle w:val="Hyperlink"/>
            <w:b/>
            <w:bCs/>
            <w:sz w:val="19"/>
            <w:szCs w:val="19"/>
          </w:rPr>
          <w:t xml:space="preserve">REDD+ Environmental </w:t>
        </w:r>
        <w:proofErr w:type="spellStart"/>
        <w:r w:rsidR="00D231AF" w:rsidRPr="00357E28">
          <w:rPr>
            <w:rStyle w:val="Hyperlink"/>
            <w:b/>
            <w:bCs/>
            <w:sz w:val="19"/>
            <w:szCs w:val="19"/>
          </w:rPr>
          <w:t>Excellence</w:t>
        </w:r>
        <w:proofErr w:type="spellEnd"/>
        <w:r w:rsidR="00D231AF" w:rsidRPr="00357E28">
          <w:rPr>
            <w:rStyle w:val="Hyperlink"/>
            <w:b/>
            <w:bCs/>
            <w:sz w:val="19"/>
            <w:szCs w:val="19"/>
          </w:rPr>
          <w:t xml:space="preserve"> Standard (TREES) – v.2.0</w:t>
        </w:r>
      </w:hyperlink>
      <w:r w:rsidR="00D231AF" w:rsidRPr="00357E28">
        <w:rPr>
          <w:sz w:val="19"/>
          <w:szCs w:val="19"/>
        </w:rPr>
        <w:t xml:space="preserve"> informa que:</w:t>
      </w:r>
      <w:r w:rsidR="00D231AF" w:rsidRPr="00357E28">
        <w:rPr>
          <w:sz w:val="19"/>
          <w:szCs w:val="19"/>
        </w:rPr>
        <w:br/>
        <w:t>“O TREES exige a divulgação de quaisquer reduções de emissões verificadas ou emitidas na mesma área contábil, incluindo créditos de projetos, os quais serão deduzidos do volume de créditos emitidos pelo TREES, verificações de registro duplicado em outros programas (incluindo programas de compensação) e exigências de divulgação de outros registros, bem como o cancelamento das unidades em um registro antes de sua reemissão em outro</w:t>
      </w:r>
    </w:p>
  </w:footnote>
  <w:footnote w:id="3">
    <w:p w14:paraId="35589A49" w14:textId="31003080" w:rsidR="00200800" w:rsidRPr="00357E28" w:rsidRDefault="00200800" w:rsidP="00200800">
      <w:pPr>
        <w:pStyle w:val="FootnoteText"/>
      </w:pPr>
      <w:r w:rsidRPr="00357E28">
        <w:rPr>
          <w:rStyle w:val="FootnoteReference"/>
          <w:sz w:val="19"/>
          <w:szCs w:val="19"/>
        </w:rPr>
        <w:footnoteRef/>
      </w:r>
      <w:r w:rsidRPr="00357E28">
        <w:rPr>
          <w:sz w:val="19"/>
          <w:szCs w:val="19"/>
        </w:rPr>
        <w:t xml:space="preserve"> </w:t>
      </w:r>
      <w:r w:rsidR="00357E28" w:rsidRPr="00357E28">
        <w:rPr>
          <w:sz w:val="19"/>
          <w:szCs w:val="19"/>
        </w:rPr>
        <w:t>O primeiro período de crédito está proposto para 2023-2027. No entanto, as recomendações aqui apresentadas seriam aplicadas apenas após 2024, uma vez que o estado já elaborou um relatório de monitoramento referente a 2023, no qual todos os créditos de projetos verificados ou emitidos serão subtraídos do total do estado para aquele ano</w:t>
      </w:r>
      <w:r w:rsidRPr="00357E28">
        <w:rPr>
          <w:sz w:val="19"/>
          <w:szCs w:val="19"/>
        </w:rPr>
        <w:t>.</w:t>
      </w:r>
    </w:p>
  </w:footnote>
  <w:footnote w:id="4">
    <w:p w14:paraId="31D5AD57" w14:textId="3EF82006" w:rsidR="00475944" w:rsidRPr="00162680" w:rsidRDefault="00475944" w:rsidP="00475944">
      <w:pPr>
        <w:pStyle w:val="FootnoteText"/>
        <w:rPr>
          <w:sz w:val="19"/>
          <w:szCs w:val="19"/>
        </w:rPr>
      </w:pPr>
      <w:r w:rsidRPr="00357E28">
        <w:rPr>
          <w:rStyle w:val="FootnoteReference"/>
          <w:sz w:val="19"/>
          <w:szCs w:val="19"/>
        </w:rPr>
        <w:footnoteRef/>
      </w:r>
      <w:r w:rsidRPr="00D31275">
        <w:rPr>
          <w:sz w:val="19"/>
          <w:szCs w:val="19"/>
        </w:rPr>
        <w:t xml:space="preserve"> </w:t>
      </w:r>
      <w:r w:rsidR="00162680" w:rsidRPr="00162680">
        <w:rPr>
          <w:sz w:val="19"/>
          <w:szCs w:val="19"/>
        </w:rPr>
        <w:t>O método TREES propõe o uso de níveis de referência nacionais – o que o Pará utilizou para determinar sua linha de base. Para a alocação de projetos, está em andamento uma avaliação para determinar linhas de base regionais – que irão orientar como definir taxas específicas de desmatamento para diferentes regiões do estado.</w:t>
      </w:r>
    </w:p>
  </w:footnote>
  <w:footnote w:id="5">
    <w:p w14:paraId="76D041AA" w14:textId="0167F0BB" w:rsidR="005310DB" w:rsidRPr="0019384E" w:rsidRDefault="005310DB" w:rsidP="005310DB">
      <w:pPr>
        <w:pStyle w:val="FootnoteText"/>
        <w:rPr>
          <w:sz w:val="19"/>
          <w:szCs w:val="19"/>
        </w:rPr>
      </w:pPr>
      <w:r w:rsidRPr="00357E28">
        <w:rPr>
          <w:rStyle w:val="FootnoteReference"/>
          <w:sz w:val="19"/>
          <w:szCs w:val="19"/>
        </w:rPr>
        <w:footnoteRef/>
      </w:r>
      <w:r w:rsidRPr="00D31275">
        <w:rPr>
          <w:sz w:val="19"/>
          <w:szCs w:val="19"/>
        </w:rPr>
        <w:t xml:space="preserve"> </w:t>
      </w:r>
      <w:r w:rsidR="00D31275" w:rsidRPr="00D31275">
        <w:rPr>
          <w:sz w:val="19"/>
          <w:szCs w:val="19"/>
        </w:rPr>
        <w:t xml:space="preserve">A metodologia </w:t>
      </w:r>
      <w:hyperlink r:id="rId2" w:history="1">
        <w:r w:rsidR="00D31275" w:rsidRPr="00D31275">
          <w:rPr>
            <w:rStyle w:val="Hyperlink"/>
            <w:sz w:val="19"/>
            <w:szCs w:val="19"/>
          </w:rPr>
          <w:t>VM0048</w:t>
        </w:r>
      </w:hyperlink>
      <w:r w:rsidR="00D31275" w:rsidRPr="00D31275">
        <w:rPr>
          <w:sz w:val="19"/>
          <w:szCs w:val="19"/>
        </w:rPr>
        <w:t xml:space="preserve"> da Verra estabelece, na seção 6.2: </w:t>
      </w:r>
      <w:r w:rsidR="00D31275" w:rsidRPr="00D31275">
        <w:rPr>
          <w:i/>
          <w:iCs/>
          <w:sz w:val="19"/>
          <w:szCs w:val="19"/>
        </w:rPr>
        <w:t>“Projetos REDD implementados dentro de um programa jurisdicional de REDD não-JNR também devem seguir os requisitos relevantes do programa jurisdicional”</w:t>
      </w:r>
      <w:r w:rsidR="00D31275" w:rsidRPr="00D31275">
        <w:rPr>
          <w:sz w:val="19"/>
          <w:szCs w:val="19"/>
        </w:rPr>
        <w:t>.</w:t>
      </w:r>
      <w:r w:rsidR="000025CB">
        <w:rPr>
          <w:sz w:val="19"/>
          <w:szCs w:val="19"/>
        </w:rPr>
        <w:t xml:space="preserve"> </w:t>
      </w:r>
      <w:r w:rsidR="000025CB" w:rsidRPr="000025CB">
        <w:rPr>
          <w:sz w:val="19"/>
          <w:szCs w:val="19"/>
        </w:rPr>
        <w:t xml:space="preserve">A metodologia da </w:t>
      </w:r>
      <w:proofErr w:type="spellStart"/>
      <w:r w:rsidR="000025CB" w:rsidRPr="000025CB">
        <w:rPr>
          <w:sz w:val="19"/>
          <w:szCs w:val="19"/>
        </w:rPr>
        <w:t>Cercarbono</w:t>
      </w:r>
      <w:proofErr w:type="spellEnd"/>
      <w:r w:rsidR="000025CB" w:rsidRPr="000025CB">
        <w:rPr>
          <w:sz w:val="19"/>
          <w:szCs w:val="19"/>
        </w:rPr>
        <w:t xml:space="preserve"> – </w:t>
      </w:r>
      <w:hyperlink r:id="rId3" w:history="1">
        <w:proofErr w:type="spellStart"/>
        <w:r w:rsidR="000025CB" w:rsidRPr="000025CB">
          <w:rPr>
            <w:rStyle w:val="Hyperlink"/>
            <w:sz w:val="19"/>
            <w:szCs w:val="19"/>
          </w:rPr>
          <w:t>Implementation</w:t>
        </w:r>
        <w:proofErr w:type="spellEnd"/>
        <w:r w:rsidR="000025CB" w:rsidRPr="000025CB">
          <w:rPr>
            <w:rStyle w:val="Hyperlink"/>
            <w:sz w:val="19"/>
            <w:szCs w:val="19"/>
          </w:rPr>
          <w:t xml:space="preserve"> </w:t>
        </w:r>
        <w:proofErr w:type="spellStart"/>
        <w:r w:rsidR="000025CB" w:rsidRPr="000025CB">
          <w:rPr>
            <w:rStyle w:val="Hyperlink"/>
            <w:sz w:val="19"/>
            <w:szCs w:val="19"/>
          </w:rPr>
          <w:t>of</w:t>
        </w:r>
        <w:proofErr w:type="spellEnd"/>
        <w:r w:rsidR="000025CB" w:rsidRPr="000025CB">
          <w:rPr>
            <w:rStyle w:val="Hyperlink"/>
            <w:sz w:val="19"/>
            <w:szCs w:val="19"/>
          </w:rPr>
          <w:t xml:space="preserve"> REDD+ </w:t>
        </w:r>
        <w:proofErr w:type="spellStart"/>
        <w:r w:rsidR="000025CB" w:rsidRPr="000025CB">
          <w:rPr>
            <w:rStyle w:val="Hyperlink"/>
            <w:sz w:val="19"/>
            <w:szCs w:val="19"/>
          </w:rPr>
          <w:t>Projects</w:t>
        </w:r>
        <w:proofErr w:type="spellEnd"/>
        <w:r w:rsidR="000025CB" w:rsidRPr="000025CB">
          <w:rPr>
            <w:rStyle w:val="Hyperlink"/>
            <w:sz w:val="19"/>
            <w:szCs w:val="19"/>
          </w:rPr>
          <w:t xml:space="preserve"> </w:t>
        </w:r>
        <w:proofErr w:type="spellStart"/>
        <w:r w:rsidR="000025CB" w:rsidRPr="000025CB">
          <w:rPr>
            <w:rStyle w:val="Hyperlink"/>
            <w:sz w:val="19"/>
            <w:szCs w:val="19"/>
          </w:rPr>
          <w:t>Consistent</w:t>
        </w:r>
        <w:proofErr w:type="spellEnd"/>
        <w:r w:rsidR="000025CB" w:rsidRPr="000025CB">
          <w:rPr>
            <w:rStyle w:val="Hyperlink"/>
            <w:sz w:val="19"/>
            <w:szCs w:val="19"/>
          </w:rPr>
          <w:t xml:space="preserve"> </w:t>
        </w:r>
        <w:proofErr w:type="spellStart"/>
        <w:r w:rsidR="000025CB" w:rsidRPr="000025CB">
          <w:rPr>
            <w:rStyle w:val="Hyperlink"/>
            <w:sz w:val="19"/>
            <w:szCs w:val="19"/>
          </w:rPr>
          <w:t>with</w:t>
        </w:r>
        <w:proofErr w:type="spellEnd"/>
        <w:r w:rsidR="000025CB" w:rsidRPr="000025CB">
          <w:rPr>
            <w:rStyle w:val="Hyperlink"/>
            <w:sz w:val="19"/>
            <w:szCs w:val="19"/>
          </w:rPr>
          <w:t xml:space="preserve"> </w:t>
        </w:r>
        <w:proofErr w:type="spellStart"/>
        <w:r w:rsidR="000025CB" w:rsidRPr="000025CB">
          <w:rPr>
            <w:rStyle w:val="Hyperlink"/>
            <w:sz w:val="19"/>
            <w:szCs w:val="19"/>
          </w:rPr>
          <w:t>National</w:t>
        </w:r>
        <w:proofErr w:type="spellEnd"/>
        <w:r w:rsidR="000025CB" w:rsidRPr="000025CB">
          <w:rPr>
            <w:rStyle w:val="Hyperlink"/>
            <w:sz w:val="19"/>
            <w:szCs w:val="19"/>
          </w:rPr>
          <w:t xml:space="preserve"> </w:t>
        </w:r>
        <w:proofErr w:type="spellStart"/>
        <w:r w:rsidR="000025CB" w:rsidRPr="000025CB">
          <w:rPr>
            <w:rStyle w:val="Hyperlink"/>
            <w:sz w:val="19"/>
            <w:szCs w:val="19"/>
          </w:rPr>
          <w:t>Reference</w:t>
        </w:r>
        <w:proofErr w:type="spellEnd"/>
        <w:r w:rsidR="000025CB" w:rsidRPr="000025CB">
          <w:rPr>
            <w:rStyle w:val="Hyperlink"/>
            <w:sz w:val="19"/>
            <w:szCs w:val="19"/>
          </w:rPr>
          <w:t xml:space="preserve"> </w:t>
        </w:r>
        <w:proofErr w:type="spellStart"/>
        <w:r w:rsidR="000025CB" w:rsidRPr="000025CB">
          <w:rPr>
            <w:rStyle w:val="Hyperlink"/>
            <w:sz w:val="19"/>
            <w:szCs w:val="19"/>
          </w:rPr>
          <w:t>Levels</w:t>
        </w:r>
        <w:proofErr w:type="spellEnd"/>
      </w:hyperlink>
      <w:r w:rsidR="000025CB" w:rsidRPr="000025CB">
        <w:rPr>
          <w:sz w:val="19"/>
          <w:szCs w:val="19"/>
        </w:rPr>
        <w:t xml:space="preserve"> (em consulta) – possui uma seção específica (3.2.3) para projetos integrados a um programa jurisdicional.</w:t>
      </w:r>
    </w:p>
  </w:footnote>
  <w:footnote w:id="6">
    <w:p w14:paraId="7FD8A7A3" w14:textId="271A512C" w:rsidR="005310DB" w:rsidRPr="0019384E" w:rsidRDefault="005310DB" w:rsidP="005310DB">
      <w:pPr>
        <w:pStyle w:val="FootnoteText"/>
        <w:rPr>
          <w:sz w:val="19"/>
          <w:szCs w:val="19"/>
        </w:rPr>
      </w:pPr>
      <w:r w:rsidRPr="00357E28">
        <w:rPr>
          <w:rStyle w:val="FootnoteReference"/>
          <w:sz w:val="19"/>
          <w:szCs w:val="19"/>
        </w:rPr>
        <w:footnoteRef/>
      </w:r>
      <w:r w:rsidRPr="003F0249">
        <w:rPr>
          <w:sz w:val="19"/>
          <w:szCs w:val="19"/>
        </w:rPr>
        <w:t xml:space="preserve"> </w:t>
      </w:r>
      <w:r w:rsidR="003F0249" w:rsidRPr="003F0249">
        <w:rPr>
          <w:sz w:val="19"/>
          <w:szCs w:val="19"/>
        </w:rPr>
        <w:t xml:space="preserve">Alguns exemplos disso são os </w:t>
      </w:r>
      <w:hyperlink r:id="rId4" w:history="1">
        <w:r w:rsidR="003F0249" w:rsidRPr="003F0249">
          <w:rPr>
            <w:rStyle w:val="Hyperlink"/>
            <w:sz w:val="19"/>
            <w:szCs w:val="19"/>
          </w:rPr>
          <w:t>critérios</w:t>
        </w:r>
      </w:hyperlink>
      <w:r w:rsidR="003F0249" w:rsidRPr="003F0249">
        <w:rPr>
          <w:sz w:val="19"/>
          <w:szCs w:val="19"/>
        </w:rPr>
        <w:t xml:space="preserve"> adotados pelo Conselho de Integridade para o Mercado Voluntário de Carbono (ICVCM) ou as regras aplicáveis ao </w:t>
      </w:r>
      <w:hyperlink r:id="rId5" w:history="1">
        <w:r w:rsidR="003F0249" w:rsidRPr="003F0249">
          <w:rPr>
            <w:rStyle w:val="Hyperlink"/>
            <w:sz w:val="19"/>
            <w:szCs w:val="19"/>
          </w:rPr>
          <w:t>Artigo 6.4</w:t>
        </w:r>
      </w:hyperlink>
      <w:r w:rsidR="003F0249" w:rsidRPr="003F0249">
        <w:rPr>
          <w:sz w:val="19"/>
          <w:szCs w:val="19"/>
        </w:rPr>
        <w:t xml:space="preserve"> do Acordo de Paris e ao CORSIA. Referências futuras podem ser as metodologias acreditadas pelo Órgão Gestor do SBCE. </w:t>
      </w:r>
    </w:p>
  </w:footnote>
  <w:footnote w:id="7">
    <w:p w14:paraId="15FCE39A" w14:textId="35C933F4" w:rsidR="005310DB" w:rsidRPr="00D55FFA" w:rsidRDefault="005310DB" w:rsidP="005310DB">
      <w:pPr>
        <w:pStyle w:val="FootnoteText"/>
      </w:pPr>
      <w:r w:rsidRPr="00357E28">
        <w:rPr>
          <w:rStyle w:val="FootnoteReference"/>
          <w:sz w:val="19"/>
          <w:szCs w:val="19"/>
        </w:rPr>
        <w:footnoteRef/>
      </w:r>
      <w:r w:rsidRPr="00D55FFA">
        <w:rPr>
          <w:sz w:val="19"/>
          <w:szCs w:val="19"/>
        </w:rPr>
        <w:t xml:space="preserve"> </w:t>
      </w:r>
      <w:r w:rsidR="00D55FFA" w:rsidRPr="00D55FFA">
        <w:rPr>
          <w:sz w:val="19"/>
          <w:szCs w:val="19"/>
        </w:rPr>
        <w:t>Uma avaliação preliminar mostra que</w:t>
      </w:r>
      <w:r w:rsidR="00CF7C5B">
        <w:rPr>
          <w:sz w:val="19"/>
          <w:szCs w:val="19"/>
        </w:rPr>
        <w:t xml:space="preserve">, em termos gerais, as diferenças seriam de 15 a 20%, porém, no caso de projetos isolados existem discrepâncias muito superiores e que precisam de avaliações </w:t>
      </w:r>
      <w:r w:rsidR="007A6F3D">
        <w:rPr>
          <w:sz w:val="19"/>
          <w:szCs w:val="19"/>
        </w:rPr>
        <w:t>específicas.</w:t>
      </w:r>
      <w:r w:rsidR="00D55FFA" w:rsidRPr="00D55FFA">
        <w:rPr>
          <w:sz w:val="19"/>
          <w:szCs w:val="19"/>
        </w:rPr>
        <w:t xml:space="preserve"> </w:t>
      </w:r>
    </w:p>
  </w:footnote>
  <w:footnote w:id="8">
    <w:p w14:paraId="60CCDE2B" w14:textId="43D59AB3" w:rsidR="001008C1" w:rsidRDefault="001008C1">
      <w:pPr>
        <w:pStyle w:val="FootnoteText"/>
      </w:pPr>
      <w:r>
        <w:rPr>
          <w:rStyle w:val="FootnoteReference"/>
        </w:rPr>
        <w:footnoteRef/>
      </w:r>
      <w:r>
        <w:t xml:space="preserve"> </w:t>
      </w:r>
      <w:r w:rsidRPr="001008C1">
        <w:rPr>
          <w:sz w:val="19"/>
          <w:szCs w:val="19"/>
        </w:rPr>
        <w:t>Um ponto de atenção refere-se aos projetos de Desmatamento Planejado Evitado (APD). As linhas de base jurisdicionais contabilizam todo o desmatamento no território (planejado e não planejado). Os projetos APD evitam o desmatamento de áreas que legalmente poderiam ser desmatadas. Além disso, a Verra não lançou um módulo para APD no âmbito do VM0048. Limites jurisdicionais poderiam ter um impacto maior sob uma emissão limitada. Por essa razão, uma proposta é permitir uma subtração de 1:1 no primeiro período de crédito.</w:t>
      </w:r>
    </w:p>
  </w:footnote>
  <w:footnote w:id="9">
    <w:p w14:paraId="6813694E" w14:textId="47B6E94B" w:rsidR="00EB1DAE" w:rsidRPr="0009020E" w:rsidRDefault="00EB1DAE" w:rsidP="00EB1DAE">
      <w:pPr>
        <w:pStyle w:val="FootnoteText"/>
        <w:rPr>
          <w:sz w:val="19"/>
          <w:szCs w:val="19"/>
        </w:rPr>
      </w:pPr>
      <w:r w:rsidRPr="0009020E">
        <w:rPr>
          <w:rStyle w:val="FootnoteReference"/>
          <w:sz w:val="19"/>
          <w:szCs w:val="19"/>
        </w:rPr>
        <w:footnoteRef/>
      </w:r>
      <w:r w:rsidRPr="0009020E">
        <w:rPr>
          <w:sz w:val="19"/>
          <w:szCs w:val="19"/>
        </w:rPr>
        <w:t xml:space="preserve"> </w:t>
      </w:r>
      <w:r w:rsidR="00BB607A" w:rsidRPr="0009020E">
        <w:rPr>
          <w:sz w:val="19"/>
          <w:szCs w:val="19"/>
        </w:rPr>
        <w:t>Jurisdições como Paraguai e Honduras propuseram diretrizes específicas de salvaguardas.</w:t>
      </w:r>
    </w:p>
  </w:footnote>
  <w:footnote w:id="10">
    <w:p w14:paraId="2131AAAB" w14:textId="6ABE3E63" w:rsidR="0009020E" w:rsidRPr="0009020E" w:rsidRDefault="00160342" w:rsidP="0009020E">
      <w:pPr>
        <w:pStyle w:val="FootnoteText"/>
        <w:rPr>
          <w:sz w:val="19"/>
          <w:szCs w:val="19"/>
        </w:rPr>
      </w:pPr>
      <w:r w:rsidRPr="0009020E">
        <w:rPr>
          <w:rStyle w:val="FootnoteReference"/>
          <w:sz w:val="19"/>
          <w:szCs w:val="19"/>
        </w:rPr>
        <w:footnoteRef/>
      </w:r>
      <w:r w:rsidRPr="0009020E">
        <w:rPr>
          <w:sz w:val="19"/>
          <w:szCs w:val="19"/>
        </w:rPr>
        <w:t xml:space="preserve"> </w:t>
      </w:r>
      <w:r w:rsidR="0009020E" w:rsidRPr="0009020E">
        <w:rPr>
          <w:sz w:val="19"/>
          <w:szCs w:val="19"/>
        </w:rPr>
        <w:t xml:space="preserve">Avaliações preliminares indicam que o </w:t>
      </w:r>
      <w:proofErr w:type="spellStart"/>
      <w:r w:rsidR="0009020E" w:rsidRPr="0009020E">
        <w:rPr>
          <w:sz w:val="19"/>
          <w:szCs w:val="19"/>
        </w:rPr>
        <w:t>Climate</w:t>
      </w:r>
      <w:proofErr w:type="spellEnd"/>
      <w:r w:rsidR="0009020E" w:rsidRPr="0009020E">
        <w:rPr>
          <w:sz w:val="19"/>
          <w:szCs w:val="19"/>
        </w:rPr>
        <w:t xml:space="preserve">, Community </w:t>
      </w:r>
      <w:proofErr w:type="spellStart"/>
      <w:r w:rsidR="0009020E" w:rsidRPr="0009020E">
        <w:rPr>
          <w:sz w:val="19"/>
          <w:szCs w:val="19"/>
        </w:rPr>
        <w:t>and</w:t>
      </w:r>
      <w:proofErr w:type="spellEnd"/>
      <w:r w:rsidR="0009020E" w:rsidRPr="0009020E">
        <w:rPr>
          <w:sz w:val="19"/>
          <w:szCs w:val="19"/>
        </w:rPr>
        <w:t xml:space="preserve"> </w:t>
      </w:r>
      <w:proofErr w:type="spellStart"/>
      <w:r w:rsidR="0009020E" w:rsidRPr="0009020E">
        <w:rPr>
          <w:sz w:val="19"/>
          <w:szCs w:val="19"/>
        </w:rPr>
        <w:t>Biodiversity</w:t>
      </w:r>
      <w:proofErr w:type="spellEnd"/>
      <w:r w:rsidR="0009020E" w:rsidRPr="0009020E">
        <w:rPr>
          <w:sz w:val="19"/>
          <w:szCs w:val="19"/>
        </w:rPr>
        <w:t xml:space="preserve"> Standards – CCB 3.1 possui uma abordagem abrangente e orientações claras para a criação e o reporte de indicadores — também fundamentadas nas Salvaguardas de Cancún — e poderia servir como base para o estado estabelecer e identificar indicadores específicos.</w:t>
      </w:r>
    </w:p>
    <w:p w14:paraId="5C1FF846" w14:textId="096D2137" w:rsidR="00160342" w:rsidRPr="0009020E" w:rsidRDefault="00160342" w:rsidP="00160342">
      <w:pPr>
        <w:pStyle w:val="FootnoteText"/>
      </w:pPr>
    </w:p>
  </w:footnote>
  <w:footnote w:id="11">
    <w:p w14:paraId="6A1CBD6E" w14:textId="78731A67" w:rsidR="00BA0269" w:rsidRPr="00BA0269" w:rsidRDefault="00BA0269">
      <w:pPr>
        <w:pStyle w:val="FootnoteText"/>
      </w:pPr>
      <w:r>
        <w:rPr>
          <w:rStyle w:val="FootnoteReference"/>
        </w:rPr>
        <w:footnoteRef/>
      </w:r>
      <w:r w:rsidRPr="00BA0269">
        <w:t xml:space="preserve"> Por exemplo, o Pará poderia buscar incluir os créditos </w:t>
      </w:r>
      <w:r w:rsidRPr="00BA0269">
        <w:rPr>
          <w:b/>
          <w:bCs/>
        </w:rPr>
        <w:t xml:space="preserve">“Pará </w:t>
      </w:r>
      <w:proofErr w:type="spellStart"/>
      <w:r w:rsidRPr="00BA0269">
        <w:rPr>
          <w:b/>
          <w:bCs/>
        </w:rPr>
        <w:t>Nested</w:t>
      </w:r>
      <w:proofErr w:type="spellEnd"/>
      <w:r w:rsidRPr="00BA0269">
        <w:rPr>
          <w:b/>
          <w:bCs/>
        </w:rPr>
        <w:t>”</w:t>
      </w:r>
      <w:r w:rsidRPr="00BA0269">
        <w:t xml:space="preserve"> em acordos como o seu atual acordo com a </w:t>
      </w:r>
      <w:r w:rsidRPr="00BA0269">
        <w:rPr>
          <w:b/>
          <w:bCs/>
        </w:rPr>
        <w:t>LEAF Coalition</w:t>
      </w:r>
      <w:r w:rsidRPr="00BA0269">
        <w:t>, que estabeleceu um preço de US$ 15 por crédito. Isso forneceria, na prática, aos desenvolvedores de projetos um preço mínimo garantido para seus créditos.</w:t>
      </w:r>
    </w:p>
  </w:footnote>
  <w:footnote w:id="12">
    <w:p w14:paraId="63F4512E" w14:textId="383980D6" w:rsidR="004E6943" w:rsidRPr="004E6943" w:rsidRDefault="004E6943" w:rsidP="004E6943">
      <w:pPr>
        <w:pStyle w:val="FootnoteText"/>
      </w:pPr>
      <w:r>
        <w:rPr>
          <w:rStyle w:val="FootnoteReference"/>
        </w:rPr>
        <w:footnoteRef/>
      </w:r>
      <w:r>
        <w:t xml:space="preserve"> </w:t>
      </w:r>
      <w:r w:rsidRPr="004E6943">
        <w:t>O rascunho do padrão para lidar com a não permanência/reversões no âmbito do Artigo 6.4 do Acordo de Paris levantou preocupações de que as soluções baseadas na natureza possam ser excluídas de alguns mercados de carbono, por talvez não conseguirem demonstrar “risco de reversão negligenciável”.</w:t>
      </w:r>
      <w:r w:rsidR="0090194E">
        <w:t xml:space="preserve"> </w:t>
      </w:r>
      <w:r w:rsidRPr="004E6943">
        <w:t>Uma forma de enfrentar esse risco seria implementar planos que garantam a continuidade das operações de projetos/programas após o término de seus períodos de creditação.</w:t>
      </w:r>
      <w:r w:rsidR="0090194E">
        <w:t xml:space="preserve"> </w:t>
      </w:r>
      <w:r w:rsidRPr="004E6943">
        <w:t xml:space="preserve">Os mercados de carbono estão começando a desenvolver soluções, como o The </w:t>
      </w:r>
      <w:proofErr w:type="spellStart"/>
      <w:r w:rsidRPr="004E6943">
        <w:t>Permanence</w:t>
      </w:r>
      <w:proofErr w:type="spellEnd"/>
      <w:r w:rsidRPr="004E6943">
        <w:t xml:space="preserve"> Trust, proposto pela American Forest Foundation. Essas soluções poderiam ser facilmente adotadas e aprimoradas por projetos REDD+ e programas jurisdicionais — e recebemos de bom grado quaisquer sugestões nesse sentido.</w:t>
      </w:r>
    </w:p>
    <w:p w14:paraId="647DFCA9" w14:textId="2EDB2F26" w:rsidR="004E6943" w:rsidRDefault="004E694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E5949" w14:textId="31FE64C6" w:rsidR="002C7E9F" w:rsidRDefault="00772C37">
    <w:pPr>
      <w:pStyle w:val="Header"/>
    </w:pPr>
    <w:r>
      <w:rPr>
        <w:noProof/>
      </w:rPr>
      <w:pict w14:anchorId="41CEB4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862485" o:spid="_x0000_s2052" type="#_x0000_t136" style="position:absolute;left:0;text-align:left;margin-left:0;margin-top:0;width:511.5pt;height:127.85pt;rotation:315;z-index:-251658239;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27BEC" w14:textId="05635FDA" w:rsidR="00D15A08" w:rsidRDefault="00772C37" w:rsidP="00D15A08">
    <w:pPr>
      <w:pStyle w:val="Header"/>
      <w:jc w:val="center"/>
    </w:pPr>
    <w:r>
      <w:rPr>
        <w:noProof/>
      </w:rPr>
      <w:pict w14:anchorId="2EA4DA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862486" o:spid="_x0000_s2053" type="#_x0000_t136" style="position:absolute;left:0;text-align:left;margin-left:0;margin-top:0;width:511.5pt;height:127.85pt;rotation:315;z-index:-251658238;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r w:rsidR="002C7E9F">
      <w:t>RASCUNHO</w:t>
    </w:r>
    <w:r w:rsidR="00D15A08">
      <w:t xml:space="preserve"> – CONFIDEN</w:t>
    </w:r>
    <w:r w:rsidR="002C7E9F">
      <w:t>CIAL</w:t>
    </w:r>
    <w:r w:rsidR="00D15A08">
      <w:t xml:space="preserve"> – SE</w:t>
    </w:r>
    <w:r w:rsidR="002C7E9F">
      <w:t>TEMBRO</w:t>
    </w:r>
    <w:r w:rsidR="00D15A08">
      <w:t xml:space="preserve">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D4A7" w14:textId="13856605" w:rsidR="002C7E9F" w:rsidRDefault="00772C37">
    <w:pPr>
      <w:pStyle w:val="Header"/>
    </w:pPr>
    <w:r>
      <w:rPr>
        <w:noProof/>
      </w:rPr>
      <w:pict w14:anchorId="4B1584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862484" o:spid="_x0000_s2054" type="#_x0000_t136" style="position:absolute;left:0;text-align:left;margin-left:0;margin-top:0;width:511.5pt;height:127.85pt;rotation:315;z-index:-251658240;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4126"/>
    <w:multiLevelType w:val="hybridMultilevel"/>
    <w:tmpl w:val="721E838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11D574D"/>
    <w:multiLevelType w:val="hybridMultilevel"/>
    <w:tmpl w:val="F990C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817BE7"/>
    <w:multiLevelType w:val="hybridMultilevel"/>
    <w:tmpl w:val="8E0AAE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71509F"/>
    <w:multiLevelType w:val="hybridMultilevel"/>
    <w:tmpl w:val="15EEC3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9B3176"/>
    <w:multiLevelType w:val="multilevel"/>
    <w:tmpl w:val="EA7633A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E172DE9"/>
    <w:multiLevelType w:val="multilevel"/>
    <w:tmpl w:val="EA7633A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0FD920D9"/>
    <w:multiLevelType w:val="hybridMultilevel"/>
    <w:tmpl w:val="9C620896"/>
    <w:lvl w:ilvl="0" w:tplc="BECC2BEE">
      <w:start w:val="1"/>
      <w:numFmt w:val="low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15:restartNumberingAfterBreak="0">
    <w:nsid w:val="181D4DC5"/>
    <w:multiLevelType w:val="hybridMultilevel"/>
    <w:tmpl w:val="8C16CB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B20AA0"/>
    <w:multiLevelType w:val="hybridMultilevel"/>
    <w:tmpl w:val="A4A0FF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AC935FA"/>
    <w:multiLevelType w:val="hybridMultilevel"/>
    <w:tmpl w:val="ADB8E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73708E"/>
    <w:multiLevelType w:val="hybridMultilevel"/>
    <w:tmpl w:val="9D962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0C9784D"/>
    <w:multiLevelType w:val="multilevel"/>
    <w:tmpl w:val="EA7633A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2194064"/>
    <w:multiLevelType w:val="hybridMultilevel"/>
    <w:tmpl w:val="11EE1D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4FE6D33"/>
    <w:multiLevelType w:val="hybridMultilevel"/>
    <w:tmpl w:val="D8D060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3808D8"/>
    <w:multiLevelType w:val="multilevel"/>
    <w:tmpl w:val="EA7633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D1385"/>
    <w:multiLevelType w:val="hybridMultilevel"/>
    <w:tmpl w:val="426452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D596EBA"/>
    <w:multiLevelType w:val="hybridMultilevel"/>
    <w:tmpl w:val="3BAEE5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923620"/>
    <w:multiLevelType w:val="hybridMultilevel"/>
    <w:tmpl w:val="3530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A53D9"/>
    <w:multiLevelType w:val="multilevel"/>
    <w:tmpl w:val="DD8A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80BFA"/>
    <w:multiLevelType w:val="hybridMultilevel"/>
    <w:tmpl w:val="45A67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D7F6FBD"/>
    <w:multiLevelType w:val="hybridMultilevel"/>
    <w:tmpl w:val="ECD8B3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76424"/>
    <w:multiLevelType w:val="hybridMultilevel"/>
    <w:tmpl w:val="2318D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E00D2B"/>
    <w:multiLevelType w:val="multilevel"/>
    <w:tmpl w:val="A57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B1CE6"/>
    <w:multiLevelType w:val="hybridMultilevel"/>
    <w:tmpl w:val="A4EA28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2FB312D"/>
    <w:multiLevelType w:val="multilevel"/>
    <w:tmpl w:val="97AAF5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7471542"/>
    <w:multiLevelType w:val="hybridMultilevel"/>
    <w:tmpl w:val="2640CA0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1650F0"/>
    <w:multiLevelType w:val="hybridMultilevel"/>
    <w:tmpl w:val="B368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40D4D"/>
    <w:multiLevelType w:val="hybridMultilevel"/>
    <w:tmpl w:val="E9B45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9E250FE"/>
    <w:multiLevelType w:val="hybridMultilevel"/>
    <w:tmpl w:val="C2A85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A423D45"/>
    <w:multiLevelType w:val="hybridMultilevel"/>
    <w:tmpl w:val="89CE14E2"/>
    <w:lvl w:ilvl="0" w:tplc="840E8F42">
      <w:start w:val="1"/>
      <w:numFmt w:val="decimal"/>
      <w:lvlText w:val="%1."/>
      <w:lvlJc w:val="left"/>
      <w:pPr>
        <w:ind w:left="360" w:hanging="360"/>
      </w:pPr>
      <w:rPr>
        <w:rFonts w:hint="default"/>
        <w:b/>
        <w:bCs/>
        <w:i/>
        <w:i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6EBA2EB9"/>
    <w:multiLevelType w:val="hybridMultilevel"/>
    <w:tmpl w:val="CD1EA7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FCF3489"/>
    <w:multiLevelType w:val="hybridMultilevel"/>
    <w:tmpl w:val="034E1A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5743141"/>
    <w:multiLevelType w:val="hybridMultilevel"/>
    <w:tmpl w:val="922C1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4308718">
    <w:abstractNumId w:val="15"/>
  </w:num>
  <w:num w:numId="2" w16cid:durableId="1849130014">
    <w:abstractNumId w:val="13"/>
  </w:num>
  <w:num w:numId="3" w16cid:durableId="1105156931">
    <w:abstractNumId w:val="30"/>
  </w:num>
  <w:num w:numId="4" w16cid:durableId="1831411069">
    <w:abstractNumId w:val="12"/>
  </w:num>
  <w:num w:numId="5" w16cid:durableId="812260357">
    <w:abstractNumId w:val="16"/>
  </w:num>
  <w:num w:numId="6" w16cid:durableId="1977562960">
    <w:abstractNumId w:val="2"/>
  </w:num>
  <w:num w:numId="7" w16cid:durableId="1151478913">
    <w:abstractNumId w:val="1"/>
  </w:num>
  <w:num w:numId="8" w16cid:durableId="1581872106">
    <w:abstractNumId w:val="7"/>
  </w:num>
  <w:num w:numId="9" w16cid:durableId="495731065">
    <w:abstractNumId w:val="3"/>
  </w:num>
  <w:num w:numId="10" w16cid:durableId="1951934455">
    <w:abstractNumId w:val="27"/>
  </w:num>
  <w:num w:numId="11" w16cid:durableId="1932661356">
    <w:abstractNumId w:val="24"/>
  </w:num>
  <w:num w:numId="12" w16cid:durableId="173694484">
    <w:abstractNumId w:val="5"/>
  </w:num>
  <w:num w:numId="13" w16cid:durableId="206378729">
    <w:abstractNumId w:val="4"/>
  </w:num>
  <w:num w:numId="14" w16cid:durableId="1255628086">
    <w:abstractNumId w:val="14"/>
  </w:num>
  <w:num w:numId="15" w16cid:durableId="1541892904">
    <w:abstractNumId w:val="11"/>
  </w:num>
  <w:num w:numId="16" w16cid:durableId="1739129244">
    <w:abstractNumId w:val="26"/>
  </w:num>
  <w:num w:numId="17" w16cid:durableId="1519344603">
    <w:abstractNumId w:val="20"/>
  </w:num>
  <w:num w:numId="18" w16cid:durableId="577792565">
    <w:abstractNumId w:val="17"/>
  </w:num>
  <w:num w:numId="19" w16cid:durableId="905913921">
    <w:abstractNumId w:val="23"/>
  </w:num>
  <w:num w:numId="20" w16cid:durableId="712077315">
    <w:abstractNumId w:val="31"/>
  </w:num>
  <w:num w:numId="21" w16cid:durableId="51122985">
    <w:abstractNumId w:val="0"/>
  </w:num>
  <w:num w:numId="22" w16cid:durableId="298921759">
    <w:abstractNumId w:val="29"/>
  </w:num>
  <w:num w:numId="23" w16cid:durableId="1715350388">
    <w:abstractNumId w:val="21"/>
  </w:num>
  <w:num w:numId="24" w16cid:durableId="150221784">
    <w:abstractNumId w:val="25"/>
  </w:num>
  <w:num w:numId="25" w16cid:durableId="1943805478">
    <w:abstractNumId w:val="8"/>
  </w:num>
  <w:num w:numId="26" w16cid:durableId="1212886943">
    <w:abstractNumId w:val="10"/>
  </w:num>
  <w:num w:numId="27" w16cid:durableId="779641294">
    <w:abstractNumId w:val="32"/>
  </w:num>
  <w:num w:numId="28" w16cid:durableId="471410538">
    <w:abstractNumId w:val="19"/>
  </w:num>
  <w:num w:numId="29" w16cid:durableId="407850244">
    <w:abstractNumId w:val="28"/>
  </w:num>
  <w:num w:numId="30" w16cid:durableId="1863082709">
    <w:abstractNumId w:val="22"/>
  </w:num>
  <w:num w:numId="31" w16cid:durableId="1096484967">
    <w:abstractNumId w:val="9"/>
  </w:num>
  <w:num w:numId="32" w16cid:durableId="2098746563">
    <w:abstractNumId w:val="18"/>
  </w:num>
  <w:num w:numId="33" w16cid:durableId="20183806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isa Guida">
    <w15:presenceInfo w15:providerId="AD" w15:userId="S::guida@ieta.org::81c93679-d686-44f2-a6bc-5ccfdfe17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YyNDQ1tTA3tjQwNDdV0lEKTi0uzszPAykwrAUA+VCiGSwAAAA="/>
  </w:docVars>
  <w:rsids>
    <w:rsidRoot w:val="006E7EAB"/>
    <w:rsid w:val="000025CB"/>
    <w:rsid w:val="000056CE"/>
    <w:rsid w:val="00006DA3"/>
    <w:rsid w:val="00010F01"/>
    <w:rsid w:val="00011E31"/>
    <w:rsid w:val="00013CB5"/>
    <w:rsid w:val="00014645"/>
    <w:rsid w:val="00031BA7"/>
    <w:rsid w:val="000336BE"/>
    <w:rsid w:val="0003717D"/>
    <w:rsid w:val="00037787"/>
    <w:rsid w:val="00040363"/>
    <w:rsid w:val="00040EF7"/>
    <w:rsid w:val="000415BB"/>
    <w:rsid w:val="0004279E"/>
    <w:rsid w:val="00046FFC"/>
    <w:rsid w:val="00051FE8"/>
    <w:rsid w:val="00060BB8"/>
    <w:rsid w:val="00061A9B"/>
    <w:rsid w:val="000668C4"/>
    <w:rsid w:val="00066D34"/>
    <w:rsid w:val="0007197B"/>
    <w:rsid w:val="0007666F"/>
    <w:rsid w:val="00080A0E"/>
    <w:rsid w:val="00083DB9"/>
    <w:rsid w:val="0009020E"/>
    <w:rsid w:val="000959AC"/>
    <w:rsid w:val="000967E4"/>
    <w:rsid w:val="0009732B"/>
    <w:rsid w:val="000B0562"/>
    <w:rsid w:val="000B48C0"/>
    <w:rsid w:val="000B4C63"/>
    <w:rsid w:val="000C11B3"/>
    <w:rsid w:val="000C1F07"/>
    <w:rsid w:val="000D1307"/>
    <w:rsid w:val="000D7EBA"/>
    <w:rsid w:val="000F1D6C"/>
    <w:rsid w:val="000F7695"/>
    <w:rsid w:val="001008C1"/>
    <w:rsid w:val="00102929"/>
    <w:rsid w:val="0011113F"/>
    <w:rsid w:val="001160B9"/>
    <w:rsid w:val="00117FD7"/>
    <w:rsid w:val="00124433"/>
    <w:rsid w:val="00132E20"/>
    <w:rsid w:val="00132E27"/>
    <w:rsid w:val="001407F5"/>
    <w:rsid w:val="00140DA7"/>
    <w:rsid w:val="0014724A"/>
    <w:rsid w:val="001574AA"/>
    <w:rsid w:val="00157530"/>
    <w:rsid w:val="00160342"/>
    <w:rsid w:val="001603AB"/>
    <w:rsid w:val="00161360"/>
    <w:rsid w:val="00161CB9"/>
    <w:rsid w:val="00162680"/>
    <w:rsid w:val="001633FC"/>
    <w:rsid w:val="00167AAE"/>
    <w:rsid w:val="00173903"/>
    <w:rsid w:val="001850D8"/>
    <w:rsid w:val="00186B97"/>
    <w:rsid w:val="00191385"/>
    <w:rsid w:val="00192EEB"/>
    <w:rsid w:val="0019384E"/>
    <w:rsid w:val="001938F8"/>
    <w:rsid w:val="00196C20"/>
    <w:rsid w:val="001B2AF9"/>
    <w:rsid w:val="001B2C7F"/>
    <w:rsid w:val="001C2ECC"/>
    <w:rsid w:val="001C41B3"/>
    <w:rsid w:val="001C7A21"/>
    <w:rsid w:val="001E0D9C"/>
    <w:rsid w:val="001E2069"/>
    <w:rsid w:val="001E78D6"/>
    <w:rsid w:val="001F2D04"/>
    <w:rsid w:val="001F4B12"/>
    <w:rsid w:val="00200800"/>
    <w:rsid w:val="00200CBE"/>
    <w:rsid w:val="00211912"/>
    <w:rsid w:val="0022029A"/>
    <w:rsid w:val="00220FBC"/>
    <w:rsid w:val="002234B4"/>
    <w:rsid w:val="00231C84"/>
    <w:rsid w:val="00236340"/>
    <w:rsid w:val="00243264"/>
    <w:rsid w:val="00253B3A"/>
    <w:rsid w:val="002566BD"/>
    <w:rsid w:val="00263402"/>
    <w:rsid w:val="002636A4"/>
    <w:rsid w:val="00271218"/>
    <w:rsid w:val="002811D2"/>
    <w:rsid w:val="00281974"/>
    <w:rsid w:val="00284940"/>
    <w:rsid w:val="00287768"/>
    <w:rsid w:val="0029097D"/>
    <w:rsid w:val="00295D8F"/>
    <w:rsid w:val="002A4E21"/>
    <w:rsid w:val="002A4E4B"/>
    <w:rsid w:val="002A4E55"/>
    <w:rsid w:val="002A5EAC"/>
    <w:rsid w:val="002B3A33"/>
    <w:rsid w:val="002B4C4F"/>
    <w:rsid w:val="002C3019"/>
    <w:rsid w:val="002C7E9F"/>
    <w:rsid w:val="002D1B36"/>
    <w:rsid w:val="002D31EA"/>
    <w:rsid w:val="002E24EC"/>
    <w:rsid w:val="002E5C86"/>
    <w:rsid w:val="002E784C"/>
    <w:rsid w:val="003033CB"/>
    <w:rsid w:val="00304506"/>
    <w:rsid w:val="00315344"/>
    <w:rsid w:val="00320491"/>
    <w:rsid w:val="00321AC4"/>
    <w:rsid w:val="00323F2F"/>
    <w:rsid w:val="0034018E"/>
    <w:rsid w:val="00346447"/>
    <w:rsid w:val="00347274"/>
    <w:rsid w:val="003544D4"/>
    <w:rsid w:val="003563CB"/>
    <w:rsid w:val="00357952"/>
    <w:rsid w:val="00357E28"/>
    <w:rsid w:val="00364BE1"/>
    <w:rsid w:val="00364EFB"/>
    <w:rsid w:val="00365EBF"/>
    <w:rsid w:val="00370140"/>
    <w:rsid w:val="00370EEF"/>
    <w:rsid w:val="00373E2C"/>
    <w:rsid w:val="00387239"/>
    <w:rsid w:val="003A6EDF"/>
    <w:rsid w:val="003A73AB"/>
    <w:rsid w:val="003A7439"/>
    <w:rsid w:val="003D235A"/>
    <w:rsid w:val="003D30B6"/>
    <w:rsid w:val="003D4E6A"/>
    <w:rsid w:val="003D780B"/>
    <w:rsid w:val="003E5A60"/>
    <w:rsid w:val="003E7E44"/>
    <w:rsid w:val="003F0249"/>
    <w:rsid w:val="003F2385"/>
    <w:rsid w:val="003F48C6"/>
    <w:rsid w:val="00405833"/>
    <w:rsid w:val="00413604"/>
    <w:rsid w:val="00415C3E"/>
    <w:rsid w:val="00423093"/>
    <w:rsid w:val="00427B7D"/>
    <w:rsid w:val="00430B3A"/>
    <w:rsid w:val="0043221A"/>
    <w:rsid w:val="004338C8"/>
    <w:rsid w:val="004351BE"/>
    <w:rsid w:val="00435CA0"/>
    <w:rsid w:val="004432C3"/>
    <w:rsid w:val="004613F7"/>
    <w:rsid w:val="00463701"/>
    <w:rsid w:val="00465B4E"/>
    <w:rsid w:val="00466C40"/>
    <w:rsid w:val="00475944"/>
    <w:rsid w:val="00475A2F"/>
    <w:rsid w:val="0047739E"/>
    <w:rsid w:val="00480134"/>
    <w:rsid w:val="004838CD"/>
    <w:rsid w:val="004A0B6C"/>
    <w:rsid w:val="004A2C7C"/>
    <w:rsid w:val="004A3920"/>
    <w:rsid w:val="004A5C76"/>
    <w:rsid w:val="004A7F77"/>
    <w:rsid w:val="004B5374"/>
    <w:rsid w:val="004D5539"/>
    <w:rsid w:val="004D6C00"/>
    <w:rsid w:val="004E1122"/>
    <w:rsid w:val="004E50A1"/>
    <w:rsid w:val="004E608B"/>
    <w:rsid w:val="004E6943"/>
    <w:rsid w:val="00503F98"/>
    <w:rsid w:val="00507F26"/>
    <w:rsid w:val="00510C85"/>
    <w:rsid w:val="00511F7C"/>
    <w:rsid w:val="005165A9"/>
    <w:rsid w:val="005202EF"/>
    <w:rsid w:val="00521F00"/>
    <w:rsid w:val="00522B34"/>
    <w:rsid w:val="005310DB"/>
    <w:rsid w:val="005364D9"/>
    <w:rsid w:val="00540528"/>
    <w:rsid w:val="00542AB5"/>
    <w:rsid w:val="00543C3A"/>
    <w:rsid w:val="00553631"/>
    <w:rsid w:val="00554B60"/>
    <w:rsid w:val="0056000C"/>
    <w:rsid w:val="005608FD"/>
    <w:rsid w:val="0056122D"/>
    <w:rsid w:val="005670B1"/>
    <w:rsid w:val="005760C4"/>
    <w:rsid w:val="00584141"/>
    <w:rsid w:val="0059127E"/>
    <w:rsid w:val="00597D00"/>
    <w:rsid w:val="005A1075"/>
    <w:rsid w:val="005A478F"/>
    <w:rsid w:val="005A5807"/>
    <w:rsid w:val="005B1093"/>
    <w:rsid w:val="005B1ECC"/>
    <w:rsid w:val="005B4280"/>
    <w:rsid w:val="005C0EED"/>
    <w:rsid w:val="005D2959"/>
    <w:rsid w:val="005E1B16"/>
    <w:rsid w:val="005E1B28"/>
    <w:rsid w:val="005F222E"/>
    <w:rsid w:val="005F3EB3"/>
    <w:rsid w:val="00603E3E"/>
    <w:rsid w:val="006051DC"/>
    <w:rsid w:val="00606A9D"/>
    <w:rsid w:val="00614874"/>
    <w:rsid w:val="00620B2C"/>
    <w:rsid w:val="00620C28"/>
    <w:rsid w:val="00623E68"/>
    <w:rsid w:val="00632B0B"/>
    <w:rsid w:val="00632E4E"/>
    <w:rsid w:val="00637FD1"/>
    <w:rsid w:val="006427CE"/>
    <w:rsid w:val="00645752"/>
    <w:rsid w:val="006521A3"/>
    <w:rsid w:val="00652DE2"/>
    <w:rsid w:val="00684A3D"/>
    <w:rsid w:val="00685352"/>
    <w:rsid w:val="00692FF4"/>
    <w:rsid w:val="00696B2D"/>
    <w:rsid w:val="006A7EBF"/>
    <w:rsid w:val="006B01C1"/>
    <w:rsid w:val="006C0A50"/>
    <w:rsid w:val="006C614C"/>
    <w:rsid w:val="006D13F4"/>
    <w:rsid w:val="006D759B"/>
    <w:rsid w:val="006E59AE"/>
    <w:rsid w:val="006E6959"/>
    <w:rsid w:val="006E7EAB"/>
    <w:rsid w:val="006F030F"/>
    <w:rsid w:val="006F5781"/>
    <w:rsid w:val="006F79C9"/>
    <w:rsid w:val="006F7D30"/>
    <w:rsid w:val="00703A05"/>
    <w:rsid w:val="00706994"/>
    <w:rsid w:val="00714418"/>
    <w:rsid w:val="00731218"/>
    <w:rsid w:val="00732718"/>
    <w:rsid w:val="00734AA7"/>
    <w:rsid w:val="00734F70"/>
    <w:rsid w:val="00741845"/>
    <w:rsid w:val="00743658"/>
    <w:rsid w:val="0074675A"/>
    <w:rsid w:val="007500E7"/>
    <w:rsid w:val="00751517"/>
    <w:rsid w:val="00755559"/>
    <w:rsid w:val="007665D7"/>
    <w:rsid w:val="00771AA9"/>
    <w:rsid w:val="00772307"/>
    <w:rsid w:val="00772C37"/>
    <w:rsid w:val="00774560"/>
    <w:rsid w:val="00783414"/>
    <w:rsid w:val="0078600A"/>
    <w:rsid w:val="00787362"/>
    <w:rsid w:val="007A0263"/>
    <w:rsid w:val="007A0B07"/>
    <w:rsid w:val="007A6F3D"/>
    <w:rsid w:val="007B1622"/>
    <w:rsid w:val="007B3018"/>
    <w:rsid w:val="007B335E"/>
    <w:rsid w:val="007B47CE"/>
    <w:rsid w:val="007C5425"/>
    <w:rsid w:val="007C5808"/>
    <w:rsid w:val="007E7208"/>
    <w:rsid w:val="007F168D"/>
    <w:rsid w:val="007F1C3F"/>
    <w:rsid w:val="008012AF"/>
    <w:rsid w:val="00804E8E"/>
    <w:rsid w:val="008058BF"/>
    <w:rsid w:val="008074AD"/>
    <w:rsid w:val="00827162"/>
    <w:rsid w:val="00831F5D"/>
    <w:rsid w:val="00836E78"/>
    <w:rsid w:val="00844D21"/>
    <w:rsid w:val="0085758B"/>
    <w:rsid w:val="008627F6"/>
    <w:rsid w:val="00866FD4"/>
    <w:rsid w:val="0087097F"/>
    <w:rsid w:val="00873265"/>
    <w:rsid w:val="00896551"/>
    <w:rsid w:val="008A00FF"/>
    <w:rsid w:val="008A10F1"/>
    <w:rsid w:val="008A5064"/>
    <w:rsid w:val="008A7EF2"/>
    <w:rsid w:val="008B0942"/>
    <w:rsid w:val="008B0F19"/>
    <w:rsid w:val="008B15C4"/>
    <w:rsid w:val="008B40E5"/>
    <w:rsid w:val="008D60C4"/>
    <w:rsid w:val="008D686E"/>
    <w:rsid w:val="008D6938"/>
    <w:rsid w:val="008E1EFD"/>
    <w:rsid w:val="008E341F"/>
    <w:rsid w:val="0090194E"/>
    <w:rsid w:val="009025A5"/>
    <w:rsid w:val="009057A2"/>
    <w:rsid w:val="009067F0"/>
    <w:rsid w:val="0091514B"/>
    <w:rsid w:val="00915AD4"/>
    <w:rsid w:val="0092055D"/>
    <w:rsid w:val="00922F4E"/>
    <w:rsid w:val="00925B53"/>
    <w:rsid w:val="00936801"/>
    <w:rsid w:val="00936DEC"/>
    <w:rsid w:val="00941194"/>
    <w:rsid w:val="00941FFD"/>
    <w:rsid w:val="00945844"/>
    <w:rsid w:val="0094591D"/>
    <w:rsid w:val="00945DD5"/>
    <w:rsid w:val="009508EF"/>
    <w:rsid w:val="0095161F"/>
    <w:rsid w:val="00952293"/>
    <w:rsid w:val="00954F16"/>
    <w:rsid w:val="00954FCE"/>
    <w:rsid w:val="00960E63"/>
    <w:rsid w:val="009635A9"/>
    <w:rsid w:val="0096538A"/>
    <w:rsid w:val="00971211"/>
    <w:rsid w:val="009739E0"/>
    <w:rsid w:val="00977FCB"/>
    <w:rsid w:val="009800E1"/>
    <w:rsid w:val="00980405"/>
    <w:rsid w:val="0098334D"/>
    <w:rsid w:val="00985295"/>
    <w:rsid w:val="00987F43"/>
    <w:rsid w:val="00996232"/>
    <w:rsid w:val="009B0016"/>
    <w:rsid w:val="009B75EC"/>
    <w:rsid w:val="009B7A34"/>
    <w:rsid w:val="009C3537"/>
    <w:rsid w:val="009C64AB"/>
    <w:rsid w:val="009D600D"/>
    <w:rsid w:val="009D6473"/>
    <w:rsid w:val="009D736A"/>
    <w:rsid w:val="009E1432"/>
    <w:rsid w:val="009E4C4E"/>
    <w:rsid w:val="009E5DE7"/>
    <w:rsid w:val="009E61C3"/>
    <w:rsid w:val="009F0490"/>
    <w:rsid w:val="009F3496"/>
    <w:rsid w:val="00A0008D"/>
    <w:rsid w:val="00A012D1"/>
    <w:rsid w:val="00A0278F"/>
    <w:rsid w:val="00A04AD0"/>
    <w:rsid w:val="00A05C9A"/>
    <w:rsid w:val="00A07E57"/>
    <w:rsid w:val="00A141A3"/>
    <w:rsid w:val="00A22603"/>
    <w:rsid w:val="00A30419"/>
    <w:rsid w:val="00A336C3"/>
    <w:rsid w:val="00A410D9"/>
    <w:rsid w:val="00A41A1E"/>
    <w:rsid w:val="00A458A8"/>
    <w:rsid w:val="00A502B5"/>
    <w:rsid w:val="00A50CD8"/>
    <w:rsid w:val="00A53151"/>
    <w:rsid w:val="00A54339"/>
    <w:rsid w:val="00A549C1"/>
    <w:rsid w:val="00A60D13"/>
    <w:rsid w:val="00A634CA"/>
    <w:rsid w:val="00A70DB9"/>
    <w:rsid w:val="00A801BD"/>
    <w:rsid w:val="00A83311"/>
    <w:rsid w:val="00A90A39"/>
    <w:rsid w:val="00A9355D"/>
    <w:rsid w:val="00A94DD2"/>
    <w:rsid w:val="00AA0EFA"/>
    <w:rsid w:val="00AA229E"/>
    <w:rsid w:val="00AA6176"/>
    <w:rsid w:val="00AD1584"/>
    <w:rsid w:val="00AD1A44"/>
    <w:rsid w:val="00AD2E24"/>
    <w:rsid w:val="00AD4727"/>
    <w:rsid w:val="00AD49ED"/>
    <w:rsid w:val="00AD6810"/>
    <w:rsid w:val="00B27FA3"/>
    <w:rsid w:val="00B34063"/>
    <w:rsid w:val="00B346A9"/>
    <w:rsid w:val="00B373FE"/>
    <w:rsid w:val="00B416C2"/>
    <w:rsid w:val="00B45A45"/>
    <w:rsid w:val="00B6092D"/>
    <w:rsid w:val="00B73EAB"/>
    <w:rsid w:val="00B750A8"/>
    <w:rsid w:val="00B91298"/>
    <w:rsid w:val="00B925A1"/>
    <w:rsid w:val="00B96958"/>
    <w:rsid w:val="00BA0269"/>
    <w:rsid w:val="00BA75F4"/>
    <w:rsid w:val="00BA783E"/>
    <w:rsid w:val="00BB607A"/>
    <w:rsid w:val="00BB79A2"/>
    <w:rsid w:val="00BC3922"/>
    <w:rsid w:val="00BC637E"/>
    <w:rsid w:val="00BD1E94"/>
    <w:rsid w:val="00BE2DD3"/>
    <w:rsid w:val="00BE3831"/>
    <w:rsid w:val="00BF2A5B"/>
    <w:rsid w:val="00BF5693"/>
    <w:rsid w:val="00BF5AD7"/>
    <w:rsid w:val="00C027F2"/>
    <w:rsid w:val="00C0597E"/>
    <w:rsid w:val="00C15C24"/>
    <w:rsid w:val="00C17FF8"/>
    <w:rsid w:val="00C23ED2"/>
    <w:rsid w:val="00C30B9D"/>
    <w:rsid w:val="00C31D57"/>
    <w:rsid w:val="00C33690"/>
    <w:rsid w:val="00C42F20"/>
    <w:rsid w:val="00C4628D"/>
    <w:rsid w:val="00C57A12"/>
    <w:rsid w:val="00C616DC"/>
    <w:rsid w:val="00C64550"/>
    <w:rsid w:val="00C664A4"/>
    <w:rsid w:val="00C67B5A"/>
    <w:rsid w:val="00C727F0"/>
    <w:rsid w:val="00C75577"/>
    <w:rsid w:val="00C8272F"/>
    <w:rsid w:val="00C8328A"/>
    <w:rsid w:val="00C84B92"/>
    <w:rsid w:val="00C86263"/>
    <w:rsid w:val="00CA11A6"/>
    <w:rsid w:val="00CA389B"/>
    <w:rsid w:val="00CB1BD6"/>
    <w:rsid w:val="00CB2D16"/>
    <w:rsid w:val="00CB4C7E"/>
    <w:rsid w:val="00CB6573"/>
    <w:rsid w:val="00CC17C8"/>
    <w:rsid w:val="00CC3653"/>
    <w:rsid w:val="00CD1113"/>
    <w:rsid w:val="00CD383E"/>
    <w:rsid w:val="00CD41F3"/>
    <w:rsid w:val="00CD4857"/>
    <w:rsid w:val="00CD5F18"/>
    <w:rsid w:val="00CD779A"/>
    <w:rsid w:val="00CD7B78"/>
    <w:rsid w:val="00CF1D84"/>
    <w:rsid w:val="00CF3385"/>
    <w:rsid w:val="00CF7C5B"/>
    <w:rsid w:val="00D07C62"/>
    <w:rsid w:val="00D13DAB"/>
    <w:rsid w:val="00D15667"/>
    <w:rsid w:val="00D15A08"/>
    <w:rsid w:val="00D20A64"/>
    <w:rsid w:val="00D22EFE"/>
    <w:rsid w:val="00D231AF"/>
    <w:rsid w:val="00D231C3"/>
    <w:rsid w:val="00D27D8C"/>
    <w:rsid w:val="00D30821"/>
    <w:rsid w:val="00D31275"/>
    <w:rsid w:val="00D376BE"/>
    <w:rsid w:val="00D37709"/>
    <w:rsid w:val="00D37CFC"/>
    <w:rsid w:val="00D412F2"/>
    <w:rsid w:val="00D45940"/>
    <w:rsid w:val="00D479DA"/>
    <w:rsid w:val="00D55FFA"/>
    <w:rsid w:val="00D65045"/>
    <w:rsid w:val="00D73660"/>
    <w:rsid w:val="00D74448"/>
    <w:rsid w:val="00D7491B"/>
    <w:rsid w:val="00D802BD"/>
    <w:rsid w:val="00D82056"/>
    <w:rsid w:val="00D90613"/>
    <w:rsid w:val="00D90E7D"/>
    <w:rsid w:val="00DA0033"/>
    <w:rsid w:val="00DA4AD7"/>
    <w:rsid w:val="00DA5B51"/>
    <w:rsid w:val="00DC010E"/>
    <w:rsid w:val="00DC05D4"/>
    <w:rsid w:val="00DC1263"/>
    <w:rsid w:val="00DC600A"/>
    <w:rsid w:val="00DD0C85"/>
    <w:rsid w:val="00DD5F62"/>
    <w:rsid w:val="00DD6890"/>
    <w:rsid w:val="00DE2B0A"/>
    <w:rsid w:val="00DE44E1"/>
    <w:rsid w:val="00DE54C5"/>
    <w:rsid w:val="00DE5CF1"/>
    <w:rsid w:val="00DE6581"/>
    <w:rsid w:val="00E00306"/>
    <w:rsid w:val="00E01B6D"/>
    <w:rsid w:val="00E04D0A"/>
    <w:rsid w:val="00E13D99"/>
    <w:rsid w:val="00E13F19"/>
    <w:rsid w:val="00E1748B"/>
    <w:rsid w:val="00E2031C"/>
    <w:rsid w:val="00E20B07"/>
    <w:rsid w:val="00E22F75"/>
    <w:rsid w:val="00E25022"/>
    <w:rsid w:val="00E255FC"/>
    <w:rsid w:val="00E310D7"/>
    <w:rsid w:val="00E4076C"/>
    <w:rsid w:val="00E43BB2"/>
    <w:rsid w:val="00E4606D"/>
    <w:rsid w:val="00E478A6"/>
    <w:rsid w:val="00E57C08"/>
    <w:rsid w:val="00E62A51"/>
    <w:rsid w:val="00E674A2"/>
    <w:rsid w:val="00E701C0"/>
    <w:rsid w:val="00E70945"/>
    <w:rsid w:val="00E729FF"/>
    <w:rsid w:val="00E83D42"/>
    <w:rsid w:val="00E91DEF"/>
    <w:rsid w:val="00E930EF"/>
    <w:rsid w:val="00EA00FB"/>
    <w:rsid w:val="00EA5BC5"/>
    <w:rsid w:val="00EB1DAE"/>
    <w:rsid w:val="00EB2064"/>
    <w:rsid w:val="00EB525C"/>
    <w:rsid w:val="00EC12AB"/>
    <w:rsid w:val="00EC23B9"/>
    <w:rsid w:val="00EC2553"/>
    <w:rsid w:val="00EC69C6"/>
    <w:rsid w:val="00EC78E8"/>
    <w:rsid w:val="00ED52FE"/>
    <w:rsid w:val="00ED6C88"/>
    <w:rsid w:val="00EE2F1B"/>
    <w:rsid w:val="00EE4328"/>
    <w:rsid w:val="00EE56E6"/>
    <w:rsid w:val="00EE6376"/>
    <w:rsid w:val="00EF1CCA"/>
    <w:rsid w:val="00EF3978"/>
    <w:rsid w:val="00EF4659"/>
    <w:rsid w:val="00EF527C"/>
    <w:rsid w:val="00EF799B"/>
    <w:rsid w:val="00F01D44"/>
    <w:rsid w:val="00F038FC"/>
    <w:rsid w:val="00F03CAA"/>
    <w:rsid w:val="00F1456D"/>
    <w:rsid w:val="00F16B16"/>
    <w:rsid w:val="00F22C83"/>
    <w:rsid w:val="00F2557D"/>
    <w:rsid w:val="00F31C40"/>
    <w:rsid w:val="00F37C9C"/>
    <w:rsid w:val="00F43447"/>
    <w:rsid w:val="00F439B2"/>
    <w:rsid w:val="00F561F9"/>
    <w:rsid w:val="00F667FA"/>
    <w:rsid w:val="00F72A4C"/>
    <w:rsid w:val="00F73484"/>
    <w:rsid w:val="00F77DB5"/>
    <w:rsid w:val="00F82584"/>
    <w:rsid w:val="00F82D86"/>
    <w:rsid w:val="00F86B58"/>
    <w:rsid w:val="00F8782A"/>
    <w:rsid w:val="00FB3121"/>
    <w:rsid w:val="00FB4F22"/>
    <w:rsid w:val="00FB6980"/>
    <w:rsid w:val="00FC31D8"/>
    <w:rsid w:val="00FD5E22"/>
    <w:rsid w:val="00FD7187"/>
    <w:rsid w:val="00FF7187"/>
    <w:rsid w:val="08C9FDEB"/>
    <w:rsid w:val="1F77254F"/>
    <w:rsid w:val="245FFB60"/>
    <w:rsid w:val="260FBB45"/>
    <w:rsid w:val="37450279"/>
    <w:rsid w:val="3853B158"/>
    <w:rsid w:val="532432A8"/>
    <w:rsid w:val="53AF4F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E1A5331"/>
  <w15:chartTrackingRefBased/>
  <w15:docId w15:val="{BDBDE9A3-3965-4A12-B3A2-B3867C0D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C1"/>
    <w:pPr>
      <w:spacing w:before="120" w:after="120"/>
      <w:jc w:val="both"/>
    </w:pPr>
    <w:rPr>
      <w:sz w:val="22"/>
    </w:rPr>
  </w:style>
  <w:style w:type="paragraph" w:styleId="Heading1">
    <w:name w:val="heading 1"/>
    <w:basedOn w:val="Normal"/>
    <w:next w:val="Normal"/>
    <w:link w:val="Heading1Char"/>
    <w:uiPriority w:val="9"/>
    <w:qFormat/>
    <w:rsid w:val="000056CE"/>
    <w:pPr>
      <w:keepNext/>
      <w:keepLines/>
      <w:spacing w:before="360" w:after="80"/>
      <w:outlineLvl w:val="0"/>
    </w:pPr>
    <w:rPr>
      <w:rFonts w:asciiTheme="majorHAnsi" w:eastAsiaTheme="majorEastAsia" w:hAnsiTheme="majorHAnsi" w:cstheme="majorBidi"/>
      <w:b/>
      <w:color w:val="404040" w:themeColor="text1" w:themeTint="BF"/>
      <w:sz w:val="24"/>
      <w:szCs w:val="40"/>
    </w:rPr>
  </w:style>
  <w:style w:type="paragraph" w:styleId="Heading2">
    <w:name w:val="heading 2"/>
    <w:basedOn w:val="Normal"/>
    <w:next w:val="Normal"/>
    <w:link w:val="Heading2Char"/>
    <w:uiPriority w:val="9"/>
    <w:unhideWhenUsed/>
    <w:qFormat/>
    <w:rsid w:val="00D7491B"/>
    <w:pPr>
      <w:keepNext/>
      <w:keepLines/>
      <w:outlineLvl w:val="1"/>
    </w:pPr>
    <w:rPr>
      <w:rFonts w:asciiTheme="majorHAnsi" w:eastAsiaTheme="majorEastAsia" w:hAnsiTheme="majorHAnsi" w:cstheme="majorBidi"/>
      <w:b/>
      <w:color w:val="275317" w:themeColor="accent6" w:themeShade="80"/>
      <w:szCs w:val="32"/>
    </w:rPr>
  </w:style>
  <w:style w:type="paragraph" w:styleId="Heading3">
    <w:name w:val="heading 3"/>
    <w:basedOn w:val="Normal"/>
    <w:next w:val="Normal"/>
    <w:link w:val="Heading3Char"/>
    <w:uiPriority w:val="9"/>
    <w:semiHidden/>
    <w:unhideWhenUsed/>
    <w:qFormat/>
    <w:rsid w:val="006E7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CE"/>
    <w:rPr>
      <w:rFonts w:asciiTheme="majorHAnsi" w:eastAsiaTheme="majorEastAsia" w:hAnsiTheme="majorHAnsi" w:cstheme="majorBidi"/>
      <w:b/>
      <w:color w:val="404040" w:themeColor="text1" w:themeTint="BF"/>
      <w:szCs w:val="40"/>
    </w:rPr>
  </w:style>
  <w:style w:type="character" w:customStyle="1" w:styleId="Heading2Char">
    <w:name w:val="Heading 2 Char"/>
    <w:basedOn w:val="DefaultParagraphFont"/>
    <w:link w:val="Heading2"/>
    <w:uiPriority w:val="9"/>
    <w:rsid w:val="00D7491B"/>
    <w:rPr>
      <w:rFonts w:asciiTheme="majorHAnsi" w:eastAsiaTheme="majorEastAsia" w:hAnsiTheme="majorHAnsi" w:cstheme="majorBidi"/>
      <w:b/>
      <w:color w:val="275317" w:themeColor="accent6" w:themeShade="80"/>
      <w:sz w:val="22"/>
      <w:szCs w:val="32"/>
    </w:rPr>
  </w:style>
  <w:style w:type="character" w:customStyle="1" w:styleId="Heading3Char">
    <w:name w:val="Heading 3 Char"/>
    <w:basedOn w:val="DefaultParagraphFont"/>
    <w:link w:val="Heading3"/>
    <w:uiPriority w:val="9"/>
    <w:semiHidden/>
    <w:rsid w:val="006E7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EAB"/>
    <w:rPr>
      <w:rFonts w:eastAsiaTheme="majorEastAsia" w:cstheme="majorBidi"/>
      <w:color w:val="272727" w:themeColor="text1" w:themeTint="D8"/>
    </w:rPr>
  </w:style>
  <w:style w:type="paragraph" w:styleId="Title">
    <w:name w:val="Title"/>
    <w:basedOn w:val="Normal"/>
    <w:next w:val="Normal"/>
    <w:link w:val="TitleChar"/>
    <w:uiPriority w:val="10"/>
    <w:qFormat/>
    <w:rsid w:val="006E7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D7"/>
    <w:pPr>
      <w:numPr>
        <w:ilvl w:val="1"/>
      </w:numPr>
      <w:jc w:val="center"/>
    </w:pPr>
    <w:rPr>
      <w:rFonts w:eastAsiaTheme="majorEastAsia" w:cstheme="majorBidi"/>
      <w:b/>
      <w:color w:val="404040" w:themeColor="text1" w:themeTint="BF"/>
      <w:spacing w:val="15"/>
      <w:sz w:val="24"/>
      <w:szCs w:val="28"/>
    </w:rPr>
  </w:style>
  <w:style w:type="character" w:customStyle="1" w:styleId="SubtitleChar">
    <w:name w:val="Subtitle Char"/>
    <w:basedOn w:val="DefaultParagraphFont"/>
    <w:link w:val="Subtitle"/>
    <w:uiPriority w:val="11"/>
    <w:rsid w:val="00BF5AD7"/>
    <w:rPr>
      <w:rFonts w:eastAsiaTheme="majorEastAsia" w:cstheme="majorBidi"/>
      <w:b/>
      <w:color w:val="404040" w:themeColor="text1" w:themeTint="BF"/>
      <w:spacing w:val="15"/>
      <w:szCs w:val="28"/>
    </w:rPr>
  </w:style>
  <w:style w:type="paragraph" w:styleId="Quote">
    <w:name w:val="Quote"/>
    <w:basedOn w:val="Normal"/>
    <w:next w:val="Normal"/>
    <w:link w:val="QuoteChar"/>
    <w:uiPriority w:val="29"/>
    <w:qFormat/>
    <w:rsid w:val="006E7EAB"/>
    <w:pPr>
      <w:spacing w:before="160"/>
      <w:jc w:val="center"/>
    </w:pPr>
    <w:rPr>
      <w:i/>
      <w:iCs/>
      <w:color w:val="404040" w:themeColor="text1" w:themeTint="BF"/>
    </w:rPr>
  </w:style>
  <w:style w:type="character" w:customStyle="1" w:styleId="QuoteChar">
    <w:name w:val="Quote Char"/>
    <w:basedOn w:val="DefaultParagraphFont"/>
    <w:link w:val="Quote"/>
    <w:uiPriority w:val="29"/>
    <w:rsid w:val="006E7EAB"/>
    <w:rPr>
      <w:i/>
      <w:iCs/>
      <w:color w:val="404040" w:themeColor="text1" w:themeTint="BF"/>
    </w:rPr>
  </w:style>
  <w:style w:type="paragraph" w:styleId="ListParagraph">
    <w:name w:val="List Paragraph"/>
    <w:basedOn w:val="Normal"/>
    <w:uiPriority w:val="34"/>
    <w:qFormat/>
    <w:rsid w:val="006E7EAB"/>
    <w:pPr>
      <w:ind w:left="720"/>
      <w:contextualSpacing/>
    </w:pPr>
  </w:style>
  <w:style w:type="character" w:styleId="IntenseEmphasis">
    <w:name w:val="Intense Emphasis"/>
    <w:basedOn w:val="DefaultParagraphFont"/>
    <w:uiPriority w:val="21"/>
    <w:qFormat/>
    <w:rsid w:val="006E7EAB"/>
    <w:rPr>
      <w:i/>
      <w:iCs/>
      <w:color w:val="0F4761" w:themeColor="accent1" w:themeShade="BF"/>
    </w:rPr>
  </w:style>
  <w:style w:type="paragraph" w:styleId="IntenseQuote">
    <w:name w:val="Intense Quote"/>
    <w:basedOn w:val="Normal"/>
    <w:next w:val="Normal"/>
    <w:link w:val="IntenseQuoteChar"/>
    <w:uiPriority w:val="30"/>
    <w:qFormat/>
    <w:rsid w:val="006E7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EAB"/>
    <w:rPr>
      <w:i/>
      <w:iCs/>
      <w:color w:val="0F4761" w:themeColor="accent1" w:themeShade="BF"/>
    </w:rPr>
  </w:style>
  <w:style w:type="character" w:styleId="IntenseReference">
    <w:name w:val="Intense Reference"/>
    <w:basedOn w:val="DefaultParagraphFont"/>
    <w:uiPriority w:val="32"/>
    <w:qFormat/>
    <w:rsid w:val="006E7EAB"/>
    <w:rPr>
      <w:b/>
      <w:bCs/>
      <w:smallCaps/>
      <w:color w:val="0F4761" w:themeColor="accent1" w:themeShade="BF"/>
      <w:spacing w:val="5"/>
    </w:rPr>
  </w:style>
  <w:style w:type="paragraph" w:styleId="NormalWeb">
    <w:name w:val="Normal (Web)"/>
    <w:basedOn w:val="Normal"/>
    <w:uiPriority w:val="99"/>
    <w:semiHidden/>
    <w:unhideWhenUsed/>
    <w:rsid w:val="00B34063"/>
    <w:rPr>
      <w:rFonts w:ascii="Times New Roman" w:hAnsi="Times New Roman" w:cs="Times New Roman"/>
      <w:sz w:val="24"/>
    </w:rPr>
  </w:style>
  <w:style w:type="paragraph" w:styleId="Header">
    <w:name w:val="header"/>
    <w:basedOn w:val="Normal"/>
    <w:link w:val="HeaderChar"/>
    <w:uiPriority w:val="99"/>
    <w:unhideWhenUsed/>
    <w:rsid w:val="00D15A08"/>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D15A08"/>
    <w:rPr>
      <w:sz w:val="22"/>
    </w:rPr>
  </w:style>
  <w:style w:type="paragraph" w:styleId="Footer">
    <w:name w:val="footer"/>
    <w:basedOn w:val="Normal"/>
    <w:link w:val="FooterChar"/>
    <w:uiPriority w:val="99"/>
    <w:unhideWhenUsed/>
    <w:rsid w:val="00D15A08"/>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D15A08"/>
    <w:rPr>
      <w:sz w:val="22"/>
    </w:rPr>
  </w:style>
  <w:style w:type="paragraph" w:styleId="Caption">
    <w:name w:val="caption"/>
    <w:basedOn w:val="Normal"/>
    <w:next w:val="Normal"/>
    <w:uiPriority w:val="35"/>
    <w:unhideWhenUsed/>
    <w:qFormat/>
    <w:rsid w:val="00A0278F"/>
    <w:pPr>
      <w:spacing w:before="0" w:after="200" w:line="240" w:lineRule="auto"/>
    </w:pPr>
    <w:rPr>
      <w:i/>
      <w:iCs/>
      <w:color w:val="404040" w:themeColor="text1" w:themeTint="BF"/>
      <w:sz w:val="18"/>
      <w:szCs w:val="18"/>
    </w:rPr>
  </w:style>
  <w:style w:type="character" w:styleId="Hyperlink">
    <w:name w:val="Hyperlink"/>
    <w:basedOn w:val="DefaultParagraphFont"/>
    <w:uiPriority w:val="99"/>
    <w:unhideWhenUsed/>
    <w:rsid w:val="00040EF7"/>
    <w:rPr>
      <w:color w:val="467886" w:themeColor="hyperlink"/>
      <w:u w:val="single"/>
    </w:rPr>
  </w:style>
  <w:style w:type="character" w:styleId="UnresolvedMention">
    <w:name w:val="Unresolved Mention"/>
    <w:basedOn w:val="DefaultParagraphFont"/>
    <w:uiPriority w:val="99"/>
    <w:semiHidden/>
    <w:unhideWhenUsed/>
    <w:rsid w:val="00040EF7"/>
    <w:rPr>
      <w:color w:val="605E5C"/>
      <w:shd w:val="clear" w:color="auto" w:fill="E1DFDD"/>
    </w:rPr>
  </w:style>
  <w:style w:type="character" w:styleId="Strong">
    <w:name w:val="Strong"/>
    <w:basedOn w:val="DefaultParagraphFont"/>
    <w:uiPriority w:val="22"/>
    <w:qFormat/>
    <w:rsid w:val="009E1432"/>
    <w:rPr>
      <w:b/>
      <w:bCs/>
    </w:rPr>
  </w:style>
  <w:style w:type="character" w:customStyle="1" w:styleId="ms-1">
    <w:name w:val="ms-1"/>
    <w:basedOn w:val="DefaultParagraphFont"/>
    <w:rsid w:val="009E1432"/>
  </w:style>
  <w:style w:type="character" w:customStyle="1" w:styleId="max-w-full">
    <w:name w:val="max-w-full"/>
    <w:basedOn w:val="DefaultParagraphFont"/>
    <w:rsid w:val="009E1432"/>
  </w:style>
  <w:style w:type="character" w:customStyle="1" w:styleId="-me-1">
    <w:name w:val="-me-1"/>
    <w:basedOn w:val="DefaultParagraphFont"/>
    <w:rsid w:val="009E1432"/>
  </w:style>
  <w:style w:type="paragraph" w:styleId="Revision">
    <w:name w:val="Revision"/>
    <w:hidden/>
    <w:uiPriority w:val="99"/>
    <w:semiHidden/>
    <w:rsid w:val="00EE56E6"/>
    <w:pPr>
      <w:spacing w:after="0" w:line="240" w:lineRule="auto"/>
    </w:pPr>
    <w:rPr>
      <w:sz w:val="22"/>
    </w:rPr>
  </w:style>
  <w:style w:type="character" w:styleId="CommentReference">
    <w:name w:val="annotation reference"/>
    <w:basedOn w:val="DefaultParagraphFont"/>
    <w:uiPriority w:val="99"/>
    <w:semiHidden/>
    <w:unhideWhenUsed/>
    <w:rsid w:val="00EE56E6"/>
    <w:rPr>
      <w:sz w:val="16"/>
      <w:szCs w:val="16"/>
    </w:rPr>
  </w:style>
  <w:style w:type="paragraph" w:styleId="CommentText">
    <w:name w:val="annotation text"/>
    <w:basedOn w:val="Normal"/>
    <w:link w:val="CommentTextChar"/>
    <w:uiPriority w:val="99"/>
    <w:unhideWhenUsed/>
    <w:rsid w:val="00EE56E6"/>
    <w:pPr>
      <w:spacing w:line="240" w:lineRule="auto"/>
    </w:pPr>
    <w:rPr>
      <w:sz w:val="20"/>
      <w:szCs w:val="20"/>
    </w:rPr>
  </w:style>
  <w:style w:type="character" w:customStyle="1" w:styleId="CommentTextChar">
    <w:name w:val="Comment Text Char"/>
    <w:basedOn w:val="DefaultParagraphFont"/>
    <w:link w:val="CommentText"/>
    <w:uiPriority w:val="99"/>
    <w:rsid w:val="00EE56E6"/>
    <w:rPr>
      <w:sz w:val="20"/>
      <w:szCs w:val="20"/>
    </w:rPr>
  </w:style>
  <w:style w:type="paragraph" w:styleId="CommentSubject">
    <w:name w:val="annotation subject"/>
    <w:basedOn w:val="CommentText"/>
    <w:next w:val="CommentText"/>
    <w:link w:val="CommentSubjectChar"/>
    <w:uiPriority w:val="99"/>
    <w:semiHidden/>
    <w:unhideWhenUsed/>
    <w:rsid w:val="00EE56E6"/>
    <w:rPr>
      <w:b/>
      <w:bCs/>
    </w:rPr>
  </w:style>
  <w:style w:type="character" w:customStyle="1" w:styleId="CommentSubjectChar">
    <w:name w:val="Comment Subject Char"/>
    <w:basedOn w:val="CommentTextChar"/>
    <w:link w:val="CommentSubject"/>
    <w:uiPriority w:val="99"/>
    <w:semiHidden/>
    <w:rsid w:val="00EE56E6"/>
    <w:rPr>
      <w:b/>
      <w:bCs/>
      <w:sz w:val="20"/>
      <w:szCs w:val="20"/>
    </w:rPr>
  </w:style>
  <w:style w:type="paragraph" w:styleId="FootnoteText">
    <w:name w:val="footnote text"/>
    <w:basedOn w:val="Normal"/>
    <w:link w:val="FootnoteTextChar"/>
    <w:uiPriority w:val="99"/>
    <w:semiHidden/>
    <w:unhideWhenUsed/>
    <w:rsid w:val="0070699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06994"/>
    <w:rPr>
      <w:sz w:val="20"/>
      <w:szCs w:val="20"/>
    </w:rPr>
  </w:style>
  <w:style w:type="character" w:styleId="FootnoteReference">
    <w:name w:val="footnote reference"/>
    <w:basedOn w:val="DefaultParagraphFont"/>
    <w:uiPriority w:val="99"/>
    <w:semiHidden/>
    <w:unhideWhenUsed/>
    <w:rsid w:val="00706994"/>
    <w:rPr>
      <w:vertAlign w:val="superscript"/>
    </w:rPr>
  </w:style>
  <w:style w:type="character" w:styleId="Mention">
    <w:name w:val="Mention"/>
    <w:basedOn w:val="DefaultParagraphFont"/>
    <w:uiPriority w:val="99"/>
    <w:unhideWhenUsed/>
    <w:rsid w:val="00CD4857"/>
    <w:rPr>
      <w:color w:val="2B579A"/>
      <w:shd w:val="clear" w:color="auto" w:fill="E1DFDD"/>
    </w:rPr>
  </w:style>
  <w:style w:type="paragraph" w:customStyle="1" w:styleId="pf0">
    <w:name w:val="pf0"/>
    <w:basedOn w:val="Normal"/>
    <w:rsid w:val="005670B1"/>
    <w:pPr>
      <w:spacing w:before="100" w:beforeAutospacing="1" w:after="100" w:afterAutospacing="1" w:line="240" w:lineRule="auto"/>
      <w:jc w:val="left"/>
    </w:pPr>
    <w:rPr>
      <w:rFonts w:ascii="Times New Roman" w:eastAsia="Times New Roman" w:hAnsi="Times New Roman" w:cs="Times New Roman"/>
      <w:kern w:val="0"/>
      <w:sz w:val="24"/>
      <w:lang w:eastAsia="pt-BR"/>
      <w14:ligatures w14:val="none"/>
    </w:rPr>
  </w:style>
  <w:style w:type="character" w:customStyle="1" w:styleId="cf01">
    <w:name w:val="cf01"/>
    <w:basedOn w:val="DefaultParagraphFont"/>
    <w:rsid w:val="005670B1"/>
    <w:rPr>
      <w:rFonts w:ascii="Segoe UI" w:hAnsi="Segoe UI" w:cs="Segoe UI" w:hint="default"/>
      <w:sz w:val="18"/>
      <w:szCs w:val="18"/>
    </w:rPr>
  </w:style>
  <w:style w:type="character" w:styleId="Emphasis">
    <w:name w:val="Emphasis"/>
    <w:basedOn w:val="DefaultParagraphFont"/>
    <w:uiPriority w:val="20"/>
    <w:qFormat/>
    <w:rsid w:val="002877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mas.pa.gov.br/redd/carbono/"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file:///C://Users/Elisa/Downloads/1756485738900_2025.08.25%20REDD%20Methodology%20V%203.0-3.pdf" TargetMode="External"/><Relationship Id="rId2" Type="http://schemas.openxmlformats.org/officeDocument/2006/relationships/hyperlink" Target="https://verra.org/wp-content/uploads/2023/11/VM0048-Reducing-Emissions-from-Deforestation-and-Forest-Degradation-v1.0-1-1.pdf" TargetMode="External"/><Relationship Id="rId1" Type="http://schemas.openxmlformats.org/officeDocument/2006/relationships/hyperlink" Target="https://www.artredd.org/wp-content/uploads/2021/12/TREES-2.0-August-2021-Clean.pdf" TargetMode="External"/><Relationship Id="rId5" Type="http://schemas.openxmlformats.org/officeDocument/2006/relationships/hyperlink" Target="https://unfccc.int/documents/637562" TargetMode="External"/><Relationship Id="rId4" Type="http://schemas.openxmlformats.org/officeDocument/2006/relationships/hyperlink" Target="https://icvcm.org/wp-content/uploads/2024/02/CCP-Section-4-V1.1-FINAL-15May24.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mes xmlns="ea4fc30a-bd6e-4bdc-9475-bd1b19e6c618">
      <UserInfo>
        <DisplayName/>
        <AccountId xsi:nil="true"/>
        <AccountType/>
      </UserInfo>
    </nmes>
    <q5m9 xmlns="ea4fc30a-bd6e-4bdc-9475-bd1b19e6c618">
      <UserInfo>
        <DisplayName/>
        <AccountId xsi:nil="true"/>
        <AccountType/>
      </UserInfo>
    </q5m9>
    <Comment xmlns="ea4fc30a-bd6e-4bdc-9475-bd1b19e6c618" xsi:nil="true"/>
    <lcf76f155ced4ddcb4097134ff3c332f xmlns="ea4fc30a-bd6e-4bdc-9475-bd1b19e6c618">
      <Terms xmlns="http://schemas.microsoft.com/office/infopath/2007/PartnerControls"/>
    </lcf76f155ced4ddcb4097134ff3c332f>
    <Project_x0020_title xmlns="ea4fc30a-bd6e-4bdc-9475-bd1b19e6c618" xsi:nil="true"/>
    <TaxCatchAll xmlns="9825ada1-3a22-4410-bad4-eceff850fb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3A0A76287508479D122D93764077C3" ma:contentTypeVersion="23" ma:contentTypeDescription="Create a new document." ma:contentTypeScope="" ma:versionID="7403d4a2fdd8005654880d9676c3f245">
  <xsd:schema xmlns:xsd="http://www.w3.org/2001/XMLSchema" xmlns:xs="http://www.w3.org/2001/XMLSchema" xmlns:p="http://schemas.microsoft.com/office/2006/metadata/properties" xmlns:ns2="ea4fc30a-bd6e-4bdc-9475-bd1b19e6c618" xmlns:ns3="9825ada1-3a22-4410-bad4-eceff850fb68" targetNamespace="http://schemas.microsoft.com/office/2006/metadata/properties" ma:root="true" ma:fieldsID="2b1d5596bf403f04efd60d17eea236a9" ns2:_="" ns3:_="">
    <xsd:import namespace="ea4fc30a-bd6e-4bdc-9475-bd1b19e6c618"/>
    <xsd:import namespace="9825ada1-3a22-4410-bad4-eceff850f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Comment" minOccurs="0"/>
                <xsd:element ref="ns2:MediaServiceSearchProperties" minOccurs="0"/>
                <xsd:element ref="ns2:Project_x0020_title" minOccurs="0"/>
                <xsd:element ref="ns2:q5m9" minOccurs="0"/>
                <xsd:element ref="ns2:nm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fc30a-bd6e-4bdc-9475-bd1b19e6c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a6f9d36-78c2-42a0-aec4-6b7ba91fb5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Project_x0020_title" ma:index="27" nillable="true" ma:displayName="Project title" ma:internalName="Project_x0020_title">
      <xsd:simpleType>
        <xsd:restriction base="dms:Text">
          <xsd:maxLength value="255"/>
        </xsd:restriction>
      </xsd:simpleType>
    </xsd:element>
    <xsd:element name="q5m9" ma:index="28" nillable="true" ma:displayName="Person or Group" ma:list="UserInfo" ma:internalName="q5m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mes" ma:index="29" nillable="true" ma:displayName="Person or Group" ma:list="UserInfo" ma:internalName="nm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25ada1-3a22-4410-bad4-eceff850fb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2d55dd0-9d38-4d30-9833-8960a5ba7c3f}" ma:internalName="TaxCatchAll" ma:showField="CatchAllData" ma:web="9825ada1-3a22-4410-bad4-eceff850f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BAEA3C-1501-455C-BFDB-F6067B1C466C}">
  <ds:schemaRefs>
    <ds:schemaRef ds:uri="http://schemas.openxmlformats.org/officeDocument/2006/bibliography"/>
  </ds:schemaRefs>
</ds:datastoreItem>
</file>

<file path=customXml/itemProps2.xml><?xml version="1.0" encoding="utf-8"?>
<ds:datastoreItem xmlns:ds="http://schemas.openxmlformats.org/officeDocument/2006/customXml" ds:itemID="{43719D91-167A-4518-9B82-DBEBA272BAD8}">
  <ds:schemaRefs>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 ds:uri="http://schemas.microsoft.com/office/2006/metadata/properties"/>
    <ds:schemaRef ds:uri="http://schemas.openxmlformats.org/package/2006/metadata/core-properties"/>
    <ds:schemaRef ds:uri="9825ada1-3a22-4410-bad4-eceff850fb68"/>
    <ds:schemaRef ds:uri="ea4fc30a-bd6e-4bdc-9475-bd1b19e6c618"/>
  </ds:schemaRefs>
</ds:datastoreItem>
</file>

<file path=customXml/itemProps3.xml><?xml version="1.0" encoding="utf-8"?>
<ds:datastoreItem xmlns:ds="http://schemas.openxmlformats.org/officeDocument/2006/customXml" ds:itemID="{3D20E6D7-2958-4F81-B2F5-AA041985E94E}"/>
</file>

<file path=customXml/itemProps4.xml><?xml version="1.0" encoding="utf-8"?>
<ds:datastoreItem xmlns:ds="http://schemas.openxmlformats.org/officeDocument/2006/customXml" ds:itemID="{4E838E9F-A626-4806-94B5-5D50B3A0B1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1305</Words>
  <Characters>7444</Characters>
  <Application>Microsoft Office Word</Application>
  <DocSecurity>4</DocSecurity>
  <Lines>62</Lines>
  <Paragraphs>17</Paragraphs>
  <ScaleCrop>false</ScaleCrop>
  <Company/>
  <LinksUpToDate>false</LinksUpToDate>
  <CharactersWithSpaces>8732</CharactersWithSpaces>
  <SharedDoc>false</SharedDoc>
  <HLinks>
    <vt:vector size="36" baseType="variant">
      <vt:variant>
        <vt:i4>5177364</vt:i4>
      </vt:variant>
      <vt:variant>
        <vt:i4>0</vt:i4>
      </vt:variant>
      <vt:variant>
        <vt:i4>0</vt:i4>
      </vt:variant>
      <vt:variant>
        <vt:i4>5</vt:i4>
      </vt:variant>
      <vt:variant>
        <vt:lpwstr>https://www.semas.pa.gov.br/redd/carbono/</vt:lpwstr>
      </vt:variant>
      <vt:variant>
        <vt:lpwstr/>
      </vt:variant>
      <vt:variant>
        <vt:i4>2228349</vt:i4>
      </vt:variant>
      <vt:variant>
        <vt:i4>12</vt:i4>
      </vt:variant>
      <vt:variant>
        <vt:i4>0</vt:i4>
      </vt:variant>
      <vt:variant>
        <vt:i4>5</vt:i4>
      </vt:variant>
      <vt:variant>
        <vt:lpwstr>https://unfccc.int/documents/637562</vt:lpwstr>
      </vt:variant>
      <vt:variant>
        <vt:lpwstr/>
      </vt:variant>
      <vt:variant>
        <vt:i4>5505088</vt:i4>
      </vt:variant>
      <vt:variant>
        <vt:i4>9</vt:i4>
      </vt:variant>
      <vt:variant>
        <vt:i4>0</vt:i4>
      </vt:variant>
      <vt:variant>
        <vt:i4>5</vt:i4>
      </vt:variant>
      <vt:variant>
        <vt:lpwstr>https://icvcm.org/wp-content/uploads/2024/02/CCP-Section-4-V1.1-FINAL-15May24.pdf</vt:lpwstr>
      </vt:variant>
      <vt:variant>
        <vt:lpwstr/>
      </vt:variant>
      <vt:variant>
        <vt:i4>3932189</vt:i4>
      </vt:variant>
      <vt:variant>
        <vt:i4>6</vt:i4>
      </vt:variant>
      <vt:variant>
        <vt:i4>0</vt:i4>
      </vt:variant>
      <vt:variant>
        <vt:i4>5</vt:i4>
      </vt:variant>
      <vt:variant>
        <vt:lpwstr>C:\Users\Elisa\Downloads\1756485738900_2025.08.25 REDD Methodology V 3.0-3.pdf</vt:lpwstr>
      </vt:variant>
      <vt:variant>
        <vt:lpwstr/>
      </vt:variant>
      <vt:variant>
        <vt:i4>786434</vt:i4>
      </vt:variant>
      <vt:variant>
        <vt:i4>3</vt:i4>
      </vt:variant>
      <vt:variant>
        <vt:i4>0</vt:i4>
      </vt:variant>
      <vt:variant>
        <vt:i4>5</vt:i4>
      </vt:variant>
      <vt:variant>
        <vt:lpwstr>https://verra.org/wp-content/uploads/2023/11/VM0048-Reducing-Emissions-from-Deforestation-and-Forest-Degradation-v1.0-1-1.pdf</vt:lpwstr>
      </vt:variant>
      <vt:variant>
        <vt:lpwstr/>
      </vt:variant>
      <vt:variant>
        <vt:i4>6422576</vt:i4>
      </vt:variant>
      <vt:variant>
        <vt:i4>0</vt:i4>
      </vt:variant>
      <vt:variant>
        <vt:i4>0</vt:i4>
      </vt:variant>
      <vt:variant>
        <vt:i4>5</vt:i4>
      </vt:variant>
      <vt:variant>
        <vt:lpwstr>https://www.artredd.org/wp-content/uploads/2021/12/TREES-2.0-August-2021-Clean.pdf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Guida</dc:creator>
  <cp:keywords/>
  <dc:description/>
  <cp:lastModifiedBy>Guest User</cp:lastModifiedBy>
  <cp:revision>24</cp:revision>
  <cp:lastPrinted>2025-09-24T22:12:00Z</cp:lastPrinted>
  <dcterms:created xsi:type="dcterms:W3CDTF">2025-09-24T22:10:00Z</dcterms:created>
  <dcterms:modified xsi:type="dcterms:W3CDTF">2025-10-06T14:22:00Z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0x010100FD3A0A76287508479D122D93764077C3</vt:lpwstr>
  </property>
  <property fmtid="{D5CDD505-2E9C-101B-9397-08002B2CF9AE}" pid="3" name="MediaServiceImageTags">
    <vt:lpwstr/>
  </property>
</Properties>
</file>