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AE77" w14:textId="2852C911" w:rsidR="0068517A" w:rsidRPr="009320FB" w:rsidRDefault="00390E5C">
      <w:pPr>
        <w:rPr>
          <w:b/>
          <w:bCs/>
          <w:lang w:val="en-US"/>
        </w:rPr>
      </w:pPr>
      <w:r>
        <w:rPr>
          <w:b/>
          <w:bCs/>
          <w:lang w:val="en-US"/>
        </w:rPr>
        <w:t xml:space="preserve">BRAZIL </w:t>
      </w:r>
      <w:r w:rsidR="007B20A3" w:rsidRPr="009320FB">
        <w:rPr>
          <w:b/>
          <w:bCs/>
          <w:lang w:val="en-US"/>
        </w:rPr>
        <w:t>ETS AT A GLANCE</w:t>
      </w:r>
    </w:p>
    <w:tbl>
      <w:tblPr>
        <w:tblStyle w:val="TableGrid"/>
        <w:tblW w:w="9634" w:type="dxa"/>
        <w:tblLook w:val="04A0" w:firstRow="1" w:lastRow="0" w:firstColumn="1" w:lastColumn="0" w:noHBand="0" w:noVBand="1"/>
      </w:tblPr>
      <w:tblGrid>
        <w:gridCol w:w="2972"/>
        <w:gridCol w:w="6662"/>
      </w:tblGrid>
      <w:tr w:rsidR="000A5DD8" w:rsidRPr="000A5DD8" w14:paraId="4C72D235" w14:textId="489CEBF7" w:rsidTr="00AB54FC">
        <w:tc>
          <w:tcPr>
            <w:tcW w:w="2972" w:type="dxa"/>
          </w:tcPr>
          <w:p w14:paraId="2A7B04C5" w14:textId="4033B490" w:rsidR="000A5DD8" w:rsidRPr="000A5DD8" w:rsidRDefault="000A5DD8" w:rsidP="000A2EA2">
            <w:pPr>
              <w:rPr>
                <w:lang w:val="en-US"/>
              </w:rPr>
            </w:pPr>
            <w:bookmarkStart w:id="0" w:name="_Hlk200978773"/>
            <w:r w:rsidRPr="000A5DD8">
              <w:rPr>
                <w:lang w:val="en-US"/>
              </w:rPr>
              <w:t xml:space="preserve">Years in operation </w:t>
            </w:r>
          </w:p>
        </w:tc>
        <w:tc>
          <w:tcPr>
            <w:tcW w:w="6662" w:type="dxa"/>
          </w:tcPr>
          <w:p w14:paraId="16357089" w14:textId="44AEDF6B" w:rsidR="004B60B7" w:rsidRPr="004B60B7" w:rsidRDefault="004B60B7" w:rsidP="004B60B7">
            <w:r w:rsidRPr="004B60B7">
              <w:t>The Brazilian ETS (SBCE</w:t>
            </w:r>
            <w:r>
              <w:t>,</w:t>
            </w:r>
            <w:r w:rsidRPr="004B60B7">
              <w:t xml:space="preserve"> in Portuguese), approved 2024, will be implemented in five major phases:</w:t>
            </w:r>
          </w:p>
          <w:p w14:paraId="4ED7753C" w14:textId="77777777" w:rsidR="00CD12AD" w:rsidRPr="004B60B7" w:rsidRDefault="00CD12AD" w:rsidP="00CD12AD"/>
          <w:p w14:paraId="331327E4" w14:textId="539DD6FB" w:rsidR="00CD12AD" w:rsidRDefault="00A819EF" w:rsidP="00AB54FC">
            <w:pPr>
              <w:pStyle w:val="ListParagraph"/>
              <w:numPr>
                <w:ilvl w:val="0"/>
                <w:numId w:val="3"/>
              </w:numPr>
            </w:pPr>
            <w:r>
              <w:rPr>
                <w:lang w:val="en-US"/>
              </w:rPr>
              <w:t xml:space="preserve">Phase 1: </w:t>
            </w:r>
            <w:r w:rsidR="00F242A6">
              <w:rPr>
                <w:lang w:val="en-US"/>
              </w:rPr>
              <w:t>Initial r</w:t>
            </w:r>
            <w:proofErr w:type="spellStart"/>
            <w:r w:rsidR="00F242A6" w:rsidRPr="00CD12AD">
              <w:t>egulatory</w:t>
            </w:r>
            <w:proofErr w:type="spellEnd"/>
            <w:r w:rsidR="00CD12AD" w:rsidRPr="00CD12AD">
              <w:t xml:space="preserve"> setup</w:t>
            </w:r>
            <w:r w:rsidR="00CD12AD">
              <w:t xml:space="preserve"> (</w:t>
            </w:r>
            <w:r w:rsidR="00984A9F">
              <w:t>2025-2026</w:t>
            </w:r>
            <w:r w:rsidR="00CD12AD">
              <w:t>)</w:t>
            </w:r>
            <w:r w:rsidR="00CD12AD" w:rsidRPr="00CD12AD">
              <w:t xml:space="preserve"> </w:t>
            </w:r>
          </w:p>
          <w:p w14:paraId="7A3115DA" w14:textId="5447907C" w:rsidR="00CD12AD" w:rsidRDefault="00A819EF" w:rsidP="00AB54FC">
            <w:pPr>
              <w:pStyle w:val="ListParagraph"/>
              <w:numPr>
                <w:ilvl w:val="0"/>
                <w:numId w:val="3"/>
              </w:numPr>
            </w:pPr>
            <w:r>
              <w:rPr>
                <w:lang w:val="en-US"/>
              </w:rPr>
              <w:t xml:space="preserve">Phase 2: </w:t>
            </w:r>
            <w:r w:rsidR="00F242A6">
              <w:t>M</w:t>
            </w:r>
            <w:r w:rsidR="00F242A6" w:rsidRPr="00F242A6">
              <w:t>RV system operationalization</w:t>
            </w:r>
            <w:r w:rsidR="00F242A6">
              <w:t xml:space="preserve"> (</w:t>
            </w:r>
            <w:r w:rsidR="00984A9F">
              <w:t>202</w:t>
            </w:r>
            <w:r w:rsidR="006B4D69">
              <w:t>6</w:t>
            </w:r>
            <w:r w:rsidR="00F242A6">
              <w:t>)</w:t>
            </w:r>
          </w:p>
          <w:p w14:paraId="65179A0E" w14:textId="0102DEE2" w:rsidR="00CD12AD" w:rsidRDefault="00A819EF" w:rsidP="00AB54FC">
            <w:pPr>
              <w:pStyle w:val="ListParagraph"/>
              <w:numPr>
                <w:ilvl w:val="0"/>
                <w:numId w:val="3"/>
              </w:numPr>
            </w:pPr>
            <w:r>
              <w:rPr>
                <w:lang w:val="en-US"/>
              </w:rPr>
              <w:t xml:space="preserve">Phase 3: </w:t>
            </w:r>
            <w:r w:rsidR="00F242A6" w:rsidRPr="00F242A6">
              <w:t xml:space="preserve">Mandatory </w:t>
            </w:r>
            <w:r w:rsidR="00F242A6">
              <w:t>e</w:t>
            </w:r>
            <w:r w:rsidR="00CD12AD" w:rsidRPr="00CD12AD">
              <w:t>missions reporting and monitoring plans</w:t>
            </w:r>
            <w:r w:rsidR="00CD12AD">
              <w:t xml:space="preserve"> (</w:t>
            </w:r>
            <w:r w:rsidR="00984A9F">
              <w:t>202</w:t>
            </w:r>
            <w:r w:rsidR="006B4D69">
              <w:t>7</w:t>
            </w:r>
            <w:r w:rsidR="00984A9F">
              <w:t>-202</w:t>
            </w:r>
            <w:r w:rsidR="006B4D69">
              <w:t>8</w:t>
            </w:r>
            <w:r w:rsidR="00CD12AD">
              <w:t>)</w:t>
            </w:r>
          </w:p>
          <w:p w14:paraId="18E2D160" w14:textId="484892CF" w:rsidR="00CD12AD" w:rsidRDefault="00A819EF" w:rsidP="00AB54FC">
            <w:pPr>
              <w:pStyle w:val="ListParagraph"/>
              <w:numPr>
                <w:ilvl w:val="0"/>
                <w:numId w:val="3"/>
              </w:numPr>
            </w:pPr>
            <w:r>
              <w:rPr>
                <w:lang w:val="en-US"/>
              </w:rPr>
              <w:t xml:space="preserve">Phase 4: </w:t>
            </w:r>
            <w:r w:rsidR="00984A9F">
              <w:t>Pilot phase: f</w:t>
            </w:r>
            <w:r w:rsidR="00CD12AD" w:rsidRPr="00CD12AD">
              <w:t>irst allocation cycle and</w:t>
            </w:r>
            <w:r w:rsidR="00F242A6">
              <w:t xml:space="preserve"> initial</w:t>
            </w:r>
            <w:r w:rsidR="00CD12AD" w:rsidRPr="00CD12AD">
              <w:t xml:space="preserve"> trading</w:t>
            </w:r>
            <w:r w:rsidR="00CD12AD">
              <w:t xml:space="preserve"> </w:t>
            </w:r>
            <w:r w:rsidR="002A7726">
              <w:t>*</w:t>
            </w:r>
          </w:p>
          <w:p w14:paraId="373661E6" w14:textId="4C13711D" w:rsidR="00CD12AD" w:rsidRDefault="00A819EF" w:rsidP="00AB54FC">
            <w:pPr>
              <w:pStyle w:val="ListParagraph"/>
              <w:numPr>
                <w:ilvl w:val="0"/>
                <w:numId w:val="3"/>
              </w:numPr>
            </w:pPr>
            <w:r>
              <w:rPr>
                <w:lang w:val="en-US"/>
              </w:rPr>
              <w:t xml:space="preserve">Phase 5: </w:t>
            </w:r>
            <w:r w:rsidR="00CD12AD" w:rsidRPr="00CD12AD">
              <w:t>Full market operation</w:t>
            </w:r>
            <w:r w:rsidR="002A7726">
              <w:t>**</w:t>
            </w:r>
          </w:p>
          <w:p w14:paraId="05D5B588" w14:textId="77777777" w:rsidR="00CD12AD" w:rsidRDefault="00CD12AD" w:rsidP="000A2EA2"/>
          <w:p w14:paraId="422EDBDB" w14:textId="46003E41" w:rsidR="000A5DD8" w:rsidRDefault="002A7726" w:rsidP="002A7726">
            <w:pPr>
              <w:rPr>
                <w:lang w:val="en-US"/>
              </w:rPr>
            </w:pPr>
            <w:r>
              <w:rPr>
                <w:lang w:val="en-US"/>
              </w:rPr>
              <w:t>* F</w:t>
            </w:r>
            <w:proofErr w:type="spellStart"/>
            <w:r w:rsidRPr="002A7726">
              <w:t>irst</w:t>
            </w:r>
            <w:proofErr w:type="spellEnd"/>
            <w:r w:rsidRPr="002A7726">
              <w:t xml:space="preserve"> National Allocation Plan</w:t>
            </w:r>
            <w:r>
              <w:t xml:space="preserve"> (</w:t>
            </w:r>
            <w:r w:rsidR="008D088C">
              <w:t xml:space="preserve">NAP, </w:t>
            </w:r>
            <w:r w:rsidRPr="002A7726">
              <w:t>minimum 12 months duration</w:t>
            </w:r>
            <w:r>
              <w:t>).</w:t>
            </w:r>
          </w:p>
          <w:p w14:paraId="471540D7" w14:textId="619DA9C1" w:rsidR="002A7726" w:rsidRPr="002A7726" w:rsidRDefault="002A7726" w:rsidP="002A7726">
            <w:pPr>
              <w:rPr>
                <w:lang w:val="en-US"/>
              </w:rPr>
            </w:pPr>
            <w:r>
              <w:rPr>
                <w:lang w:val="en-US"/>
              </w:rPr>
              <w:t xml:space="preserve">** </w:t>
            </w:r>
            <w:r w:rsidRPr="002A7726">
              <w:t xml:space="preserve">Begins after the conclusion of the first </w:t>
            </w:r>
            <w:r w:rsidR="006F4810">
              <w:t>NAP</w:t>
            </w:r>
            <w:r>
              <w:t xml:space="preserve">. </w:t>
            </w:r>
          </w:p>
        </w:tc>
      </w:tr>
      <w:tr w:rsidR="000A5DD8" w:rsidRPr="000A5DD8" w14:paraId="0041B349" w14:textId="513D5602" w:rsidTr="00AB54FC">
        <w:tc>
          <w:tcPr>
            <w:tcW w:w="2972" w:type="dxa"/>
          </w:tcPr>
          <w:p w14:paraId="6BF71085" w14:textId="1C83F22A" w:rsidR="000A5DD8" w:rsidRPr="000A5DD8" w:rsidRDefault="000A5DD8" w:rsidP="000A2EA2">
            <w:pPr>
              <w:rPr>
                <w:lang w:val="en-US"/>
              </w:rPr>
            </w:pPr>
            <w:r w:rsidRPr="000A5DD8">
              <w:rPr>
                <w:lang w:val="en-US"/>
              </w:rPr>
              <w:t>Overall cap</w:t>
            </w:r>
            <w:r w:rsidR="0050182B">
              <w:rPr>
                <w:lang w:val="en-US"/>
              </w:rPr>
              <w:t xml:space="preserve"> &amp; </w:t>
            </w:r>
            <w:r w:rsidR="007D3788">
              <w:rPr>
                <w:lang w:val="en-US"/>
              </w:rPr>
              <w:t>trajectory</w:t>
            </w:r>
          </w:p>
        </w:tc>
        <w:tc>
          <w:tcPr>
            <w:tcW w:w="6662" w:type="dxa"/>
          </w:tcPr>
          <w:p w14:paraId="420D8E7C" w14:textId="2E4B5F0D" w:rsidR="002A7726" w:rsidRPr="00AB54FC" w:rsidRDefault="002A7726" w:rsidP="002A7726">
            <w:pPr>
              <w:rPr>
                <w:vanish/>
                <w:lang w:val="en-US"/>
              </w:rPr>
            </w:pPr>
            <w:r w:rsidRPr="00633EF4">
              <w:rPr>
                <w:lang w:val="en-US"/>
              </w:rPr>
              <w:t>Cap</w:t>
            </w:r>
            <w:r w:rsidR="0089479A" w:rsidRPr="00633EF4">
              <w:rPr>
                <w:lang w:val="en-US"/>
              </w:rPr>
              <w:t xml:space="preserve"> to be</w:t>
            </w:r>
            <w:r w:rsidRPr="00633EF4">
              <w:rPr>
                <w:lang w:val="en-US"/>
              </w:rPr>
              <w:t xml:space="preserve"> defined </w:t>
            </w:r>
            <w:r w:rsidR="00154896" w:rsidRPr="00633EF4">
              <w:rPr>
                <w:lang w:val="en-US"/>
              </w:rPr>
              <w:t>by</w:t>
            </w:r>
            <w:r w:rsidRPr="00633EF4">
              <w:rPr>
                <w:lang w:val="en-US"/>
              </w:rPr>
              <w:t xml:space="preserve"> the </w:t>
            </w:r>
            <w:r w:rsidR="006F4810" w:rsidRPr="00633EF4">
              <w:rPr>
                <w:lang w:val="en-US"/>
              </w:rPr>
              <w:t>NAP</w:t>
            </w:r>
            <w:r w:rsidRPr="00633EF4">
              <w:rPr>
                <w:lang w:val="en-US"/>
              </w:rPr>
              <w:t xml:space="preserve">, approved at least 12 months before each cycle, </w:t>
            </w:r>
            <w:r w:rsidR="00154896" w:rsidRPr="00633EF4">
              <w:t xml:space="preserve">adopting a </w:t>
            </w:r>
            <w:r w:rsidR="006F4810" w:rsidRPr="00633EF4">
              <w:t>progressive path</w:t>
            </w:r>
            <w:r w:rsidR="00154896" w:rsidRPr="00AB54FC">
              <w:t xml:space="preserve"> to estimate</w:t>
            </w:r>
            <w:r w:rsidR="00154896" w:rsidRPr="00633EF4">
              <w:rPr>
                <w:lang w:val="en-US"/>
              </w:rPr>
              <w:t xml:space="preserve"> two future compliance periods.</w:t>
            </w:r>
          </w:p>
          <w:p w14:paraId="39197400" w14:textId="3768F12A" w:rsidR="002A7726" w:rsidRPr="00633EF4" w:rsidRDefault="002A7726" w:rsidP="000A2EA2">
            <w:pPr>
              <w:rPr>
                <w:lang w:val="en-US"/>
              </w:rPr>
            </w:pPr>
          </w:p>
        </w:tc>
      </w:tr>
      <w:tr w:rsidR="000A5DD8" w:rsidRPr="00633EF4" w14:paraId="34172893" w14:textId="21290434" w:rsidTr="00AB54FC">
        <w:tc>
          <w:tcPr>
            <w:tcW w:w="2972" w:type="dxa"/>
          </w:tcPr>
          <w:p w14:paraId="73879976" w14:textId="77777777" w:rsidR="000A5DD8" w:rsidRPr="000A5DD8" w:rsidRDefault="000A5DD8" w:rsidP="000A2EA2">
            <w:pPr>
              <w:rPr>
                <w:lang w:val="en-US"/>
              </w:rPr>
            </w:pPr>
            <w:r w:rsidRPr="000A5DD8">
              <w:rPr>
                <w:lang w:val="en-US"/>
              </w:rPr>
              <w:t>Target(s)</w:t>
            </w:r>
          </w:p>
        </w:tc>
        <w:tc>
          <w:tcPr>
            <w:tcW w:w="6662" w:type="dxa"/>
          </w:tcPr>
          <w:p w14:paraId="0ED0FCB8" w14:textId="655D855D" w:rsidR="00CC7CF6" w:rsidRDefault="00CC7CF6" w:rsidP="000A2EA2">
            <w:pPr>
              <w:rPr>
                <w:lang w:val="en-US"/>
              </w:rPr>
            </w:pPr>
            <w:r w:rsidRPr="00CC7CF6">
              <w:rPr>
                <w:lang w:val="en-US"/>
              </w:rPr>
              <w:t xml:space="preserve">In line with Brazil’s National Policy on Climate Change (PNMC) and </w:t>
            </w:r>
            <w:r w:rsidR="00DF223A" w:rsidRPr="00DF223A">
              <w:rPr>
                <w:lang w:val="en-US"/>
              </w:rPr>
              <w:t>the commitments assumed under the</w:t>
            </w:r>
            <w:r w:rsidR="00DF223A">
              <w:rPr>
                <w:lang w:val="en-US"/>
              </w:rPr>
              <w:t xml:space="preserve"> UNFCCC</w:t>
            </w:r>
            <w:r w:rsidR="000E3C66">
              <w:rPr>
                <w:lang w:val="en-US"/>
              </w:rPr>
              <w:t>.</w:t>
            </w:r>
          </w:p>
          <w:p w14:paraId="5832174F" w14:textId="77777777" w:rsidR="001F3F0B" w:rsidRDefault="001F3F0B" w:rsidP="000A2EA2">
            <w:pPr>
              <w:rPr>
                <w:lang w:val="en-US"/>
              </w:rPr>
            </w:pPr>
          </w:p>
          <w:p w14:paraId="53D3AB1A" w14:textId="1D8B03ED" w:rsidR="001F3F0B" w:rsidRDefault="001F3F0B" w:rsidP="000A2EA2">
            <w:r w:rsidRPr="001F3F0B">
              <w:t xml:space="preserve">The SBCE is conceived as a </w:t>
            </w:r>
            <w:r w:rsidRPr="00AB54FC">
              <w:t>key policy tool to support Brazil’s NDC</w:t>
            </w:r>
            <w:r>
              <w:t xml:space="preserve">, </w:t>
            </w:r>
            <w:r w:rsidRPr="001F3F0B">
              <w:t>offering a potential mechanism to provide price signals and compliance incentives for emissions reductions in carbon-intensive sectors.</w:t>
            </w:r>
            <w:r>
              <w:t xml:space="preserve"> The Brazilian NDC is currently structured as follows: </w:t>
            </w:r>
          </w:p>
          <w:p w14:paraId="20770EA2" w14:textId="1595F018" w:rsidR="001F3F0B" w:rsidRPr="00AB54FC" w:rsidRDefault="001F3F0B" w:rsidP="001F3F0B">
            <w:pPr>
              <w:pStyle w:val="ListParagraph"/>
              <w:numPr>
                <w:ilvl w:val="0"/>
                <w:numId w:val="7"/>
              </w:numPr>
              <w:rPr>
                <w:lang w:val="en-US"/>
              </w:rPr>
            </w:pPr>
            <w:r w:rsidRPr="00AB54FC">
              <w:t>By 2030: 1.2 G</w:t>
            </w:r>
            <w:r>
              <w:t>t</w:t>
            </w:r>
            <w:r w:rsidRPr="00FE3FA3">
              <w:t>CO</w:t>
            </w:r>
            <w:r w:rsidRPr="00FE3FA3">
              <w:rPr>
                <w:vertAlign w:val="subscript"/>
              </w:rPr>
              <w:t>2</w:t>
            </w:r>
            <w:r>
              <w:t>e</w:t>
            </w:r>
            <w:r w:rsidRPr="00AB54FC">
              <w:t xml:space="preserve"> (53.1% below 2005) (2030 NDC) </w:t>
            </w:r>
          </w:p>
          <w:p w14:paraId="2AB5E850" w14:textId="38D9977D" w:rsidR="001F3F0B" w:rsidRPr="00AB54FC" w:rsidRDefault="001F3F0B" w:rsidP="001F3F0B">
            <w:pPr>
              <w:pStyle w:val="ListParagraph"/>
              <w:numPr>
                <w:ilvl w:val="0"/>
                <w:numId w:val="7"/>
              </w:numPr>
              <w:rPr>
                <w:lang w:val="en-US"/>
              </w:rPr>
            </w:pPr>
            <w:r w:rsidRPr="00AB54FC">
              <w:t>By 2035: between 850 MtCO</w:t>
            </w:r>
            <w:r w:rsidRPr="00AB54FC">
              <w:rPr>
                <w:vertAlign w:val="subscript"/>
              </w:rPr>
              <w:t>2</w:t>
            </w:r>
            <w:r>
              <w:t>e</w:t>
            </w:r>
            <w:r w:rsidRPr="00AB54FC">
              <w:t xml:space="preserve"> and 1.05 G</w:t>
            </w:r>
            <w:r>
              <w:t>t</w:t>
            </w:r>
            <w:r w:rsidRPr="00FE3FA3">
              <w:t>CO</w:t>
            </w:r>
            <w:r w:rsidRPr="00FE3FA3">
              <w:rPr>
                <w:vertAlign w:val="subscript"/>
              </w:rPr>
              <w:t>2</w:t>
            </w:r>
            <w:r>
              <w:t>e</w:t>
            </w:r>
          </w:p>
          <w:p w14:paraId="4061A265" w14:textId="32751E3E" w:rsidR="001F3F0B" w:rsidRPr="00AB54FC" w:rsidRDefault="001F3F0B" w:rsidP="001F3F0B">
            <w:pPr>
              <w:pStyle w:val="ListParagraph"/>
              <w:numPr>
                <w:ilvl w:val="0"/>
                <w:numId w:val="7"/>
              </w:numPr>
              <w:rPr>
                <w:lang w:val="en-US"/>
              </w:rPr>
            </w:pPr>
            <w:r w:rsidRPr="00AB54FC">
              <w:t>By 2050: Long-term objective to achieve climate neutrality by 2050 (</w:t>
            </w:r>
            <w:r w:rsidR="008D088C">
              <w:t xml:space="preserve">stated in the </w:t>
            </w:r>
            <w:r w:rsidRPr="00AB54FC">
              <w:t>2030 NDC)</w:t>
            </w:r>
            <w:r>
              <w:t>.</w:t>
            </w:r>
          </w:p>
          <w:p w14:paraId="45917AF8" w14:textId="38665314" w:rsidR="001F3F0B" w:rsidRPr="001F3F0B" w:rsidRDefault="001F3F0B" w:rsidP="001F3F0B">
            <w:pPr>
              <w:rPr>
                <w:lang w:val="en-US"/>
              </w:rPr>
            </w:pPr>
            <w:r w:rsidRPr="001F3F0B">
              <w:t xml:space="preserve">The law and current regulation do </w:t>
            </w:r>
            <w:r w:rsidRPr="00AB54FC">
              <w:t>not yet explicitly define</w:t>
            </w:r>
            <w:r w:rsidRPr="001F3F0B">
              <w:t xml:space="preserve"> the </w:t>
            </w:r>
            <w:r w:rsidRPr="00AB54FC">
              <w:t>quantitative or structural role</w:t>
            </w:r>
            <w:r w:rsidRPr="001F3F0B">
              <w:t xml:space="preserve"> the SBCE will play in meeting the country's NDC targets.</w:t>
            </w:r>
          </w:p>
          <w:p w14:paraId="3D930E17" w14:textId="05B608A1" w:rsidR="00DF223A" w:rsidRPr="00AB54FC" w:rsidRDefault="00DF223A" w:rsidP="001F3F0B"/>
        </w:tc>
      </w:tr>
      <w:tr w:rsidR="00CB4609" w:rsidRPr="000A5DD8" w14:paraId="6C0447B0" w14:textId="77777777" w:rsidTr="00AB54FC">
        <w:tc>
          <w:tcPr>
            <w:tcW w:w="2972" w:type="dxa"/>
          </w:tcPr>
          <w:p w14:paraId="6735B13C" w14:textId="051E5078" w:rsidR="00CB4609" w:rsidRPr="000A5DD8" w:rsidRDefault="00CB4609" w:rsidP="000A2EA2">
            <w:pPr>
              <w:rPr>
                <w:lang w:val="en-US"/>
              </w:rPr>
            </w:pPr>
            <w:r>
              <w:rPr>
                <w:lang w:val="en-US"/>
              </w:rPr>
              <w:t>Emissions reduced to date</w:t>
            </w:r>
          </w:p>
        </w:tc>
        <w:tc>
          <w:tcPr>
            <w:tcW w:w="66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5"/>
            </w:tblGrid>
            <w:tr w:rsidR="00154896" w:rsidRPr="00154896" w14:paraId="7BCA501F" w14:textId="77777777" w:rsidTr="00154896">
              <w:trPr>
                <w:tblCellSpacing w:w="15" w:type="dxa"/>
              </w:trPr>
              <w:tc>
                <w:tcPr>
                  <w:tcW w:w="0" w:type="auto"/>
                  <w:vAlign w:val="center"/>
                  <w:hideMark/>
                </w:tcPr>
                <w:p w14:paraId="37ACD092" w14:textId="6BC73C61" w:rsidR="00154896" w:rsidRPr="00AB54FC" w:rsidRDefault="00154896" w:rsidP="00154896">
                  <w:pPr>
                    <w:spacing w:after="0" w:line="240" w:lineRule="auto"/>
                    <w:rPr>
                      <w:lang w:val="en-US"/>
                    </w:rPr>
                  </w:pPr>
                  <w:r w:rsidRPr="00AB54FC">
                    <w:rPr>
                      <w:lang w:val="en-US"/>
                    </w:rPr>
                    <w:t xml:space="preserve">Not applicable </w:t>
                  </w:r>
                  <w:r>
                    <w:rPr>
                      <w:lang w:val="en-US"/>
                    </w:rPr>
                    <w:t>(</w:t>
                  </w:r>
                  <w:r w:rsidRPr="00AB54FC">
                    <w:rPr>
                      <w:lang w:val="en-US"/>
                    </w:rPr>
                    <w:t>system not yet operational</w:t>
                  </w:r>
                  <w:r>
                    <w:rPr>
                      <w:lang w:val="en-US"/>
                    </w:rPr>
                    <w:t>).</w:t>
                  </w:r>
                </w:p>
              </w:tc>
            </w:tr>
          </w:tbl>
          <w:p w14:paraId="1B70A25C" w14:textId="77777777" w:rsidR="00154896" w:rsidRPr="00AB54FC" w:rsidRDefault="00154896" w:rsidP="00154896">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896" w:rsidRPr="00154896" w14:paraId="75F1682F" w14:textId="77777777" w:rsidTr="00154896">
              <w:trPr>
                <w:tblCellSpacing w:w="15" w:type="dxa"/>
              </w:trPr>
              <w:tc>
                <w:tcPr>
                  <w:tcW w:w="0" w:type="auto"/>
                  <w:vAlign w:val="center"/>
                  <w:hideMark/>
                </w:tcPr>
                <w:p w14:paraId="4B1168E1" w14:textId="77777777" w:rsidR="00154896" w:rsidRPr="00AB54FC" w:rsidRDefault="00154896" w:rsidP="00154896">
                  <w:pPr>
                    <w:spacing w:after="0" w:line="240" w:lineRule="auto"/>
                    <w:rPr>
                      <w:lang w:val="en-US"/>
                    </w:rPr>
                  </w:pPr>
                </w:p>
              </w:tc>
            </w:tr>
          </w:tbl>
          <w:p w14:paraId="11DD25EA" w14:textId="77777777" w:rsidR="00CB4609" w:rsidRDefault="00CB4609" w:rsidP="000A2EA2">
            <w:pPr>
              <w:rPr>
                <w:lang w:val="en-US"/>
              </w:rPr>
            </w:pPr>
          </w:p>
        </w:tc>
      </w:tr>
      <w:tr w:rsidR="000A5DD8" w:rsidRPr="00044EDC" w14:paraId="77FE624D" w14:textId="472B5276" w:rsidTr="00AB54FC">
        <w:tc>
          <w:tcPr>
            <w:tcW w:w="2972" w:type="dxa"/>
          </w:tcPr>
          <w:p w14:paraId="777C560F" w14:textId="77777777" w:rsidR="000A5DD8" w:rsidRPr="000A5DD8" w:rsidRDefault="000A5DD8" w:rsidP="000A2EA2">
            <w:pPr>
              <w:rPr>
                <w:lang w:val="en-US"/>
              </w:rPr>
            </w:pPr>
            <w:r w:rsidRPr="000A5DD8">
              <w:rPr>
                <w:lang w:val="en-US"/>
              </w:rPr>
              <w:t>Sectors covered</w:t>
            </w:r>
          </w:p>
        </w:tc>
        <w:tc>
          <w:tcPr>
            <w:tcW w:w="6662" w:type="dxa"/>
          </w:tcPr>
          <w:p w14:paraId="16112DCB" w14:textId="77777777" w:rsidR="00CC7CF6" w:rsidRPr="00CC7CF6" w:rsidRDefault="00CC7CF6" w:rsidP="00CC7CF6">
            <w:pPr>
              <w:rPr>
                <w:vanish/>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CC7CF6" w:rsidRPr="00044EDC" w14:paraId="7698C2A9" w14:textId="77777777" w:rsidTr="00CC7CF6">
              <w:trPr>
                <w:tblCellSpacing w:w="15" w:type="dxa"/>
              </w:trPr>
              <w:tc>
                <w:tcPr>
                  <w:tcW w:w="0" w:type="auto"/>
                  <w:vAlign w:val="center"/>
                  <w:hideMark/>
                </w:tcPr>
                <w:p w14:paraId="6A6C00F6" w14:textId="179A6587" w:rsidR="00CC7CF6" w:rsidRDefault="001F3F0B" w:rsidP="00CC7CF6">
                  <w:pPr>
                    <w:spacing w:after="0" w:line="240" w:lineRule="auto"/>
                  </w:pPr>
                  <w:r>
                    <w:t>Awaiting complete definition during regulation phase. However, p</w:t>
                  </w:r>
                  <w:r w:rsidR="00473DCC" w:rsidRPr="00AB54FC">
                    <w:t xml:space="preserve">rimary agricultural production and indirect emissions from agricultural inputs are excluded. </w:t>
                  </w:r>
                  <w:r w:rsidR="005C2ABA" w:rsidRPr="005C2ABA">
                    <w:t xml:space="preserve">Facilities in the waste sector may </w:t>
                  </w:r>
                  <w:r w:rsidR="005C2ABA">
                    <w:t xml:space="preserve">also </w:t>
                  </w:r>
                  <w:r w:rsidR="005C2ABA" w:rsidRPr="005C2ABA">
                    <w:t>qualify for exemption</w:t>
                  </w:r>
                  <w:r w:rsidR="005C2ABA">
                    <w:t xml:space="preserve"> </w:t>
                  </w:r>
                  <w:r w:rsidR="005C2ABA" w:rsidRPr="005C2ABA">
                    <w:t>if they employ verifiable emission-neutralization technologies</w:t>
                  </w:r>
                  <w:r w:rsidR="000E3C66">
                    <w:t>.</w:t>
                  </w:r>
                  <w:r>
                    <w:t xml:space="preserve"> Therefore, the economy-wide system shall cover, up to this point, the following sectors: </w:t>
                  </w:r>
                </w:p>
                <w:p w14:paraId="5620F7BD" w14:textId="77777777" w:rsidR="001F3F0B" w:rsidRDefault="001F3F0B" w:rsidP="001F3F0B">
                  <w:pPr>
                    <w:pStyle w:val="ListParagraph"/>
                    <w:numPr>
                      <w:ilvl w:val="0"/>
                      <w:numId w:val="8"/>
                    </w:numPr>
                    <w:spacing w:after="0" w:line="240" w:lineRule="auto"/>
                  </w:pPr>
                  <w:r w:rsidRPr="001F3F0B">
                    <w:t xml:space="preserve">Maritime </w:t>
                  </w:r>
                </w:p>
                <w:p w14:paraId="3C3BD577" w14:textId="77777777" w:rsidR="001F3F0B" w:rsidRDefault="001F3F0B" w:rsidP="001F3F0B">
                  <w:pPr>
                    <w:pStyle w:val="ListParagraph"/>
                    <w:numPr>
                      <w:ilvl w:val="0"/>
                      <w:numId w:val="8"/>
                    </w:numPr>
                    <w:spacing w:after="0" w:line="240" w:lineRule="auto"/>
                  </w:pPr>
                  <w:r w:rsidRPr="001F3F0B">
                    <w:t xml:space="preserve">Mining and extractives </w:t>
                  </w:r>
                </w:p>
                <w:p w14:paraId="6193E422" w14:textId="77777777" w:rsidR="001F3F0B" w:rsidRDefault="001F3F0B" w:rsidP="001F3F0B">
                  <w:pPr>
                    <w:pStyle w:val="ListParagraph"/>
                    <w:numPr>
                      <w:ilvl w:val="0"/>
                      <w:numId w:val="8"/>
                    </w:numPr>
                    <w:spacing w:after="0" w:line="240" w:lineRule="auto"/>
                  </w:pPr>
                  <w:r w:rsidRPr="001F3F0B">
                    <w:t xml:space="preserve">Waste </w:t>
                  </w:r>
                </w:p>
                <w:p w14:paraId="15FF95BA" w14:textId="77777777" w:rsidR="001F3F0B" w:rsidRDefault="001F3F0B" w:rsidP="001F3F0B">
                  <w:pPr>
                    <w:pStyle w:val="ListParagraph"/>
                    <w:numPr>
                      <w:ilvl w:val="0"/>
                      <w:numId w:val="8"/>
                    </w:numPr>
                    <w:spacing w:after="0" w:line="240" w:lineRule="auto"/>
                  </w:pPr>
                  <w:r w:rsidRPr="001F3F0B">
                    <w:t xml:space="preserve">Domestic Aviation </w:t>
                  </w:r>
                </w:p>
                <w:p w14:paraId="0C7853A4" w14:textId="77777777" w:rsidR="001F3F0B" w:rsidRDefault="001F3F0B" w:rsidP="001F3F0B">
                  <w:pPr>
                    <w:pStyle w:val="ListParagraph"/>
                    <w:numPr>
                      <w:ilvl w:val="0"/>
                      <w:numId w:val="8"/>
                    </w:numPr>
                    <w:spacing w:after="0" w:line="240" w:lineRule="auto"/>
                  </w:pPr>
                  <w:r w:rsidRPr="001F3F0B">
                    <w:t>Transport</w:t>
                  </w:r>
                </w:p>
                <w:p w14:paraId="007DC51C" w14:textId="77777777" w:rsidR="001F3F0B" w:rsidRDefault="001F3F0B" w:rsidP="001F3F0B">
                  <w:pPr>
                    <w:pStyle w:val="ListParagraph"/>
                    <w:numPr>
                      <w:ilvl w:val="0"/>
                      <w:numId w:val="8"/>
                    </w:numPr>
                    <w:spacing w:after="0" w:line="240" w:lineRule="auto"/>
                  </w:pPr>
                  <w:r w:rsidRPr="001F3F0B">
                    <w:t xml:space="preserve">Industry </w:t>
                  </w:r>
                </w:p>
                <w:p w14:paraId="2C16827D" w14:textId="5215F442" w:rsidR="00044EDC" w:rsidRPr="00AB54FC" w:rsidRDefault="001F3F0B" w:rsidP="00AB54FC">
                  <w:pPr>
                    <w:pStyle w:val="ListParagraph"/>
                    <w:numPr>
                      <w:ilvl w:val="0"/>
                      <w:numId w:val="8"/>
                    </w:numPr>
                    <w:spacing w:after="0" w:line="240" w:lineRule="auto"/>
                  </w:pPr>
                  <w:r w:rsidRPr="001F3F0B">
                    <w:t>Power</w:t>
                  </w:r>
                  <w:r w:rsidR="008D088C">
                    <w:t xml:space="preserve"> </w:t>
                  </w:r>
                </w:p>
              </w:tc>
            </w:tr>
          </w:tbl>
          <w:p w14:paraId="640745F7" w14:textId="33D44861" w:rsidR="004B73B3" w:rsidRPr="00AB54FC" w:rsidRDefault="004B73B3" w:rsidP="00AB54FC">
            <w:pPr>
              <w:pStyle w:val="ListParagraph"/>
              <w:rPr>
                <w:lang w:val="pt-BR"/>
              </w:rPr>
            </w:pPr>
          </w:p>
        </w:tc>
      </w:tr>
      <w:tr w:rsidR="000A5DD8" w:rsidRPr="000A5DD8" w14:paraId="37A345B8" w14:textId="7970FEA9" w:rsidTr="00AB54FC">
        <w:tc>
          <w:tcPr>
            <w:tcW w:w="2972" w:type="dxa"/>
          </w:tcPr>
          <w:p w14:paraId="750E10B1" w14:textId="77777777" w:rsidR="000A5DD8" w:rsidRPr="000A5DD8" w:rsidRDefault="000A5DD8" w:rsidP="000A2EA2">
            <w:pPr>
              <w:rPr>
                <w:lang w:val="en-US"/>
              </w:rPr>
            </w:pPr>
            <w:r w:rsidRPr="000A5DD8">
              <w:rPr>
                <w:lang w:val="en-US"/>
              </w:rPr>
              <w:t>GHGs covered</w:t>
            </w:r>
          </w:p>
        </w:tc>
        <w:tc>
          <w:tcPr>
            <w:tcW w:w="66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7"/>
            </w:tblGrid>
            <w:tr w:rsidR="00E73B62" w:rsidRPr="00E73B62" w14:paraId="4DF06E05" w14:textId="77777777" w:rsidTr="00E73B62">
              <w:trPr>
                <w:tblCellSpacing w:w="15" w:type="dxa"/>
              </w:trPr>
              <w:tc>
                <w:tcPr>
                  <w:tcW w:w="0" w:type="auto"/>
                  <w:vAlign w:val="center"/>
                  <w:hideMark/>
                </w:tcPr>
                <w:p w14:paraId="1BBA1CD2" w14:textId="2DD84410" w:rsidR="00E73B62" w:rsidRPr="00AB54FC" w:rsidRDefault="00E73B62" w:rsidP="00AB54FC">
                  <w:pPr>
                    <w:rPr>
                      <w:lang w:val="en-US"/>
                    </w:rPr>
                  </w:pPr>
                  <w:r w:rsidRPr="00AB54FC">
                    <w:rPr>
                      <w:lang w:val="en-US"/>
                    </w:rPr>
                    <w:t xml:space="preserve">CO₂, CH₄, N₂O, HFCs, PFCs, SF₆, and others under </w:t>
                  </w:r>
                  <w:r>
                    <w:rPr>
                      <w:lang w:val="en-US"/>
                    </w:rPr>
                    <w:t xml:space="preserve">the </w:t>
                  </w:r>
                  <w:r w:rsidRPr="00E73B62">
                    <w:t>UNFCCC</w:t>
                  </w:r>
                  <w:r w:rsidR="000E3C66">
                    <w:t>.</w:t>
                  </w:r>
                </w:p>
              </w:tc>
            </w:tr>
          </w:tbl>
          <w:p w14:paraId="1BB98578" w14:textId="77777777" w:rsidR="00E73B62" w:rsidRPr="00AB54FC" w:rsidRDefault="00E73B62" w:rsidP="00E73B62">
            <w:pPr>
              <w:pStyle w:val="ListParagraph"/>
              <w:numPr>
                <w:ilvl w:val="0"/>
                <w:numId w:val="2"/>
              </w:numPr>
              <w:rPr>
                <w:vanish/>
                <w:lang w:val="en-US"/>
              </w:rPr>
            </w:pPr>
          </w:p>
          <w:p w14:paraId="7EE6A2BC" w14:textId="1DE20227" w:rsidR="002B3B62" w:rsidRPr="002B3B62" w:rsidRDefault="002B3B62" w:rsidP="00AB54FC">
            <w:pPr>
              <w:ind w:left="360"/>
              <w:rPr>
                <w:lang w:val="en-US"/>
              </w:rPr>
            </w:pPr>
          </w:p>
        </w:tc>
      </w:tr>
      <w:tr w:rsidR="000A5DD8" w:rsidRPr="001F3F0B" w14:paraId="2D95ED86" w14:textId="3E70462A" w:rsidTr="00AB54FC">
        <w:tc>
          <w:tcPr>
            <w:tcW w:w="2972" w:type="dxa"/>
          </w:tcPr>
          <w:p w14:paraId="0DB68195" w14:textId="77777777" w:rsidR="000A5DD8" w:rsidRPr="000A5DD8" w:rsidRDefault="000A5DD8" w:rsidP="000A2EA2">
            <w:pPr>
              <w:rPr>
                <w:lang w:val="en-US"/>
              </w:rPr>
            </w:pPr>
            <w:r w:rsidRPr="000A5DD8">
              <w:rPr>
                <w:lang w:val="en-US"/>
              </w:rPr>
              <w:t># of covered entities</w:t>
            </w:r>
          </w:p>
        </w:tc>
        <w:tc>
          <w:tcPr>
            <w:tcW w:w="66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3DCC" w:rsidRPr="00425342" w14:paraId="2D69632C" w14:textId="77777777" w:rsidTr="00473DCC">
              <w:trPr>
                <w:tblCellSpacing w:w="15" w:type="dxa"/>
              </w:trPr>
              <w:tc>
                <w:tcPr>
                  <w:tcW w:w="0" w:type="auto"/>
                  <w:vAlign w:val="center"/>
                  <w:hideMark/>
                </w:tcPr>
                <w:p w14:paraId="68E82892" w14:textId="77777777" w:rsidR="00473DCC" w:rsidRPr="00425342" w:rsidRDefault="00473DCC" w:rsidP="00473DCC">
                  <w:pPr>
                    <w:spacing w:after="0" w:line="240" w:lineRule="auto"/>
                    <w:rPr>
                      <w:rFonts w:cstheme="minorHAnsi"/>
                      <w:lang w:val="pt-BR"/>
                    </w:rPr>
                  </w:pPr>
                </w:p>
              </w:tc>
            </w:tr>
          </w:tbl>
          <w:p w14:paraId="3F0E6BAC" w14:textId="77777777" w:rsidR="00473DCC" w:rsidRPr="00425342" w:rsidRDefault="00473DCC" w:rsidP="00473DCC">
            <w:pPr>
              <w:rPr>
                <w:rFonts w:cstheme="minorHAnsi"/>
                <w:vanish/>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473DCC" w:rsidRPr="00425342" w14:paraId="2E695963" w14:textId="77777777" w:rsidTr="00473DCC">
              <w:trPr>
                <w:tblCellSpacing w:w="15" w:type="dxa"/>
              </w:trPr>
              <w:tc>
                <w:tcPr>
                  <w:tcW w:w="0" w:type="auto"/>
                  <w:vAlign w:val="center"/>
                  <w:hideMark/>
                </w:tcPr>
                <w:p w14:paraId="417DC767" w14:textId="77777777" w:rsidR="00C03160" w:rsidRPr="00425342" w:rsidRDefault="00473DCC" w:rsidP="00473DCC">
                  <w:pPr>
                    <w:spacing w:after="0" w:line="240" w:lineRule="auto"/>
                    <w:rPr>
                      <w:rFonts w:cstheme="minorHAnsi"/>
                      <w:lang w:val="en-US"/>
                    </w:rPr>
                  </w:pPr>
                  <w:r w:rsidRPr="00425342">
                    <w:rPr>
                      <w:rFonts w:cstheme="minorHAnsi"/>
                      <w:lang w:val="en-US"/>
                    </w:rPr>
                    <w:t>To</w:t>
                  </w:r>
                  <w:r w:rsidRPr="00AB54FC">
                    <w:rPr>
                      <w:rFonts w:cstheme="minorHAnsi"/>
                      <w:lang w:val="en-US"/>
                    </w:rPr>
                    <w:t xml:space="preserve"> be defined </w:t>
                  </w:r>
                  <w:r w:rsidRPr="00425342">
                    <w:rPr>
                      <w:rFonts w:cstheme="minorHAnsi"/>
                      <w:lang w:val="en-US"/>
                    </w:rPr>
                    <w:t>by</w:t>
                  </w:r>
                  <w:r w:rsidRPr="00AB54FC">
                    <w:rPr>
                      <w:rFonts w:cstheme="minorHAnsi"/>
                      <w:lang w:val="en-US"/>
                    </w:rPr>
                    <w:t xml:space="preserve"> regulation</w:t>
                  </w:r>
                  <w:r w:rsidRPr="00425342">
                    <w:rPr>
                      <w:rFonts w:cstheme="minorHAnsi"/>
                      <w:lang w:val="en-US"/>
                    </w:rPr>
                    <w:t xml:space="preserve"> </w:t>
                  </w:r>
                  <w:r w:rsidR="005F35CE" w:rsidRPr="00425342">
                    <w:rPr>
                      <w:rFonts w:cstheme="minorHAnsi"/>
                      <w:lang w:val="en-US"/>
                    </w:rPr>
                    <w:t xml:space="preserve">under the </w:t>
                  </w:r>
                  <w:r w:rsidRPr="00AB54FC">
                    <w:rPr>
                      <w:rFonts w:cstheme="minorHAnsi"/>
                      <w:lang w:val="en-US"/>
                    </w:rPr>
                    <w:t>preliminary thresholds:</w:t>
                  </w:r>
                </w:p>
                <w:p w14:paraId="341CB75D" w14:textId="73DABC9E" w:rsidR="00C03160" w:rsidRPr="00425342" w:rsidRDefault="009A67BA" w:rsidP="00473DCC">
                  <w:pPr>
                    <w:pStyle w:val="ListParagraph"/>
                    <w:numPr>
                      <w:ilvl w:val="0"/>
                      <w:numId w:val="5"/>
                    </w:numPr>
                    <w:spacing w:after="0" w:line="240" w:lineRule="auto"/>
                    <w:rPr>
                      <w:rFonts w:cstheme="minorHAnsi"/>
                      <w:lang w:val="en-US"/>
                    </w:rPr>
                  </w:pPr>
                  <w:r>
                    <w:rPr>
                      <w:rFonts w:cstheme="minorHAnsi"/>
                      <w:lang w:val="en-US"/>
                    </w:rPr>
                    <w:lastRenderedPageBreak/>
                    <w:t xml:space="preserve">Entities emitting between </w:t>
                  </w:r>
                  <w:r w:rsidR="00473DCC" w:rsidRPr="00AB54FC">
                    <w:rPr>
                      <w:rFonts w:cstheme="minorHAnsi"/>
                      <w:lang w:val="en-US"/>
                    </w:rPr>
                    <w:t xml:space="preserve">10,000 </w:t>
                  </w:r>
                  <w:proofErr w:type="spellStart"/>
                  <w:r w:rsidR="00473DCC" w:rsidRPr="00AB54FC">
                    <w:rPr>
                      <w:rFonts w:cstheme="minorHAnsi"/>
                      <w:lang w:val="en-US"/>
                    </w:rPr>
                    <w:t>tCO₂e</w:t>
                  </w:r>
                  <w:proofErr w:type="spellEnd"/>
                  <w:r w:rsidR="00473DCC" w:rsidRPr="00AB54FC">
                    <w:rPr>
                      <w:rFonts w:cstheme="minorHAnsi"/>
                      <w:lang w:val="en-US"/>
                    </w:rPr>
                    <w:t>/year</w:t>
                  </w:r>
                  <w:r>
                    <w:rPr>
                      <w:rFonts w:cstheme="minorHAnsi"/>
                      <w:lang w:val="en-US"/>
                    </w:rPr>
                    <w:t xml:space="preserve"> and </w:t>
                  </w:r>
                  <w:r w:rsidRPr="00AB54FC">
                    <w:rPr>
                      <w:rFonts w:cstheme="minorHAnsi"/>
                      <w:lang w:val="en-US"/>
                    </w:rPr>
                    <w:t xml:space="preserve">25,000 </w:t>
                  </w:r>
                  <w:proofErr w:type="spellStart"/>
                  <w:r w:rsidRPr="00AB54FC">
                    <w:rPr>
                      <w:rFonts w:cstheme="minorHAnsi"/>
                      <w:lang w:val="en-US"/>
                    </w:rPr>
                    <w:t>tCO₂e</w:t>
                  </w:r>
                  <w:proofErr w:type="spellEnd"/>
                  <w:r w:rsidRPr="00AB54FC">
                    <w:rPr>
                      <w:rFonts w:cstheme="minorHAnsi"/>
                      <w:lang w:val="en-US"/>
                    </w:rPr>
                    <w:t>/year</w:t>
                  </w:r>
                  <w:r w:rsidR="00473DCC" w:rsidRPr="00AB54FC">
                    <w:rPr>
                      <w:rFonts w:cstheme="minorHAnsi"/>
                      <w:lang w:val="en-US"/>
                    </w:rPr>
                    <w:t xml:space="preserve"> for MRV </w:t>
                  </w:r>
                  <w:proofErr w:type="gramStart"/>
                  <w:r w:rsidR="00473DCC" w:rsidRPr="00AB54FC">
                    <w:rPr>
                      <w:rFonts w:cstheme="minorHAnsi"/>
                      <w:lang w:val="en-US"/>
                    </w:rPr>
                    <w:t>reporting</w:t>
                  </w:r>
                  <w:r w:rsidR="005F35CE" w:rsidRPr="00425342">
                    <w:rPr>
                      <w:rFonts w:cstheme="minorHAnsi"/>
                      <w:lang w:val="en-US"/>
                    </w:rPr>
                    <w:t>;</w:t>
                  </w:r>
                  <w:proofErr w:type="gramEnd"/>
                  <w:r w:rsidR="00473DCC" w:rsidRPr="00AB54FC">
                    <w:rPr>
                      <w:rFonts w:cstheme="minorHAnsi"/>
                      <w:lang w:val="en-US"/>
                    </w:rPr>
                    <w:t xml:space="preserve"> </w:t>
                  </w:r>
                </w:p>
                <w:p w14:paraId="27457369" w14:textId="40A37C19" w:rsidR="00473DCC" w:rsidRPr="00AB54FC" w:rsidRDefault="009A67BA" w:rsidP="00AB54FC">
                  <w:pPr>
                    <w:pStyle w:val="ListParagraph"/>
                    <w:numPr>
                      <w:ilvl w:val="0"/>
                      <w:numId w:val="5"/>
                    </w:numPr>
                    <w:spacing w:after="0" w:line="240" w:lineRule="auto"/>
                    <w:rPr>
                      <w:rFonts w:cstheme="minorHAnsi"/>
                      <w:lang w:val="en-US"/>
                    </w:rPr>
                  </w:pPr>
                  <w:r>
                    <w:rPr>
                      <w:rFonts w:cstheme="minorHAnsi"/>
                      <w:lang w:val="en-US"/>
                    </w:rPr>
                    <w:t xml:space="preserve">Entities emitting over </w:t>
                  </w:r>
                  <w:r w:rsidR="00473DCC" w:rsidRPr="00AB54FC">
                    <w:rPr>
                      <w:rFonts w:cstheme="minorHAnsi"/>
                      <w:lang w:val="en-US"/>
                    </w:rPr>
                    <w:t xml:space="preserve">25,000 </w:t>
                  </w:r>
                  <w:proofErr w:type="spellStart"/>
                  <w:r w:rsidR="00473DCC" w:rsidRPr="00AB54FC">
                    <w:rPr>
                      <w:rFonts w:cstheme="minorHAnsi"/>
                      <w:lang w:val="en-US"/>
                    </w:rPr>
                    <w:t>tCO₂e</w:t>
                  </w:r>
                  <w:proofErr w:type="spellEnd"/>
                  <w:r w:rsidR="00473DCC" w:rsidRPr="00AB54FC">
                    <w:rPr>
                      <w:rFonts w:cstheme="minorHAnsi"/>
                      <w:lang w:val="en-US"/>
                    </w:rPr>
                    <w:t>/year for full compliance obligations.</w:t>
                  </w:r>
                </w:p>
              </w:tc>
            </w:tr>
          </w:tbl>
          <w:p w14:paraId="2C7CF8D2" w14:textId="0279571B" w:rsidR="000A5DD8" w:rsidRPr="00425342" w:rsidRDefault="00473DCC" w:rsidP="000A2EA2">
            <w:pPr>
              <w:rPr>
                <w:rFonts w:cstheme="minorHAnsi"/>
                <w:lang w:val="en-US"/>
              </w:rPr>
            </w:pPr>
            <w:r w:rsidRPr="00425342" w:rsidDel="00473DCC">
              <w:rPr>
                <w:rFonts w:cstheme="minorHAnsi"/>
                <w:lang w:val="en-US"/>
              </w:rPr>
              <w:lastRenderedPageBreak/>
              <w:t xml:space="preserve"> </w:t>
            </w:r>
          </w:p>
          <w:p w14:paraId="2DEB71EF" w14:textId="449A478A" w:rsidR="006F4810" w:rsidRPr="00AB54FC" w:rsidRDefault="00D0441C" w:rsidP="000A2EA2">
            <w:pPr>
              <w:rPr>
                <w:rFonts w:cstheme="minorHAnsi"/>
              </w:rPr>
            </w:pPr>
            <w:r w:rsidRPr="00425342">
              <w:rPr>
                <w:rFonts w:cstheme="minorHAnsi"/>
              </w:rPr>
              <w:t>Obligations will apply only to activities for which consolidated, robust MRV regulations are available.</w:t>
            </w:r>
          </w:p>
          <w:p w14:paraId="6B841C36" w14:textId="77777777" w:rsidR="006F4810" w:rsidRPr="00AB54FC" w:rsidRDefault="006F4810" w:rsidP="000A2EA2">
            <w:pPr>
              <w:rPr>
                <w:rFonts w:cstheme="minorHAnsi"/>
                <w:lang w:val="en-US"/>
              </w:rPr>
            </w:pPr>
          </w:p>
          <w:p w14:paraId="74408096" w14:textId="03B9457E" w:rsidR="001F3F0B" w:rsidRPr="00AB54FC" w:rsidRDefault="001F3F0B" w:rsidP="000A2EA2">
            <w:pPr>
              <w:rPr>
                <w:rFonts w:cstheme="minorHAnsi"/>
              </w:rPr>
            </w:pPr>
            <w:r w:rsidRPr="00AB54FC">
              <w:rPr>
                <w:rFonts w:cstheme="minorHAnsi"/>
              </w:rPr>
              <w:t>National Allocation Plans should clearly define the level at which caps will be applied, whether to installations, facilities, or economic groups, as this decision has direct implications for environmental integrity, administrative complexity, and cost efficiency.</w:t>
            </w:r>
          </w:p>
        </w:tc>
      </w:tr>
      <w:tr w:rsidR="000A5DD8" w:rsidRPr="000A5DD8" w14:paraId="23ABB290" w14:textId="495820E0" w:rsidTr="00AB54FC">
        <w:tc>
          <w:tcPr>
            <w:tcW w:w="2972" w:type="dxa"/>
          </w:tcPr>
          <w:p w14:paraId="6BC5F097" w14:textId="77777777" w:rsidR="000A5DD8" w:rsidRPr="000A5DD8" w:rsidRDefault="000A5DD8" w:rsidP="000A2EA2">
            <w:pPr>
              <w:rPr>
                <w:lang w:val="en-US"/>
              </w:rPr>
            </w:pPr>
            <w:r w:rsidRPr="000A5DD8">
              <w:rPr>
                <w:lang w:val="en-US"/>
              </w:rPr>
              <w:lastRenderedPageBreak/>
              <w:t>Allocation method</w:t>
            </w:r>
          </w:p>
        </w:tc>
        <w:tc>
          <w:tcPr>
            <w:tcW w:w="6662" w:type="dxa"/>
          </w:tcPr>
          <w:p w14:paraId="1B4A9C36" w14:textId="3E542CC2" w:rsidR="000A5DD8" w:rsidRPr="00425342" w:rsidRDefault="00984CA5" w:rsidP="000A2EA2">
            <w:pPr>
              <w:rPr>
                <w:rFonts w:cstheme="minorHAnsi"/>
              </w:rPr>
            </w:pPr>
            <w:r w:rsidRPr="00425342">
              <w:rPr>
                <w:rFonts w:cstheme="minorHAnsi"/>
              </w:rPr>
              <w:t>Brazilian Emission Quotas (CBEs</w:t>
            </w:r>
            <w:r w:rsidR="009A67BA">
              <w:rPr>
                <w:rFonts w:cstheme="minorHAnsi"/>
              </w:rPr>
              <w:t>, in Portuguese</w:t>
            </w:r>
            <w:r w:rsidRPr="00425342">
              <w:rPr>
                <w:rFonts w:cstheme="minorHAnsi"/>
              </w:rPr>
              <w:t xml:space="preserve">) will be </w:t>
            </w:r>
            <w:r w:rsidR="00483DB6" w:rsidRPr="00425342">
              <w:rPr>
                <w:rFonts w:cstheme="minorHAnsi"/>
              </w:rPr>
              <w:t xml:space="preserve">allocated </w:t>
            </w:r>
            <w:r w:rsidR="00C03160" w:rsidRPr="00425342">
              <w:rPr>
                <w:rFonts w:cstheme="minorHAnsi"/>
              </w:rPr>
              <w:t>through</w:t>
            </w:r>
            <w:r w:rsidR="00483DB6" w:rsidRPr="00425342">
              <w:rPr>
                <w:rFonts w:cstheme="minorHAnsi"/>
              </w:rPr>
              <w:t xml:space="preserve"> free distribution</w:t>
            </w:r>
            <w:r w:rsidR="009C07CB">
              <w:rPr>
                <w:rFonts w:cstheme="minorHAnsi"/>
              </w:rPr>
              <w:t xml:space="preserve"> (especially during initial phases)</w:t>
            </w:r>
            <w:r w:rsidRPr="00425342">
              <w:rPr>
                <w:rFonts w:cstheme="minorHAnsi"/>
              </w:rPr>
              <w:t xml:space="preserve">, auctions or other </w:t>
            </w:r>
            <w:r w:rsidR="00C03160" w:rsidRPr="00425342">
              <w:rPr>
                <w:rFonts w:cstheme="minorHAnsi"/>
              </w:rPr>
              <w:t>paid mechanisms</w:t>
            </w:r>
            <w:r w:rsidR="00CC0D1B" w:rsidRPr="00425342">
              <w:rPr>
                <w:rFonts w:cstheme="minorHAnsi"/>
              </w:rPr>
              <w:t xml:space="preserve"> </w:t>
            </w:r>
            <w:r w:rsidRPr="00425342">
              <w:rPr>
                <w:rFonts w:cstheme="minorHAnsi"/>
              </w:rPr>
              <w:t xml:space="preserve">with caps defined in the </w:t>
            </w:r>
            <w:r w:rsidR="006F4810" w:rsidRPr="00425342">
              <w:rPr>
                <w:rFonts w:cstheme="minorHAnsi"/>
              </w:rPr>
              <w:t>NAP</w:t>
            </w:r>
            <w:r w:rsidRPr="00425342">
              <w:rPr>
                <w:rFonts w:cstheme="minorHAnsi"/>
              </w:rPr>
              <w:t xml:space="preserve">. </w:t>
            </w:r>
            <w:r w:rsidR="00483DB6" w:rsidRPr="00425342">
              <w:rPr>
                <w:rFonts w:cstheme="minorHAnsi"/>
              </w:rPr>
              <w:t xml:space="preserve"> </w:t>
            </w:r>
          </w:p>
          <w:p w14:paraId="54F212DB" w14:textId="13CC86AB" w:rsidR="00C03160" w:rsidRPr="00425342" w:rsidRDefault="00C03160" w:rsidP="000A2EA2">
            <w:pPr>
              <w:rPr>
                <w:rFonts w:cstheme="minorHAnsi"/>
                <w:lang w:val="en-US"/>
              </w:rPr>
            </w:pPr>
          </w:p>
        </w:tc>
      </w:tr>
      <w:tr w:rsidR="00596150" w:rsidRPr="000A5DD8" w14:paraId="6D507E82" w14:textId="77777777" w:rsidTr="000E3C66">
        <w:tc>
          <w:tcPr>
            <w:tcW w:w="2972" w:type="dxa"/>
          </w:tcPr>
          <w:p w14:paraId="2956C905" w14:textId="18A31B2A" w:rsidR="00596150" w:rsidRPr="000A5DD8" w:rsidRDefault="00596150" w:rsidP="000A2EA2">
            <w:pPr>
              <w:rPr>
                <w:lang w:val="en-US"/>
              </w:rPr>
            </w:pPr>
            <w:r>
              <w:rPr>
                <w:lang w:val="en-US"/>
              </w:rPr>
              <w:t>Administrating Entity</w:t>
            </w:r>
          </w:p>
        </w:tc>
        <w:tc>
          <w:tcPr>
            <w:tcW w:w="6662" w:type="dxa"/>
          </w:tcPr>
          <w:p w14:paraId="016A7D2B" w14:textId="7C0538D4" w:rsidR="00596150" w:rsidRPr="00425342" w:rsidRDefault="00EF0399" w:rsidP="000A2EA2">
            <w:pPr>
              <w:rPr>
                <w:rFonts w:cstheme="minorHAnsi"/>
              </w:rPr>
            </w:pPr>
            <w:r>
              <w:rPr>
                <w:rFonts w:cstheme="minorHAnsi"/>
              </w:rPr>
              <w:t>Interministerial Committee on Climate Change (CIM</w:t>
            </w:r>
            <w:r w:rsidR="00660053">
              <w:rPr>
                <w:rFonts w:cstheme="minorHAnsi"/>
              </w:rPr>
              <w:t>, in Portuguese</w:t>
            </w:r>
            <w:r>
              <w:rPr>
                <w:rFonts w:cstheme="minorHAnsi"/>
              </w:rPr>
              <w:t xml:space="preserve">) </w:t>
            </w:r>
          </w:p>
        </w:tc>
      </w:tr>
      <w:tr w:rsidR="004B7E20" w:rsidRPr="000A5DD8" w14:paraId="6E2D6EE8" w14:textId="77777777" w:rsidTr="000E3C66">
        <w:tc>
          <w:tcPr>
            <w:tcW w:w="2972" w:type="dxa"/>
          </w:tcPr>
          <w:p w14:paraId="54CCD6FA" w14:textId="7CA561A9" w:rsidR="004B7E20" w:rsidRDefault="004B7E20" w:rsidP="000A2EA2">
            <w:pPr>
              <w:rPr>
                <w:lang w:val="en-US"/>
              </w:rPr>
            </w:pPr>
            <w:r>
              <w:rPr>
                <w:lang w:val="en-US"/>
              </w:rPr>
              <w:t>Main Legal Instrument</w:t>
            </w:r>
          </w:p>
        </w:tc>
        <w:tc>
          <w:tcPr>
            <w:tcW w:w="6662" w:type="dxa"/>
          </w:tcPr>
          <w:p w14:paraId="516015B4" w14:textId="02CEE0A3" w:rsidR="004B7E20" w:rsidRDefault="004B7E20" w:rsidP="000A2EA2">
            <w:pPr>
              <w:rPr>
                <w:rFonts w:cstheme="minorHAnsi"/>
              </w:rPr>
            </w:pPr>
            <w:r>
              <w:rPr>
                <w:rFonts w:cstheme="minorHAnsi"/>
              </w:rPr>
              <w:t>Federal Law No. 15,042/2024</w:t>
            </w:r>
          </w:p>
        </w:tc>
      </w:tr>
      <w:tr w:rsidR="000A5DD8" w:rsidRPr="000A5DD8" w14:paraId="24526B27" w14:textId="3A67605B" w:rsidTr="00AB54FC">
        <w:tc>
          <w:tcPr>
            <w:tcW w:w="2972" w:type="dxa"/>
          </w:tcPr>
          <w:p w14:paraId="32DEC2EF" w14:textId="77777777" w:rsidR="000A5DD8" w:rsidRDefault="000D7AFF" w:rsidP="000A2EA2">
            <w:pPr>
              <w:rPr>
                <w:lang w:val="en-US"/>
              </w:rPr>
            </w:pPr>
            <w:r w:rsidRPr="006525A3">
              <w:rPr>
                <w:lang w:val="en-US"/>
              </w:rPr>
              <w:t>Trading</w:t>
            </w:r>
            <w:r w:rsidR="000A5DD8" w:rsidRPr="006525A3">
              <w:rPr>
                <w:lang w:val="en-US"/>
              </w:rPr>
              <w:t xml:space="preserve"> rules </w:t>
            </w:r>
          </w:p>
          <w:p w14:paraId="2F27B6E7" w14:textId="77777777" w:rsidR="00044EDC" w:rsidRDefault="00044EDC" w:rsidP="000A2EA2">
            <w:pPr>
              <w:rPr>
                <w:lang w:val="en-US"/>
              </w:rPr>
            </w:pPr>
          </w:p>
          <w:p w14:paraId="0CEE12C3" w14:textId="1F79C5D5" w:rsidR="00044EDC" w:rsidRPr="00AB54FC" w:rsidRDefault="00044EDC" w:rsidP="000A2EA2">
            <w:pPr>
              <w:rPr>
                <w:lang w:val="pt-BR"/>
              </w:rPr>
            </w:pPr>
          </w:p>
        </w:tc>
        <w:tc>
          <w:tcPr>
            <w:tcW w:w="6662" w:type="dxa"/>
          </w:tcPr>
          <w:p w14:paraId="676A151A" w14:textId="51ABCB56" w:rsidR="000A5DD8" w:rsidRPr="00AB54FC" w:rsidRDefault="00633EF4" w:rsidP="000A2EA2">
            <w:pPr>
              <w:rPr>
                <w:rFonts w:cstheme="minorHAnsi"/>
              </w:rPr>
            </w:pPr>
            <w:r w:rsidRPr="00AB54FC">
              <w:rPr>
                <w:rFonts w:cstheme="minorHAnsi"/>
              </w:rPr>
              <w:t xml:space="preserve">Currently, as per SBCE law provisions, while the Interministerial Committee on Climate Change is responsible for defining the conditions for authorization, it is the SBCE Managing Body the one responsible for defining methodologies allowed to generate </w:t>
            </w:r>
            <w:proofErr w:type="spellStart"/>
            <w:r w:rsidR="00660053" w:rsidRPr="00AB54FC">
              <w:rPr>
                <w:rFonts w:cstheme="minorHAnsi"/>
                <w:i/>
                <w:iCs/>
              </w:rPr>
              <w:t>Certificado</w:t>
            </w:r>
            <w:proofErr w:type="spellEnd"/>
            <w:r w:rsidR="00660053" w:rsidRPr="00AB54FC">
              <w:rPr>
                <w:rFonts w:cstheme="minorHAnsi"/>
                <w:i/>
                <w:iCs/>
              </w:rPr>
              <w:t xml:space="preserve"> de </w:t>
            </w:r>
            <w:proofErr w:type="spellStart"/>
            <w:r w:rsidR="00660053" w:rsidRPr="00AB54FC">
              <w:rPr>
                <w:rFonts w:cstheme="minorHAnsi"/>
                <w:i/>
                <w:iCs/>
              </w:rPr>
              <w:t>Redução</w:t>
            </w:r>
            <w:proofErr w:type="spellEnd"/>
            <w:r w:rsidR="00660053" w:rsidRPr="00AB54FC">
              <w:rPr>
                <w:rFonts w:cstheme="minorHAnsi"/>
                <w:i/>
                <w:iCs/>
              </w:rPr>
              <w:t xml:space="preserve"> </w:t>
            </w:r>
            <w:proofErr w:type="spellStart"/>
            <w:r w:rsidR="00660053" w:rsidRPr="00AB54FC">
              <w:rPr>
                <w:rFonts w:cstheme="minorHAnsi"/>
                <w:i/>
                <w:iCs/>
              </w:rPr>
              <w:t>ou</w:t>
            </w:r>
            <w:proofErr w:type="spellEnd"/>
            <w:r w:rsidR="00660053" w:rsidRPr="00AB54FC">
              <w:rPr>
                <w:rFonts w:cstheme="minorHAnsi"/>
                <w:i/>
                <w:iCs/>
              </w:rPr>
              <w:t xml:space="preserve"> </w:t>
            </w:r>
            <w:proofErr w:type="spellStart"/>
            <w:r w:rsidR="00660053" w:rsidRPr="00AB54FC">
              <w:rPr>
                <w:rFonts w:cstheme="minorHAnsi"/>
                <w:i/>
                <w:iCs/>
              </w:rPr>
              <w:t>Remoção</w:t>
            </w:r>
            <w:proofErr w:type="spellEnd"/>
            <w:r w:rsidR="00660053" w:rsidRPr="00AB54FC">
              <w:rPr>
                <w:rFonts w:cstheme="minorHAnsi"/>
                <w:i/>
                <w:iCs/>
              </w:rPr>
              <w:t xml:space="preserve"> </w:t>
            </w:r>
            <w:proofErr w:type="spellStart"/>
            <w:r w:rsidR="00660053" w:rsidRPr="00AB54FC">
              <w:rPr>
                <w:rFonts w:cstheme="minorHAnsi"/>
                <w:i/>
                <w:iCs/>
              </w:rPr>
              <w:t>Verificada</w:t>
            </w:r>
            <w:proofErr w:type="spellEnd"/>
            <w:r w:rsidR="00660053" w:rsidRPr="00AB54FC">
              <w:rPr>
                <w:rFonts w:cstheme="minorHAnsi"/>
                <w:i/>
                <w:iCs/>
              </w:rPr>
              <w:t xml:space="preserve"> de </w:t>
            </w:r>
            <w:proofErr w:type="spellStart"/>
            <w:r w:rsidR="00660053" w:rsidRPr="00AB54FC">
              <w:rPr>
                <w:rFonts w:cstheme="minorHAnsi"/>
                <w:i/>
                <w:iCs/>
              </w:rPr>
              <w:t>Emissões</w:t>
            </w:r>
            <w:proofErr w:type="spellEnd"/>
            <w:r w:rsidR="00660053" w:rsidRPr="00AB54FC">
              <w:rPr>
                <w:rFonts w:cstheme="minorHAnsi"/>
                <w:i/>
                <w:iCs/>
              </w:rPr>
              <w:t xml:space="preserve"> </w:t>
            </w:r>
            <w:r w:rsidR="00660053" w:rsidRPr="00425342">
              <w:rPr>
                <w:rFonts w:cstheme="minorHAnsi"/>
              </w:rPr>
              <w:t>(CRVEs)</w:t>
            </w:r>
            <w:r w:rsidRPr="00AB54FC">
              <w:rPr>
                <w:rFonts w:cstheme="minorHAnsi"/>
              </w:rPr>
              <w:t>.</w:t>
            </w:r>
          </w:p>
          <w:p w14:paraId="53D5FEF0" w14:textId="77777777" w:rsidR="00633EF4" w:rsidRPr="00AB54FC" w:rsidRDefault="00633EF4" w:rsidP="000A2EA2">
            <w:pPr>
              <w:rPr>
                <w:rFonts w:cstheme="minorHAnsi"/>
                <w:lang w:val="en-US"/>
              </w:rPr>
            </w:pPr>
          </w:p>
          <w:p w14:paraId="2AE8673D" w14:textId="2F36236E" w:rsidR="00633EF4" w:rsidRPr="00425342" w:rsidRDefault="00633EF4" w:rsidP="000A2EA2">
            <w:pPr>
              <w:rPr>
                <w:rFonts w:cstheme="minorHAnsi"/>
                <w:lang w:val="en-US"/>
              </w:rPr>
            </w:pPr>
            <w:r w:rsidRPr="00425342">
              <w:rPr>
                <w:rFonts w:cstheme="minorHAnsi"/>
              </w:rPr>
              <w:t>Allowances and CRVEs, when traded on financial and capital markets, are securities subject to relevant laws and to the Brazilian Securities and Exchange Commission.</w:t>
            </w:r>
          </w:p>
        </w:tc>
      </w:tr>
      <w:tr w:rsidR="000A5DD8" w:rsidRPr="000A5DD8" w14:paraId="68609DC3" w14:textId="55FFF813" w:rsidTr="00AB54FC">
        <w:tc>
          <w:tcPr>
            <w:tcW w:w="2972" w:type="dxa"/>
          </w:tcPr>
          <w:p w14:paraId="08E5865F" w14:textId="27D7D4ED" w:rsidR="000A5DD8" w:rsidRPr="00633EF4" w:rsidRDefault="000A5DD8" w:rsidP="000A2EA2">
            <w:pPr>
              <w:rPr>
                <w:lang w:val="en-US"/>
              </w:rPr>
            </w:pPr>
            <w:r w:rsidRPr="00633EF4">
              <w:rPr>
                <w:lang w:val="en-US"/>
              </w:rPr>
              <w:t>Use of offsets</w:t>
            </w:r>
            <w:r w:rsidR="00F04E55" w:rsidRPr="00633EF4">
              <w:rPr>
                <w:lang w:val="en-US"/>
              </w:rPr>
              <w:t xml:space="preserve"> and linking</w:t>
            </w:r>
          </w:p>
        </w:tc>
        <w:tc>
          <w:tcPr>
            <w:tcW w:w="6662" w:type="dxa"/>
          </w:tcPr>
          <w:p w14:paraId="64A20FD9" w14:textId="77777777" w:rsidR="006F4810" w:rsidRPr="00633EF4" w:rsidRDefault="005A2CD9" w:rsidP="000A2EA2">
            <w:r w:rsidRPr="00633EF4">
              <w:t xml:space="preserve">CBEs may be used for compliance in the same or future periods, as regulated by the SBCE Management Body and approved in the PNA. </w:t>
            </w:r>
          </w:p>
          <w:p w14:paraId="1D226F18" w14:textId="77777777" w:rsidR="006F4810" w:rsidRPr="00633EF4" w:rsidRDefault="006F4810" w:rsidP="000A2EA2"/>
          <w:p w14:paraId="7D9C5636" w14:textId="359976EB" w:rsidR="000A5DD8" w:rsidRPr="00633EF4" w:rsidRDefault="005A2CD9" w:rsidP="000A2EA2">
            <w:r w:rsidRPr="00633EF4">
              <w:t xml:space="preserve">Use of SBCE assets for voluntary carbon offsetting requires their cancellation in the </w:t>
            </w:r>
            <w:r w:rsidR="00660053">
              <w:t xml:space="preserve">system’s </w:t>
            </w:r>
            <w:r w:rsidRPr="00633EF4">
              <w:t>Central Registry.</w:t>
            </w:r>
          </w:p>
          <w:p w14:paraId="4C427B48" w14:textId="77777777" w:rsidR="006F4810" w:rsidRPr="00633EF4" w:rsidRDefault="006F4810" w:rsidP="000A2EA2"/>
          <w:p w14:paraId="77CED998" w14:textId="77777777" w:rsidR="00F46059" w:rsidRDefault="006F4810" w:rsidP="000A2EA2">
            <w:r w:rsidRPr="00633EF4">
              <w:t xml:space="preserve">Covered entities will be allowed to surrender domestic offset credits to meet part of their compliance obligation. </w:t>
            </w:r>
          </w:p>
          <w:p w14:paraId="69360DB3" w14:textId="707FF45F" w:rsidR="006F4810" w:rsidRDefault="006F4810" w:rsidP="00F46059">
            <w:pPr>
              <w:pStyle w:val="ListParagraph"/>
              <w:numPr>
                <w:ilvl w:val="0"/>
                <w:numId w:val="9"/>
              </w:numPr>
            </w:pPr>
            <w:r w:rsidRPr="00633EF4">
              <w:t xml:space="preserve">Eligible activities are those that make use of methodologies accredited by the SBCE management body (to be determined); verified by an independent entity; and registered in the SBCE Central Registry. Once registered in the SBCE registry as </w:t>
            </w:r>
            <w:r w:rsidR="00633EF4" w:rsidRPr="00AB54FC">
              <w:t>CRVEs,</w:t>
            </w:r>
            <w:r w:rsidRPr="00633EF4">
              <w:t xml:space="preserve"> the offset credits will become eligible for use under the SBCE</w:t>
            </w:r>
            <w:r w:rsidR="00633EF4" w:rsidRPr="00633EF4">
              <w:t>.</w:t>
            </w:r>
          </w:p>
          <w:p w14:paraId="22BFC8C4" w14:textId="00BB2EE2" w:rsidR="00F46059" w:rsidRDefault="00F46059" w:rsidP="00AB54FC">
            <w:pPr>
              <w:pStyle w:val="ListParagraph"/>
              <w:numPr>
                <w:ilvl w:val="0"/>
                <w:numId w:val="9"/>
              </w:numPr>
            </w:pPr>
            <w:r>
              <w:t>No approved independent crediting mechanisms or methodologies so far.</w:t>
            </w:r>
            <w:r w:rsidR="004F0231">
              <w:t xml:space="preserve"> Paris Agreement Crediting Mechanism (PACM) </w:t>
            </w:r>
            <w:r w:rsidR="004067C8">
              <w:t xml:space="preserve">methodologies </w:t>
            </w:r>
            <w:r w:rsidR="004F0231">
              <w:t>expected</w:t>
            </w:r>
            <w:r w:rsidR="004067C8">
              <w:t xml:space="preserve"> to be approved</w:t>
            </w:r>
            <w:r w:rsidR="004F0231">
              <w:t>.</w:t>
            </w:r>
          </w:p>
          <w:p w14:paraId="7DCCDF7D" w14:textId="77777777" w:rsidR="00F8417D" w:rsidRDefault="00F8417D" w:rsidP="000A2EA2">
            <w:pPr>
              <w:rPr>
                <w:lang w:val="en-US"/>
              </w:rPr>
            </w:pPr>
          </w:p>
          <w:p w14:paraId="57DCC964" w14:textId="56A10C02" w:rsidR="00F8417D" w:rsidRPr="00633EF4" w:rsidRDefault="00F8417D" w:rsidP="000A2EA2">
            <w:pPr>
              <w:rPr>
                <w:lang w:val="en-US"/>
              </w:rPr>
            </w:pPr>
            <w:r>
              <w:rPr>
                <w:lang w:val="en-US"/>
              </w:rPr>
              <w:t>Currently not linked to other instruments</w:t>
            </w:r>
            <w:r w:rsidR="004F0231">
              <w:rPr>
                <w:lang w:val="en-US"/>
              </w:rPr>
              <w:t>.</w:t>
            </w:r>
          </w:p>
        </w:tc>
      </w:tr>
      <w:tr w:rsidR="000A5DD8" w:rsidRPr="00633EF4" w14:paraId="244423D9" w14:textId="531DFDA9" w:rsidTr="00AB54FC">
        <w:tc>
          <w:tcPr>
            <w:tcW w:w="2972" w:type="dxa"/>
          </w:tcPr>
          <w:p w14:paraId="5D9124F8" w14:textId="6A6A7369" w:rsidR="000A5DD8" w:rsidRPr="00633EF4" w:rsidRDefault="000A5DD8" w:rsidP="000A2EA2">
            <w:pPr>
              <w:rPr>
                <w:lang w:val="en-US"/>
              </w:rPr>
            </w:pPr>
            <w:r w:rsidRPr="00633EF4">
              <w:rPr>
                <w:lang w:val="en-US"/>
              </w:rPr>
              <w:t xml:space="preserve">Other features </w:t>
            </w:r>
          </w:p>
        </w:tc>
        <w:tc>
          <w:tcPr>
            <w:tcW w:w="6662" w:type="dxa"/>
          </w:tcPr>
          <w:p w14:paraId="4C0D8FBF" w14:textId="77777777" w:rsidR="00633EF4" w:rsidRPr="00AB54FC" w:rsidRDefault="00633EF4" w:rsidP="00633EF4">
            <w:r w:rsidRPr="00AB54FC">
              <w:rPr>
                <w:b/>
                <w:bCs/>
              </w:rPr>
              <w:t>CRVEs and Voluntary/International Use</w:t>
            </w:r>
            <w:r w:rsidRPr="00AB54FC">
              <w:t>:</w:t>
            </w:r>
          </w:p>
          <w:p w14:paraId="3F507EE2" w14:textId="0DD7EF3F" w:rsidR="00633EF4" w:rsidRPr="00AB54FC" w:rsidRDefault="00633EF4" w:rsidP="00633EF4">
            <w:pPr>
              <w:numPr>
                <w:ilvl w:val="0"/>
                <w:numId w:val="6"/>
              </w:numPr>
            </w:pPr>
            <w:r w:rsidRPr="00AB54FC">
              <w:t xml:space="preserve">Carbon credits generated in Brazil and used for </w:t>
            </w:r>
            <w:r w:rsidRPr="00AB54FC">
              <w:rPr>
                <w:b/>
                <w:bCs/>
              </w:rPr>
              <w:t>international transfers of mitigation outcomes</w:t>
            </w:r>
            <w:r w:rsidRPr="00AB54FC">
              <w:t xml:space="preserve"> (under Article 6 of the Paris Agreement) must be registered as </w:t>
            </w:r>
            <w:r w:rsidRPr="00AB54FC">
              <w:rPr>
                <w:b/>
                <w:bCs/>
              </w:rPr>
              <w:t>CRVEs</w:t>
            </w:r>
            <w:r w:rsidRPr="00AB54FC">
              <w:t xml:space="preserve"> in accordance with SBCE rules and require </w:t>
            </w:r>
            <w:r w:rsidRPr="00AB54FC">
              <w:rPr>
                <w:b/>
                <w:bCs/>
              </w:rPr>
              <w:t>prior authorization</w:t>
            </w:r>
            <w:r w:rsidRPr="00AB54FC">
              <w:t xml:space="preserve"> from Brazil’s designated national authority.</w:t>
            </w:r>
          </w:p>
          <w:p w14:paraId="0E207E8B" w14:textId="77777777" w:rsidR="00633EF4" w:rsidRPr="00AB54FC" w:rsidRDefault="00633EF4" w:rsidP="00633EF4">
            <w:pPr>
              <w:numPr>
                <w:ilvl w:val="0"/>
                <w:numId w:val="6"/>
              </w:numPr>
            </w:pPr>
            <w:r w:rsidRPr="00AB54FC">
              <w:lastRenderedPageBreak/>
              <w:t xml:space="preserve">Any use of SBCE assets (including CBEs or CRVEs) for </w:t>
            </w:r>
            <w:r w:rsidRPr="00AB54FC">
              <w:rPr>
                <w:b/>
                <w:bCs/>
              </w:rPr>
              <w:t>voluntary corporate or individual offsetting</w:t>
            </w:r>
            <w:r w:rsidRPr="00AB54FC">
              <w:t xml:space="preserve"> requires their </w:t>
            </w:r>
            <w:r w:rsidRPr="00AB54FC">
              <w:rPr>
                <w:b/>
                <w:bCs/>
              </w:rPr>
              <w:t>permanent cancellation</w:t>
            </w:r>
            <w:r w:rsidRPr="00AB54FC">
              <w:t xml:space="preserve"> in the SBCE’s central registry (Art. 45), ensuring environmental integrity and preventing double counting.</w:t>
            </w:r>
          </w:p>
          <w:p w14:paraId="4099212C" w14:textId="1D9D0604" w:rsidR="000A5DD8" w:rsidRPr="00AB54FC" w:rsidRDefault="000A5DD8" w:rsidP="000A2EA2"/>
        </w:tc>
      </w:tr>
      <w:tr w:rsidR="00B0224B" w:rsidRPr="000A5DD8" w14:paraId="19038F25" w14:textId="37834860" w:rsidTr="00AB54FC">
        <w:tc>
          <w:tcPr>
            <w:tcW w:w="2972" w:type="dxa"/>
          </w:tcPr>
          <w:p w14:paraId="652008EE" w14:textId="03E64CB0" w:rsidR="00B0224B" w:rsidRPr="000A5DD8" w:rsidRDefault="00B0224B" w:rsidP="000A2EA2">
            <w:pPr>
              <w:rPr>
                <w:lang w:val="en-US"/>
              </w:rPr>
            </w:pPr>
            <w:r w:rsidRPr="000A5DD8">
              <w:rPr>
                <w:lang w:val="en-US"/>
              </w:rPr>
              <w:lastRenderedPageBreak/>
              <w:t>Penalties for non-compliance</w:t>
            </w:r>
          </w:p>
        </w:tc>
        <w:tc>
          <w:tcPr>
            <w:tcW w:w="6662" w:type="dxa"/>
          </w:tcPr>
          <w:p w14:paraId="1E5E31F6" w14:textId="100B49B3" w:rsidR="000554AF" w:rsidRDefault="00A819EF" w:rsidP="000554AF">
            <w:r w:rsidRPr="00A819EF">
              <w:t>Entities subject to</w:t>
            </w:r>
            <w:r w:rsidR="000554AF" w:rsidRPr="000554AF">
              <w:t xml:space="preserve"> a range of sanctions, warnings, fines (up to 3% of annual gross revenue, or BRL 20 million for non-corporate entities), public disclosure of infractions, suspension or shutdown of activities, and restrictions on rights such as licenses, financing, or public contracts</w:t>
            </w:r>
            <w:r w:rsidR="000554AF">
              <w:t>.</w:t>
            </w:r>
          </w:p>
          <w:p w14:paraId="427C6D8E" w14:textId="7441F6FF" w:rsidR="000554AF" w:rsidRPr="000A5DD8" w:rsidRDefault="000554AF" w:rsidP="000A2EA2">
            <w:pPr>
              <w:rPr>
                <w:lang w:val="en-US"/>
              </w:rPr>
            </w:pPr>
          </w:p>
        </w:tc>
      </w:tr>
      <w:tr w:rsidR="005E0A35" w:rsidRPr="000A5DD8" w14:paraId="6060FC7E" w14:textId="77777777" w:rsidTr="00AB54FC">
        <w:tc>
          <w:tcPr>
            <w:tcW w:w="2972" w:type="dxa"/>
          </w:tcPr>
          <w:p w14:paraId="1EFBB510" w14:textId="077244FD" w:rsidR="005E0A35" w:rsidRPr="000A5DD8" w:rsidRDefault="009A4FDA" w:rsidP="000A2EA2">
            <w:pPr>
              <w:rPr>
                <w:lang w:val="en-US"/>
              </w:rPr>
            </w:pPr>
            <w:r>
              <w:rPr>
                <w:lang w:val="en-US"/>
              </w:rPr>
              <w:t>Use of revenue</w:t>
            </w:r>
            <w:r w:rsidR="00476ADA">
              <w:rPr>
                <w:lang w:val="en-US"/>
              </w:rPr>
              <w:t>s</w:t>
            </w:r>
          </w:p>
        </w:tc>
        <w:tc>
          <w:tcPr>
            <w:tcW w:w="6662" w:type="dxa"/>
          </w:tcPr>
          <w:p w14:paraId="6FDF2E03" w14:textId="77777777" w:rsidR="00DF223A" w:rsidRDefault="00DF223A" w:rsidP="00DF223A">
            <w:pPr>
              <w:rPr>
                <w:lang w:val="en-US"/>
              </w:rPr>
            </w:pPr>
            <w:r w:rsidRPr="00DF223A">
              <w:rPr>
                <w:lang w:val="en-US"/>
              </w:rPr>
              <w:t>All SBCE revenues must be allocated in the following order of priority:</w:t>
            </w:r>
          </w:p>
          <w:p w14:paraId="1E47E90B" w14:textId="77777777" w:rsidR="00DF223A" w:rsidRPr="00DF223A" w:rsidRDefault="00DF223A" w:rsidP="00DF223A">
            <w:pPr>
              <w:rPr>
                <w:lang w:val="en-US"/>
              </w:rPr>
            </w:pPr>
          </w:p>
          <w:p w14:paraId="1A5CF972" w14:textId="68D055AC" w:rsidR="00DF223A" w:rsidRPr="00DF223A" w:rsidRDefault="00DF223A" w:rsidP="00DF223A">
            <w:pPr>
              <w:pStyle w:val="ListParagraph"/>
              <w:numPr>
                <w:ilvl w:val="0"/>
                <w:numId w:val="4"/>
              </w:numPr>
              <w:rPr>
                <w:lang w:val="en-US"/>
              </w:rPr>
            </w:pPr>
            <w:r w:rsidRPr="00DF223A">
              <w:rPr>
                <w:lang w:val="en-US"/>
              </w:rPr>
              <w:t xml:space="preserve">At least 15% for the </w:t>
            </w:r>
            <w:r>
              <w:rPr>
                <w:lang w:val="en-US"/>
              </w:rPr>
              <w:t xml:space="preserve">system </w:t>
            </w:r>
            <w:r w:rsidRPr="00DF223A">
              <w:rPr>
                <w:lang w:val="en-US"/>
              </w:rPr>
              <w:t xml:space="preserve">operation and </w:t>
            </w:r>
            <w:proofErr w:type="gramStart"/>
            <w:r w:rsidRPr="00DF223A">
              <w:rPr>
                <w:lang w:val="en-US"/>
              </w:rPr>
              <w:t>maintenance;</w:t>
            </w:r>
            <w:proofErr w:type="gramEnd"/>
          </w:p>
          <w:p w14:paraId="7BDA3BF0" w14:textId="401B3577" w:rsidR="00DF223A" w:rsidRPr="00DF223A" w:rsidRDefault="00DF223A" w:rsidP="00DF223A">
            <w:pPr>
              <w:pStyle w:val="ListParagraph"/>
              <w:numPr>
                <w:ilvl w:val="0"/>
                <w:numId w:val="4"/>
              </w:numPr>
              <w:rPr>
                <w:lang w:val="en-US"/>
              </w:rPr>
            </w:pPr>
            <w:r w:rsidRPr="00DF223A">
              <w:rPr>
                <w:lang w:val="en-US"/>
              </w:rPr>
              <w:t>At least 75% to the National Climate Change Fund</w:t>
            </w:r>
            <w:r>
              <w:rPr>
                <w:lang w:val="en-US"/>
              </w:rPr>
              <w:t>,</w:t>
            </w:r>
            <w:r w:rsidRPr="00DF223A">
              <w:rPr>
                <w:lang w:val="en-US"/>
              </w:rPr>
              <w:t xml:space="preserve"> to finance decarbonization investments in regulated activities, sources, and installations, </w:t>
            </w:r>
            <w:r>
              <w:rPr>
                <w:lang w:val="en-US"/>
              </w:rPr>
              <w:t>to be</w:t>
            </w:r>
            <w:r w:rsidRPr="00DF223A">
              <w:rPr>
                <w:lang w:val="en-US"/>
              </w:rPr>
              <w:t xml:space="preserve"> defined by </w:t>
            </w:r>
            <w:proofErr w:type="gramStart"/>
            <w:r w:rsidRPr="00DF223A">
              <w:rPr>
                <w:lang w:val="en-US"/>
              </w:rPr>
              <w:t>regulation;</w:t>
            </w:r>
            <w:proofErr w:type="gramEnd"/>
          </w:p>
          <w:p w14:paraId="395DD92A" w14:textId="2BFC7F0D" w:rsidR="005E0A35" w:rsidRPr="00DF223A" w:rsidRDefault="00DF223A" w:rsidP="00AB54FC">
            <w:pPr>
              <w:pStyle w:val="ListParagraph"/>
              <w:numPr>
                <w:ilvl w:val="0"/>
                <w:numId w:val="4"/>
              </w:numPr>
              <w:rPr>
                <w:lang w:val="en-US"/>
              </w:rPr>
            </w:pPr>
            <w:r w:rsidRPr="00DF223A">
              <w:rPr>
                <w:lang w:val="en-US"/>
              </w:rPr>
              <w:t>At least 5% to compensate traditional communities for conserving native vegetation</w:t>
            </w:r>
            <w:r>
              <w:rPr>
                <w:lang w:val="en-US"/>
              </w:rPr>
              <w:t xml:space="preserve"> </w:t>
            </w:r>
            <w:r w:rsidRPr="00DF223A">
              <w:rPr>
                <w:lang w:val="en-US"/>
              </w:rPr>
              <w:t>and ecosystem services</w:t>
            </w:r>
            <w:r w:rsidR="000E3C66">
              <w:rPr>
                <w:lang w:val="en-US"/>
              </w:rPr>
              <w:t>.</w:t>
            </w:r>
          </w:p>
        </w:tc>
      </w:tr>
      <w:bookmarkEnd w:id="0"/>
    </w:tbl>
    <w:p w14:paraId="55F9521E" w14:textId="58D028BB" w:rsidR="007914E5" w:rsidRDefault="007914E5">
      <w:pPr>
        <w:rPr>
          <w:lang w:val="en-US"/>
        </w:rPr>
      </w:pPr>
    </w:p>
    <w:p w14:paraId="359CD0A7" w14:textId="77777777" w:rsidR="00284D9F" w:rsidRDefault="009D28F9">
      <w:pPr>
        <w:rPr>
          <w:lang w:val="en-US"/>
        </w:rPr>
      </w:pPr>
      <w:r w:rsidRPr="00284D9F">
        <w:rPr>
          <w:b/>
          <w:bCs/>
          <w:lang w:val="en-US"/>
        </w:rPr>
        <w:t>MAJOR DEVELOPMENTS</w:t>
      </w:r>
      <w:r>
        <w:rPr>
          <w:lang w:val="en-US"/>
        </w:rPr>
        <w:t xml:space="preserve"> </w:t>
      </w:r>
    </w:p>
    <w:p w14:paraId="32A9CDDE" w14:textId="1B39BFCB" w:rsidR="00721665" w:rsidRPr="00AB54FC" w:rsidRDefault="00721665" w:rsidP="00AB54FC">
      <w:pPr>
        <w:jc w:val="both"/>
        <w:rPr>
          <w:lang w:val="en-US"/>
        </w:rPr>
      </w:pPr>
      <w:r w:rsidRPr="00AB54FC">
        <w:rPr>
          <w:lang w:val="en-US"/>
        </w:rPr>
        <w:t>In 2024, Brazil took a decisive step by approving Law No. 15.042/2024, which formally establishes a national regulated carbon market</w:t>
      </w:r>
      <w:r w:rsidR="00044EDC">
        <w:rPr>
          <w:lang w:val="en-US"/>
        </w:rPr>
        <w:t>,</w:t>
      </w:r>
      <w:r w:rsidRPr="00AB54FC">
        <w:rPr>
          <w:lang w:val="en-US"/>
        </w:rPr>
        <w:t xml:space="preserve"> known as the Sistema Brasileiro de Comércio de </w:t>
      </w:r>
      <w:proofErr w:type="spellStart"/>
      <w:r w:rsidRPr="00AB54FC">
        <w:rPr>
          <w:lang w:val="en-US"/>
        </w:rPr>
        <w:t>Emissões</w:t>
      </w:r>
      <w:proofErr w:type="spellEnd"/>
      <w:r w:rsidRPr="00AB54FC">
        <w:rPr>
          <w:lang w:val="en-US"/>
        </w:rPr>
        <w:t xml:space="preserve"> (SBCE). This framework provides the legal basis for mandatory emissions trading, robust MRV protocols, penalties for non-compliance, among other key regulatory and operational instruments.</w:t>
      </w:r>
    </w:p>
    <w:p w14:paraId="374B7D57" w14:textId="117F9A34" w:rsidR="00721665" w:rsidRDefault="00721665">
      <w:pPr>
        <w:jc w:val="both"/>
        <w:rPr>
          <w:lang w:val="en-US"/>
        </w:rPr>
      </w:pPr>
      <w:r w:rsidRPr="00AB54FC">
        <w:rPr>
          <w:lang w:val="en-US"/>
        </w:rPr>
        <w:t>Since the beginning of 2025, Brazil has been implementing the first of five planned phases under the SBCE Roadmap. This phase, lasting twelve to twenty-four</w:t>
      </w:r>
      <w:r w:rsidR="00044EDC">
        <w:rPr>
          <w:lang w:val="en-US"/>
        </w:rPr>
        <w:t xml:space="preserve"> </w:t>
      </w:r>
      <w:r w:rsidRPr="00AB54FC">
        <w:rPr>
          <w:lang w:val="en-US"/>
        </w:rPr>
        <w:t>months, is dedicated to setting up the market’s managing authority and establishing clear institutional arrangements for coordination with other relevant agencies, with a transitional body expected to guide this governance architecture in the short term. A technical-scientific advisory committee will provide guidance and ensure transparency throughout this process. Successful completion of this phase will translate the legal framework into clear technical rules for the subsequent implementation of pilot activities and the gradual transition to a fully operational market with binding emissions caps.</w:t>
      </w:r>
    </w:p>
    <w:p w14:paraId="43C8A971" w14:textId="0A1AB20A" w:rsidR="001E6080" w:rsidRPr="00AB54FC" w:rsidRDefault="001E6080" w:rsidP="00AB54FC">
      <w:pPr>
        <w:jc w:val="both"/>
      </w:pPr>
      <w:r w:rsidRPr="00DF53CC">
        <w:t xml:space="preserve">A technically significant mandate under </w:t>
      </w:r>
      <w:r w:rsidRPr="00AB54FC">
        <w:t>Article 56</w:t>
      </w:r>
      <w:r w:rsidRPr="00DF53CC">
        <w:t xml:space="preserve"> of Law 15.042/2024 – later amended by Law 15.076/2024 </w:t>
      </w:r>
      <w:r w:rsidR="00DF53CC" w:rsidRPr="00DF53CC">
        <w:t>–</w:t>
      </w:r>
      <w:r w:rsidR="00DF53CC">
        <w:t xml:space="preserve"> </w:t>
      </w:r>
      <w:r w:rsidRPr="00DF53CC">
        <w:t xml:space="preserve">requires insurers, pension entities, capitalization companies, and legal reinsurers to allocate </w:t>
      </w:r>
      <w:r w:rsidRPr="00AB54FC">
        <w:t>at least 0.5%</w:t>
      </w:r>
      <w:r w:rsidRPr="00DF53CC">
        <w:t xml:space="preserve"> of their annual technical reserves and provisions in environmental asset</w:t>
      </w:r>
      <w:r w:rsidR="00DF53CC" w:rsidRPr="00DF53CC">
        <w:t>s</w:t>
      </w:r>
      <w:r w:rsidR="009D15DF">
        <w:t xml:space="preserve"> (</w:t>
      </w:r>
      <w:r w:rsidR="006C2F25">
        <w:t>namely, those classified as carbon credits, according to the L</w:t>
      </w:r>
      <w:r w:rsidR="009D15DF">
        <w:t>aw)</w:t>
      </w:r>
      <w:r w:rsidR="00DF53CC" w:rsidRPr="00DF53CC">
        <w:t xml:space="preserve"> </w:t>
      </w:r>
      <w:r w:rsidRPr="00DF53CC">
        <w:t xml:space="preserve">or through investment funds earmarked for such assets. This requirement establishes a </w:t>
      </w:r>
      <w:r w:rsidRPr="00AB54FC">
        <w:t>recurring, institutional demand</w:t>
      </w:r>
      <w:r w:rsidRPr="00DF53CC">
        <w:t xml:space="preserve"> stream, with the potential</w:t>
      </w:r>
      <w:r w:rsidR="00122FDA">
        <w:t xml:space="preserve"> to</w:t>
      </w:r>
      <w:r w:rsidRPr="00DF53CC">
        <w:t xml:space="preserve"> </w:t>
      </w:r>
      <w:r w:rsidR="00904046" w:rsidRPr="00BC5209">
        <w:t xml:space="preserve">allocate </w:t>
      </w:r>
      <w:r w:rsidR="00122FDA">
        <w:t>BRL</w:t>
      </w:r>
      <w:r w:rsidR="00904046" w:rsidRPr="00BC5209">
        <w:t>7–9 billion to carbon credits or related funds</w:t>
      </w:r>
      <w:r w:rsidR="00904046">
        <w:t>, according to estimates by</w:t>
      </w:r>
      <w:r w:rsidR="00904046" w:rsidRPr="00BC5209">
        <w:t xml:space="preserve"> SUSEP, the sector's regulatory agency.</w:t>
      </w:r>
      <w:r w:rsidR="00904046">
        <w:t xml:space="preserve"> </w:t>
      </w:r>
      <w:r w:rsidRPr="00DF53CC">
        <w:t>While the sector has raised concerns regarding market liquidity and constitutional compliance, the provision is poised to enhance demand-side stability</w:t>
      </w:r>
      <w:r w:rsidR="00DF53CC">
        <w:t>.</w:t>
      </w:r>
      <w:r w:rsidR="00BC5209">
        <w:t xml:space="preserve"> </w:t>
      </w:r>
    </w:p>
    <w:p w14:paraId="66143537" w14:textId="77777777" w:rsidR="00721665" w:rsidRPr="00AB54FC" w:rsidRDefault="00721665" w:rsidP="00AB54FC">
      <w:pPr>
        <w:jc w:val="both"/>
        <w:rPr>
          <w:lang w:val="en-US"/>
        </w:rPr>
      </w:pPr>
      <w:proofErr w:type="gramStart"/>
      <w:r w:rsidRPr="00AB54FC">
        <w:rPr>
          <w:lang w:val="en-US"/>
        </w:rPr>
        <w:t>Brazil’s</w:t>
      </w:r>
      <w:proofErr w:type="gramEnd"/>
      <w:r w:rsidRPr="00AB54FC">
        <w:rPr>
          <w:lang w:val="en-US"/>
        </w:rPr>
        <w:t xml:space="preserve"> updated Nationally Determined Contribution (NDC) underlines the urgency of operationalizing the SBCE: national emissions are projected to reach approximately 1.32 </w:t>
      </w:r>
      <w:proofErr w:type="spellStart"/>
      <w:r w:rsidRPr="00AB54FC">
        <w:rPr>
          <w:lang w:val="en-US"/>
        </w:rPr>
        <w:t>gigatonnes</w:t>
      </w:r>
      <w:proofErr w:type="spellEnd"/>
      <w:r w:rsidRPr="00AB54FC">
        <w:rPr>
          <w:lang w:val="en-US"/>
        </w:rPr>
        <w:t xml:space="preserve"> CO₂ equivalent in 2025 and must decline to around 1.20 </w:t>
      </w:r>
      <w:proofErr w:type="spellStart"/>
      <w:r w:rsidRPr="00AB54FC">
        <w:rPr>
          <w:lang w:val="en-US"/>
        </w:rPr>
        <w:t>gigatonnes</w:t>
      </w:r>
      <w:proofErr w:type="spellEnd"/>
      <w:r w:rsidRPr="00AB54FC">
        <w:rPr>
          <w:lang w:val="en-US"/>
        </w:rPr>
        <w:t xml:space="preserve"> by 2030, with a conditional pathway to 0.85 </w:t>
      </w:r>
      <w:proofErr w:type="spellStart"/>
      <w:r w:rsidRPr="00AB54FC">
        <w:rPr>
          <w:lang w:val="en-US"/>
        </w:rPr>
        <w:t>gigatonnes</w:t>
      </w:r>
      <w:proofErr w:type="spellEnd"/>
      <w:r w:rsidRPr="00AB54FC">
        <w:rPr>
          <w:lang w:val="en-US"/>
        </w:rPr>
        <w:t xml:space="preserve"> by 2035 if supported by international finance and technology transfer. The regulated market is a central instrument for closing this gap in a cost-effective manner, mobilizing private capital toward high-quality emissions reductions and large-scale low-carbon technologies.</w:t>
      </w:r>
    </w:p>
    <w:p w14:paraId="304A6B2E" w14:textId="674B6CFE" w:rsidR="00721665" w:rsidRPr="00AB54FC" w:rsidRDefault="00721665" w:rsidP="00AB54FC">
      <w:pPr>
        <w:jc w:val="both"/>
        <w:rPr>
          <w:lang w:val="en-US"/>
        </w:rPr>
      </w:pPr>
      <w:r w:rsidRPr="00AB54FC">
        <w:rPr>
          <w:lang w:val="en-US"/>
        </w:rPr>
        <w:lastRenderedPageBreak/>
        <w:t xml:space="preserve">This year’s regulatory push is framed by Brazil’s strategic objective to present concrete progress at COP30, to be hosted in Belém in November 2025. </w:t>
      </w:r>
      <w:r w:rsidR="006842E0" w:rsidRPr="006842E0">
        <w:rPr>
          <w:lang w:val="en-US"/>
        </w:rPr>
        <w:t>Attention will also focus on ensuring interoperability between Brazil’s voluntary and compliance carbon market frameworks, as well as on the mechanisms for linking the domestic system to international carbon markets, particularly through the operationalization of Article 6 of the Paris Agreement.</w:t>
      </w:r>
    </w:p>
    <w:p w14:paraId="246A818E" w14:textId="3B7FC450" w:rsidR="00284D9F" w:rsidRDefault="00721665" w:rsidP="00AB54FC">
      <w:pPr>
        <w:jc w:val="both"/>
        <w:rPr>
          <w:lang w:val="en-US"/>
        </w:rPr>
      </w:pPr>
      <w:r w:rsidRPr="00AB54FC">
        <w:rPr>
          <w:lang w:val="en-US"/>
        </w:rPr>
        <w:t>The full design, milestones, and institutional steps for the SBCE are outlined in the official Roadmap released by the Brazilian government.</w:t>
      </w:r>
    </w:p>
    <w:p w14:paraId="44B773FC" w14:textId="5C1E9EE3" w:rsidR="007914E5" w:rsidRPr="00284D9F" w:rsidRDefault="75B0FACE" w:rsidP="00AB54FC">
      <w:pPr>
        <w:jc w:val="both"/>
        <w:rPr>
          <w:b/>
          <w:bCs/>
          <w:lang w:val="en-US"/>
        </w:rPr>
      </w:pPr>
      <w:r w:rsidRPr="51141612">
        <w:rPr>
          <w:b/>
          <w:bCs/>
          <w:lang w:val="en-US"/>
        </w:rPr>
        <w:t xml:space="preserve">MARKET </w:t>
      </w:r>
      <w:r w:rsidR="009D28F9" w:rsidRPr="51141612">
        <w:rPr>
          <w:b/>
          <w:bCs/>
          <w:lang w:val="en-US"/>
        </w:rPr>
        <w:t>COMMENTARY</w:t>
      </w:r>
    </w:p>
    <w:p w14:paraId="3E969794" w14:textId="3CE77FBB" w:rsidR="00D0441C" w:rsidRDefault="00B31CF5">
      <w:pPr>
        <w:jc w:val="both"/>
        <w:rPr>
          <w:b/>
          <w:bCs/>
        </w:rPr>
      </w:pPr>
      <w:r w:rsidRPr="00B31CF5">
        <w:t>The SBCE’s offset mechanism</w:t>
      </w:r>
      <w:r>
        <w:t xml:space="preserve"> </w:t>
      </w:r>
      <w:r w:rsidRPr="00B31CF5">
        <w:t xml:space="preserve">offers significant potential to channel private sector capital into </w:t>
      </w:r>
      <w:r w:rsidRPr="00B31CF5">
        <w:rPr>
          <w:b/>
          <w:bCs/>
        </w:rPr>
        <w:t>c</w:t>
      </w:r>
      <w:r w:rsidRPr="00AB54FC">
        <w:t>ost-effective natural climate solutions (NCS)</w:t>
      </w:r>
      <w:r w:rsidRPr="00B31CF5">
        <w:t xml:space="preserve"> such as forest conservation, reforestation, agroforestry, and restoration of degraded lands</w:t>
      </w:r>
      <w:r w:rsidR="00BC21BD">
        <w:t xml:space="preserve">, </w:t>
      </w:r>
      <w:r w:rsidR="00BC21BD" w:rsidRPr="00BC21BD">
        <w:t>as well as low-carbon technologies and eligible mitigation activities</w:t>
      </w:r>
      <w:r w:rsidRPr="00B31CF5">
        <w:t>. By allowing regulated entities to partially meet their compliance obligations through the purchase of verified offsets, the system creates a direct financial incentive for investment in emission reductions beyond the industrial core</w:t>
      </w:r>
      <w:r>
        <w:t xml:space="preserve">, </w:t>
      </w:r>
      <w:r w:rsidRPr="00B31CF5">
        <w:t xml:space="preserve">particularly in land-use sectors where mitigation costs are often lower and co-benefits (e.g., biodiversity, water security, local livelihoods) are high. Given Brazil’s vast natural ecosystems and carbon-rich biomes, especially in the Amazon and </w:t>
      </w:r>
      <w:proofErr w:type="spellStart"/>
      <w:r w:rsidRPr="00B31CF5">
        <w:t>Cerrado</w:t>
      </w:r>
      <w:proofErr w:type="spellEnd"/>
      <w:r w:rsidRPr="00B31CF5">
        <w:t>, a well-governed offsets market under the SBCE could unlock large-scale climate finance for</w:t>
      </w:r>
      <w:r w:rsidR="003E7C3C">
        <w:t xml:space="preserve"> both </w:t>
      </w:r>
      <w:r w:rsidR="003E7C3C" w:rsidRPr="003E7C3C">
        <w:t xml:space="preserve">innovative low-carbon production technologies </w:t>
      </w:r>
      <w:r w:rsidR="003E7C3C">
        <w:t>and</w:t>
      </w:r>
      <w:r w:rsidRPr="00B31CF5">
        <w:t xml:space="preserve"> NCS projects, while also supporting the participation of indigenous and traditional communities in the carbon economy</w:t>
      </w:r>
      <w:r>
        <w:t xml:space="preserve">, </w:t>
      </w:r>
      <w:r w:rsidRPr="00B31CF5">
        <w:t>provided that robust safeguards, MRV standards, and benefit-sharing mechanisms are firmly in place.</w:t>
      </w:r>
      <w:r>
        <w:rPr>
          <w:b/>
          <w:bCs/>
        </w:rPr>
        <w:t xml:space="preserve"> </w:t>
      </w:r>
      <w:r w:rsidR="00D0441C" w:rsidRPr="00AB54FC">
        <w:rPr>
          <w:b/>
          <w:bCs/>
        </w:rPr>
        <w:t xml:space="preserve"> </w:t>
      </w:r>
    </w:p>
    <w:p w14:paraId="6A86356E" w14:textId="620015D1" w:rsidR="002672F8" w:rsidRDefault="000C5D50">
      <w:pPr>
        <w:jc w:val="both"/>
      </w:pPr>
      <w:r w:rsidRPr="00AB54FC">
        <w:t>Brazil’s voluntary carbon market is poised to play an increasingly strategic role in global decarbonization efforts, with its vast natural assets, project maturity, and growing policy alignment positioning the country as a key supplier in the years ahead.  Below are the</w:t>
      </w:r>
      <w:r w:rsidR="002672F8" w:rsidRPr="00AB54FC">
        <w:t xml:space="preserve"> projected voluntary carbon credit issuances in Brazil by project sector through 2050</w:t>
      </w:r>
      <w:r w:rsidRPr="00AB54FC">
        <w:t>,</w:t>
      </w:r>
      <w:r w:rsidR="002672F8" w:rsidRPr="00AB54FC">
        <w:t xml:space="preserve"> aggregat</w:t>
      </w:r>
      <w:r w:rsidRPr="00AB54FC">
        <w:t>ing</w:t>
      </w:r>
      <w:r w:rsidR="002672F8" w:rsidRPr="00AB54FC">
        <w:t xml:space="preserve"> data from 11 major standards—including Verra (VCS), CDM, ART, </w:t>
      </w:r>
      <w:proofErr w:type="spellStart"/>
      <w:r w:rsidR="002672F8" w:rsidRPr="00AB54FC">
        <w:t>Cercarbono</w:t>
      </w:r>
      <w:proofErr w:type="spellEnd"/>
      <w:r w:rsidR="002672F8" w:rsidRPr="00AB54FC">
        <w:t xml:space="preserve">, and others—as well as unregistered carbon dioxide removal (CDR) projects. </w:t>
      </w:r>
      <w:r w:rsidRPr="00AB54FC">
        <w:t>T</w:t>
      </w:r>
      <w:r w:rsidR="002672F8" w:rsidRPr="00AB54FC">
        <w:t xml:space="preserve">he forecast is standard-agnostic and based on </w:t>
      </w:r>
      <w:proofErr w:type="spellStart"/>
      <w:r w:rsidR="002672F8" w:rsidRPr="00AB54FC">
        <w:t>modeled</w:t>
      </w:r>
      <w:proofErr w:type="spellEnd"/>
      <w:r w:rsidR="002672F8" w:rsidRPr="00AB54FC">
        <w:t xml:space="preserve"> market dynamics</w:t>
      </w:r>
      <w:r w:rsidRPr="00AB54FC">
        <w:t xml:space="preserve">. </w:t>
      </w:r>
    </w:p>
    <w:p w14:paraId="5ABA06C4" w14:textId="77777777" w:rsidR="00850B84" w:rsidRDefault="00850B84" w:rsidP="00AB54FC">
      <w:pPr>
        <w:keepNext/>
        <w:jc w:val="both"/>
      </w:pPr>
      <w:r>
        <w:rPr>
          <w:noProof/>
        </w:rPr>
        <w:drawing>
          <wp:inline distT="0" distB="0" distL="0" distR="0" wp14:anchorId="16BB1642" wp14:editId="33A0D4EF">
            <wp:extent cx="5575935" cy="3520932"/>
            <wp:effectExtent l="0" t="0" r="5715" b="3810"/>
            <wp:docPr id="87266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3041" cy="3531734"/>
                    </a:xfrm>
                    <a:prstGeom prst="rect">
                      <a:avLst/>
                    </a:prstGeom>
                    <a:noFill/>
                  </pic:spPr>
                </pic:pic>
              </a:graphicData>
            </a:graphic>
          </wp:inline>
        </w:drawing>
      </w:r>
    </w:p>
    <w:p w14:paraId="70C03815" w14:textId="0ED5AF29" w:rsidR="00850B84" w:rsidRDefault="00850B84" w:rsidP="00AB54FC">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Total Forecast Issuances in the Voluntary Carbon Market in Brazil, by project sector.</w:t>
      </w:r>
    </w:p>
    <w:p w14:paraId="65C4B802" w14:textId="00525030" w:rsidR="00850B84" w:rsidRPr="00850B84" w:rsidRDefault="00850B84" w:rsidP="00AB54FC">
      <w:pPr>
        <w:pStyle w:val="Caption"/>
        <w:jc w:val="center"/>
      </w:pPr>
      <w:r>
        <w:lastRenderedPageBreak/>
        <w:t xml:space="preserve">Source: </w:t>
      </w:r>
      <w:proofErr w:type="spellStart"/>
      <w:r>
        <w:t>AlliedOffsets</w:t>
      </w:r>
      <w:proofErr w:type="spellEnd"/>
    </w:p>
    <w:p w14:paraId="564D84E3" w14:textId="4F66D509" w:rsidR="00572D8E" w:rsidRDefault="00B31CF5">
      <w:pPr>
        <w:jc w:val="both"/>
      </w:pPr>
      <w:r w:rsidRPr="00AB54FC">
        <w:t>Furthermore, one critical aspect to the successful implementation of the SBCE is the efficiency in the publication and availability of data within national inventories, not only to ensure transparency and environmental integrity, but also to enable regulated companies to plan their compliance strategies and allocate resources effectively. Clear, timely, and accessible information, especially on the current emission level per sector, is crucial for companies to forecast compliance costs, design mitigation projects, or engage in secondary market transactions with predictability. Delayed data releases or lack of regulatory clarity can create uncertainty, distort carbon prices, and undermine investments in energy efficiency, innovation, and nature-based solutions. Therefore, the success of the SBCE will also depend on a robust, reliable data infrastructure that responds to the operational needs of market participants.</w:t>
      </w:r>
    </w:p>
    <w:p w14:paraId="16BF2B34" w14:textId="2A7BF51C" w:rsidR="00B31CF5" w:rsidRDefault="00572D8E">
      <w:pPr>
        <w:jc w:val="both"/>
      </w:pPr>
      <w:r w:rsidRPr="00AB54FC">
        <w:t xml:space="preserve">Brazil also hosts great potential to supply Internationally Transferrable Mitigation outcomes (ITMOs), either for use under Article 6.2 </w:t>
      </w:r>
      <w:r w:rsidR="005D44EA" w:rsidRPr="00AB54FC">
        <w:t xml:space="preserve">of the Paris </w:t>
      </w:r>
      <w:r w:rsidR="00C37DCB" w:rsidRPr="00AB54FC">
        <w:t>Agreement</w:t>
      </w:r>
      <w:r w:rsidR="005D44EA" w:rsidRPr="00AB54FC">
        <w:t xml:space="preserve"> or other international uses, such as the Carbo</w:t>
      </w:r>
      <w:r w:rsidR="00C37DCB" w:rsidRPr="00AB54FC">
        <w:t xml:space="preserve">n Offsetting Scheme for International Aviation (CORSIA). </w:t>
      </w:r>
      <w:r w:rsidR="00C52EC9" w:rsidRPr="00AB54FC">
        <w:t xml:space="preserve">CORSIA is a global initiative to cap aviation emissions at 2019 levels, implemented in three phases: a pilot phase (2021–2023), a first phase (2024–2026), and a mandatory phase (2027–2035) for most international routes. To comply, airlines must purchase eligible emissions units from ICAO-approved programs, which must meet stringent criteria for additionality, permanence, robust MRV, and avoidance of double counting, thus requiring corresponding adjustments from host countries, </w:t>
      </w:r>
      <w:proofErr w:type="gramStart"/>
      <w:r w:rsidR="00DD3F8B" w:rsidRPr="00AB54FC">
        <w:t>similar to</w:t>
      </w:r>
      <w:proofErr w:type="gramEnd"/>
      <w:r w:rsidR="00C52EC9" w:rsidRPr="00AB54FC">
        <w:t xml:space="preserve"> Article </w:t>
      </w:r>
      <w:r w:rsidR="00DD3F8B" w:rsidRPr="00AB54FC">
        <w:t xml:space="preserve">6.2’s ITMOs. </w:t>
      </w:r>
      <w:r w:rsidR="0017264C" w:rsidRPr="00AB54FC">
        <w:t>A</w:t>
      </w:r>
      <w:r w:rsidR="009C5B5F" w:rsidRPr="00DD3F8B">
        <w:t>s per TNC’s “</w:t>
      </w:r>
      <w:hyperlink r:id="rId12" w:history="1">
        <w:r w:rsidR="009C5B5F" w:rsidRPr="00315887">
          <w:rPr>
            <w:rStyle w:val="Hyperlink"/>
          </w:rPr>
          <w:t>Article 6 Explainer</w:t>
        </w:r>
      </w:hyperlink>
      <w:r w:rsidR="009C5B5F" w:rsidRPr="00DD3F8B">
        <w:t>”</w:t>
      </w:r>
      <w:r w:rsidR="009F6DD1">
        <w:t>,</w:t>
      </w:r>
      <w:r w:rsidR="009F6DD1" w:rsidRPr="00DD3F8B">
        <w:t xml:space="preserve"> </w:t>
      </w:r>
      <w:r w:rsidR="009C5B5F" w:rsidRPr="00DD3F8B">
        <w:t xml:space="preserve">total cumulative demand for ITMOs by both buying countries and airlines compliant to CORSIA shall reach 685 </w:t>
      </w:r>
      <w:proofErr w:type="spellStart"/>
      <w:r w:rsidR="009C5B5F" w:rsidRPr="00DD3F8B">
        <w:t>MtCO₂e</w:t>
      </w:r>
      <w:proofErr w:type="spellEnd"/>
      <w:r w:rsidR="009C5B5F" w:rsidRPr="00DD3F8B">
        <w:t xml:space="preserve"> by 2030.</w:t>
      </w:r>
    </w:p>
    <w:p w14:paraId="40A8504C" w14:textId="77777777" w:rsidR="004046DA" w:rsidRDefault="004046DA" w:rsidP="00AB54FC">
      <w:pPr>
        <w:jc w:val="both"/>
      </w:pPr>
      <w:r w:rsidRPr="004046DA">
        <w:t xml:space="preserve">According to estimates by </w:t>
      </w:r>
      <w:proofErr w:type="spellStart"/>
      <w:r w:rsidRPr="004046DA">
        <w:t>AlliedOffsets</w:t>
      </w:r>
      <w:proofErr w:type="spellEnd"/>
      <w:r w:rsidRPr="004046DA">
        <w:t xml:space="preserve">, the chart below presents forecasted issuances of Brazilian carbon credits potentially eligible under the first phase of CORSIA, broken down by </w:t>
      </w:r>
      <w:proofErr w:type="spellStart"/>
      <w:r w:rsidRPr="004046DA">
        <w:t>purchasability</w:t>
      </w:r>
      <w:proofErr w:type="spellEnd"/>
      <w:r w:rsidRPr="004046DA">
        <w:t xml:space="preserve"> year through 2031. All credits must undergo corresponding adjustments to qualify, meaning that while these projections reflect potential supply, actual eligibility will depend on formal government authorization and proper registry procedures for adjustment.</w:t>
      </w:r>
    </w:p>
    <w:p w14:paraId="2E3274BE" w14:textId="264D34D3" w:rsidR="00850B84" w:rsidRDefault="009F7C7A" w:rsidP="00AB54FC">
      <w:pPr>
        <w:keepNext/>
        <w:jc w:val="center"/>
      </w:pPr>
      <w:r>
        <w:rPr>
          <w:noProof/>
        </w:rPr>
        <w:drawing>
          <wp:inline distT="0" distB="0" distL="0" distR="0" wp14:anchorId="6FCEDC2D" wp14:editId="613E18E0">
            <wp:extent cx="5212715" cy="3152140"/>
            <wp:effectExtent l="0" t="0" r="6985" b="0"/>
            <wp:docPr id="47716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715" cy="3152140"/>
                    </a:xfrm>
                    <a:prstGeom prst="rect">
                      <a:avLst/>
                    </a:prstGeom>
                    <a:noFill/>
                  </pic:spPr>
                </pic:pic>
              </a:graphicData>
            </a:graphic>
          </wp:inline>
        </w:drawing>
      </w:r>
    </w:p>
    <w:p w14:paraId="49B35908" w14:textId="77777777" w:rsidR="00850B84" w:rsidRPr="00850B84" w:rsidRDefault="00850B84" w:rsidP="00AB54F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Forecast CORSIA First Phase-Eligible issuances in Brazil.</w:t>
      </w:r>
    </w:p>
    <w:p w14:paraId="57BB9491" w14:textId="367465B5" w:rsidR="00850B84" w:rsidRPr="00850B84" w:rsidRDefault="00850B84" w:rsidP="00AB54FC">
      <w:pPr>
        <w:pStyle w:val="Caption"/>
        <w:jc w:val="center"/>
      </w:pPr>
      <w:r>
        <w:t xml:space="preserve">Source: </w:t>
      </w:r>
      <w:proofErr w:type="spellStart"/>
      <w:r>
        <w:t>AlliedOffsets</w:t>
      </w:r>
      <w:proofErr w:type="spellEnd"/>
    </w:p>
    <w:p w14:paraId="2F0244C6" w14:textId="2E65FF11" w:rsidR="003110BE" w:rsidRPr="00AB54FC" w:rsidRDefault="003110BE">
      <w:pPr>
        <w:rPr>
          <w:b/>
          <w:bCs/>
        </w:rPr>
      </w:pPr>
      <w:r w:rsidRPr="00AB54FC">
        <w:rPr>
          <w:b/>
          <w:bCs/>
        </w:rPr>
        <w:t>USEFUL LINKS</w:t>
      </w:r>
    </w:p>
    <w:p w14:paraId="50A9AA2F" w14:textId="556C6B2A" w:rsidR="00721665" w:rsidRPr="00721665" w:rsidRDefault="00721665">
      <w:pPr>
        <w:rPr>
          <w:lang w:val="en-US"/>
        </w:rPr>
      </w:pPr>
      <w:hyperlink r:id="rId14" w:history="1">
        <w:r w:rsidRPr="00721665">
          <w:rPr>
            <w:rStyle w:val="Hyperlink"/>
            <w:lang w:val="en-US"/>
          </w:rPr>
          <w:t>Carbon</w:t>
        </w:r>
        <w:r w:rsidRPr="00AB54FC">
          <w:rPr>
            <w:rStyle w:val="Hyperlink"/>
            <w:lang w:val="en-US"/>
          </w:rPr>
          <w:t xml:space="preserve"> Market </w:t>
        </w:r>
        <w:r w:rsidRPr="00721665">
          <w:rPr>
            <w:rStyle w:val="Hyperlink"/>
            <w:lang w:val="en-US"/>
          </w:rPr>
          <w:t>–</w:t>
        </w:r>
        <w:r w:rsidRPr="00AB54FC">
          <w:rPr>
            <w:rStyle w:val="Hyperlink"/>
            <w:lang w:val="en-US"/>
          </w:rPr>
          <w:t xml:space="preserve"> Ministry</w:t>
        </w:r>
        <w:r w:rsidRPr="00721665">
          <w:rPr>
            <w:rStyle w:val="Hyperlink"/>
            <w:lang w:val="en-US"/>
          </w:rPr>
          <w:t xml:space="preserve"> </w:t>
        </w:r>
        <w:r w:rsidRPr="00AB54FC">
          <w:rPr>
            <w:rStyle w:val="Hyperlink"/>
            <w:lang w:val="en-US"/>
          </w:rPr>
          <w:t>of Finance</w:t>
        </w:r>
      </w:hyperlink>
    </w:p>
    <w:p w14:paraId="32225C71" w14:textId="01D0A5C6" w:rsidR="00F56D71" w:rsidRPr="004B60B7" w:rsidRDefault="003E7C3C">
      <w:pPr>
        <w:rPr>
          <w:lang w:val="pt-BR"/>
        </w:rPr>
      </w:pPr>
      <w:hyperlink r:id="rId15" w:history="1">
        <w:r w:rsidRPr="004B60B7">
          <w:rPr>
            <w:rStyle w:val="Hyperlink"/>
            <w:lang w:val="pt-BR"/>
          </w:rPr>
          <w:t>Lei 15.042/2024</w:t>
        </w:r>
      </w:hyperlink>
    </w:p>
    <w:p w14:paraId="563EA28D" w14:textId="191CEB57" w:rsidR="004D4CF7" w:rsidRPr="004B60B7" w:rsidRDefault="00DC5CF8">
      <w:pPr>
        <w:rPr>
          <w:lang w:val="pt-BR"/>
        </w:rPr>
      </w:pPr>
      <w:hyperlink r:id="rId16" w:history="1">
        <w:r w:rsidRPr="004B60B7">
          <w:rPr>
            <w:rStyle w:val="Hyperlink"/>
            <w:lang w:val="pt-BR"/>
          </w:rPr>
          <w:t>Lei 15.076/2024</w:t>
        </w:r>
      </w:hyperlink>
    </w:p>
    <w:p w14:paraId="4F661CC8" w14:textId="18AF78B7" w:rsidR="00721665" w:rsidRPr="004B60B7" w:rsidRDefault="004D4CF7">
      <w:pPr>
        <w:rPr>
          <w:lang w:val="pt-BR"/>
        </w:rPr>
      </w:pPr>
      <w:hyperlink r:id="rId17" w:history="1">
        <w:r w:rsidRPr="004B60B7">
          <w:rPr>
            <w:rStyle w:val="Hyperlink"/>
            <w:lang w:val="pt-BR"/>
          </w:rPr>
          <w:t>Plano Clima</w:t>
        </w:r>
      </w:hyperlink>
      <w:r w:rsidRPr="004B60B7">
        <w:rPr>
          <w:lang w:val="pt-BR"/>
        </w:rPr>
        <w:t xml:space="preserve"> </w:t>
      </w:r>
    </w:p>
    <w:p w14:paraId="29637DA4" w14:textId="185520FF" w:rsidR="004D4CF7" w:rsidRPr="004B60B7" w:rsidRDefault="00523299">
      <w:pPr>
        <w:rPr>
          <w:lang w:val="pt-BR"/>
        </w:rPr>
      </w:pPr>
      <w:hyperlink r:id="rId18" w:history="1">
        <w:proofErr w:type="spellStart"/>
        <w:r w:rsidRPr="004B60B7">
          <w:rPr>
            <w:rStyle w:val="Hyperlink"/>
            <w:lang w:val="pt-BR"/>
          </w:rPr>
          <w:t>Brazil’s</w:t>
        </w:r>
        <w:proofErr w:type="spellEnd"/>
        <w:r w:rsidRPr="004B60B7">
          <w:rPr>
            <w:rStyle w:val="Hyperlink"/>
            <w:lang w:val="pt-BR"/>
          </w:rPr>
          <w:t xml:space="preserve"> </w:t>
        </w:r>
        <w:proofErr w:type="spellStart"/>
        <w:r w:rsidRPr="004B60B7">
          <w:rPr>
            <w:rStyle w:val="Hyperlink"/>
            <w:lang w:val="pt-BR"/>
          </w:rPr>
          <w:t>Nationally</w:t>
        </w:r>
        <w:proofErr w:type="spellEnd"/>
        <w:r w:rsidRPr="004B60B7">
          <w:rPr>
            <w:rStyle w:val="Hyperlink"/>
            <w:lang w:val="pt-BR"/>
          </w:rPr>
          <w:t xml:space="preserve"> </w:t>
        </w:r>
        <w:proofErr w:type="spellStart"/>
        <w:r w:rsidRPr="004B60B7">
          <w:rPr>
            <w:rStyle w:val="Hyperlink"/>
            <w:lang w:val="pt-BR"/>
          </w:rPr>
          <w:t>Determined</w:t>
        </w:r>
        <w:proofErr w:type="spellEnd"/>
        <w:r w:rsidRPr="004B60B7">
          <w:rPr>
            <w:rStyle w:val="Hyperlink"/>
            <w:lang w:val="pt-BR"/>
          </w:rPr>
          <w:t xml:space="preserve"> </w:t>
        </w:r>
        <w:proofErr w:type="spellStart"/>
        <w:r w:rsidRPr="004B60B7">
          <w:rPr>
            <w:rStyle w:val="Hyperlink"/>
            <w:lang w:val="pt-BR"/>
          </w:rPr>
          <w:t>Contribution</w:t>
        </w:r>
        <w:proofErr w:type="spellEnd"/>
        <w:r w:rsidRPr="004B60B7">
          <w:rPr>
            <w:rStyle w:val="Hyperlink"/>
            <w:lang w:val="pt-BR"/>
          </w:rPr>
          <w:t xml:space="preserve"> (2024)</w:t>
        </w:r>
      </w:hyperlink>
    </w:p>
    <w:p w14:paraId="656E7E6D" w14:textId="2C262BAB" w:rsidR="00B00496" w:rsidRPr="00AB54FC" w:rsidRDefault="00B00496">
      <w:pPr>
        <w:rPr>
          <w:b/>
          <w:bCs/>
        </w:rPr>
      </w:pPr>
      <w:r w:rsidRPr="00AB54FC">
        <w:rPr>
          <w:b/>
          <w:bCs/>
        </w:rPr>
        <w:t>REFERENCES</w:t>
      </w:r>
    </w:p>
    <w:p w14:paraId="1C1BC9C8" w14:textId="21A75722" w:rsidR="00B31CF5" w:rsidRDefault="00B31CF5">
      <w:pPr>
        <w:rPr>
          <w:lang w:val="en-US"/>
        </w:rPr>
      </w:pPr>
      <w:hyperlink r:id="rId19" w:history="1">
        <w:r>
          <w:rPr>
            <w:rStyle w:val="Hyperlink"/>
            <w:lang w:val="en-US"/>
          </w:rPr>
          <w:t xml:space="preserve">ICAP Fact Sheet - Brazilian Emission Trading System </w:t>
        </w:r>
      </w:hyperlink>
    </w:p>
    <w:p w14:paraId="0F44EF8F" w14:textId="0819C54E" w:rsidR="00855E4E" w:rsidRDefault="00BD5F86">
      <w:hyperlink r:id="rId20" w:history="1">
        <w:r w:rsidRPr="00BD5F86">
          <w:rPr>
            <w:rStyle w:val="Hyperlink"/>
            <w:lang w:val="en-US"/>
          </w:rPr>
          <w:t>Article 6 Explainer</w:t>
        </w:r>
      </w:hyperlink>
    </w:p>
    <w:p w14:paraId="1CF6A254" w14:textId="51B7CCE4" w:rsidR="00BA447D" w:rsidRPr="005F5CCB" w:rsidRDefault="005F5CCB">
      <w:pPr>
        <w:rPr>
          <w:lang w:val="pt-BR"/>
        </w:rPr>
      </w:pPr>
      <w:hyperlink r:id="rId21" w:history="1">
        <w:r w:rsidR="00BA447D" w:rsidRPr="005F5CCB">
          <w:rPr>
            <w:rStyle w:val="Hyperlink"/>
            <w:lang w:val="pt-BR"/>
          </w:rPr>
          <w:t xml:space="preserve">Capital Reset </w:t>
        </w:r>
        <w:r w:rsidRPr="005F5CCB">
          <w:rPr>
            <w:rStyle w:val="Hyperlink"/>
            <w:lang w:val="pt-BR"/>
          </w:rPr>
          <w:t xml:space="preserve">- </w:t>
        </w:r>
        <w:r w:rsidRPr="005F5CCB">
          <w:rPr>
            <w:rStyle w:val="Hyperlink"/>
            <w:i/>
            <w:iCs/>
            <w:lang w:val="pt-BR"/>
          </w:rPr>
          <w:t>Seguradoras terão que destinar R$ 9 bi para créditos de carbono</w:t>
        </w:r>
        <w:r w:rsidRPr="005F5CCB">
          <w:rPr>
            <w:rStyle w:val="Hyperlink"/>
            <w:lang w:val="pt-BR"/>
          </w:rPr>
          <w:t>.</w:t>
        </w:r>
      </w:hyperlink>
    </w:p>
    <w:p w14:paraId="3AC23FFC" w14:textId="4E9E33B6" w:rsidR="00476293" w:rsidRPr="00476293" w:rsidRDefault="00476293">
      <w:pPr>
        <w:rPr>
          <w:b/>
          <w:bCs/>
          <w:lang w:val="en-US"/>
        </w:rPr>
      </w:pPr>
      <w:r w:rsidRPr="00476293">
        <w:rPr>
          <w:b/>
          <w:bCs/>
          <w:lang w:val="en-US"/>
        </w:rPr>
        <w:t>AUTHORS</w:t>
      </w:r>
    </w:p>
    <w:p w14:paraId="1C2FF435" w14:textId="2FDEE71F" w:rsidR="00CD1548" w:rsidRDefault="00CD1548">
      <w:pPr>
        <w:rPr>
          <w:lang w:val="en-US"/>
        </w:rPr>
      </w:pPr>
      <w:r>
        <w:rPr>
          <w:lang w:val="en-US"/>
        </w:rPr>
        <w:t>IETA staffer</w:t>
      </w:r>
      <w:r>
        <w:rPr>
          <w:lang w:val="en-US"/>
        </w:rPr>
        <w:br/>
        <w:t>Job title, IETA</w:t>
      </w:r>
      <w:r>
        <w:rPr>
          <w:lang w:val="en-US"/>
        </w:rPr>
        <w:br/>
        <w:t>email</w:t>
      </w:r>
    </w:p>
    <w:p w14:paraId="3BAC281E" w14:textId="6B24D898" w:rsidR="004B0F86" w:rsidRPr="00AB54FC" w:rsidRDefault="004B0F86">
      <w:pPr>
        <w:rPr>
          <w:lang w:val="pt-BR"/>
        </w:rPr>
      </w:pPr>
      <w:r w:rsidRPr="00AB54FC">
        <w:rPr>
          <w:lang w:val="pt-BR"/>
        </w:rPr>
        <w:t>Juliana Damasceno</w:t>
      </w:r>
      <w:r w:rsidRPr="00AB54FC">
        <w:rPr>
          <w:lang w:val="pt-BR"/>
        </w:rPr>
        <w:br/>
      </w:r>
      <w:proofErr w:type="spellStart"/>
      <w:r w:rsidRPr="00AB54FC">
        <w:rPr>
          <w:lang w:val="pt-BR"/>
        </w:rPr>
        <w:t>Executive</w:t>
      </w:r>
      <w:proofErr w:type="spellEnd"/>
      <w:r w:rsidRPr="00AB54FC">
        <w:rPr>
          <w:lang w:val="pt-BR"/>
        </w:rPr>
        <w:t xml:space="preserve"> Ma</w:t>
      </w:r>
      <w:r>
        <w:rPr>
          <w:lang w:val="pt-BR"/>
        </w:rPr>
        <w:t>nager, ACX Brasil</w:t>
      </w:r>
      <w:r>
        <w:rPr>
          <w:lang w:val="pt-BR"/>
        </w:rPr>
        <w:br/>
      </w:r>
      <w:hyperlink r:id="rId22" w:history="1">
        <w:r w:rsidRPr="00AB54FC">
          <w:rPr>
            <w:rStyle w:val="Hyperlink"/>
            <w:lang w:val="pt-BR"/>
          </w:rPr>
          <w:t>juliana@acx.net</w:t>
        </w:r>
      </w:hyperlink>
      <w:r>
        <w:rPr>
          <w:lang w:val="pt-BR"/>
        </w:rPr>
        <w:t xml:space="preserve"> </w:t>
      </w:r>
    </w:p>
    <w:p w14:paraId="275C8F1D" w14:textId="535D4929" w:rsidR="006B3793" w:rsidRPr="00AB54FC" w:rsidRDefault="006B3793" w:rsidP="006B3793">
      <w:proofErr w:type="spellStart"/>
      <w:r w:rsidRPr="00AB54FC">
        <w:t>Fundile</w:t>
      </w:r>
      <w:proofErr w:type="spellEnd"/>
      <w:r w:rsidRPr="00AB54FC">
        <w:t xml:space="preserve"> Maphanga</w:t>
      </w:r>
      <w:r w:rsidRPr="00AB54FC">
        <w:br/>
        <w:t>Policy L</w:t>
      </w:r>
      <w:r>
        <w:t xml:space="preserve">ead, </w:t>
      </w:r>
      <w:proofErr w:type="spellStart"/>
      <w:r>
        <w:t>AlliedOffsets</w:t>
      </w:r>
      <w:proofErr w:type="spellEnd"/>
      <w:r w:rsidRPr="00AB54FC">
        <w:br/>
      </w:r>
      <w:hyperlink r:id="rId23" w:tooltip="mailto:fundi.maphanga@alliedoffsets.com" w:history="1">
        <w:r w:rsidRPr="006B3793">
          <w:rPr>
            <w:rStyle w:val="Hyperlink"/>
          </w:rPr>
          <w:t>fundi.maphanga@alliedoffsets.com</w:t>
        </w:r>
      </w:hyperlink>
    </w:p>
    <w:p w14:paraId="44F62070" w14:textId="13F876E0" w:rsidR="005C7314" w:rsidRPr="00AB54FC" w:rsidRDefault="006B3793">
      <w:r>
        <w:t>Daniel Blum</w:t>
      </w:r>
      <w:r w:rsidRPr="00326E57">
        <w:br/>
      </w:r>
      <w:r>
        <w:t xml:space="preserve">Carbon Policy Analyst, </w:t>
      </w:r>
      <w:proofErr w:type="spellStart"/>
      <w:r>
        <w:t>AlliedOffsets</w:t>
      </w:r>
      <w:proofErr w:type="spellEnd"/>
      <w:r w:rsidRPr="00326E57">
        <w:br/>
      </w:r>
      <w:hyperlink r:id="rId24" w:tooltip="mailto:daniel.blum@alliedoffsets.com" w:history="1">
        <w:r w:rsidRPr="006B3793">
          <w:rPr>
            <w:rStyle w:val="Hyperlink"/>
          </w:rPr>
          <w:t>daniel.blum@alliedoffsets.com</w:t>
        </w:r>
      </w:hyperlink>
      <w:r w:rsidRPr="006B3793">
        <w:t> </w:t>
      </w:r>
    </w:p>
    <w:p w14:paraId="62C6FE41" w14:textId="77777777" w:rsidR="003F6A0C" w:rsidRPr="00AB54FC" w:rsidRDefault="003F6A0C"/>
    <w:sectPr w:rsidR="003F6A0C" w:rsidRPr="00AB54FC" w:rsidSect="00AB54FC">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D6A1B" w14:textId="77777777" w:rsidR="00BE4EA9" w:rsidRDefault="00BE4EA9" w:rsidP="009C5B5F">
      <w:pPr>
        <w:spacing w:after="0" w:line="240" w:lineRule="auto"/>
      </w:pPr>
      <w:r>
        <w:separator/>
      </w:r>
    </w:p>
  </w:endnote>
  <w:endnote w:type="continuationSeparator" w:id="0">
    <w:p w14:paraId="226461ED" w14:textId="77777777" w:rsidR="00BE4EA9" w:rsidRDefault="00BE4EA9" w:rsidP="009C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2DE25" w14:textId="77777777" w:rsidR="00BE4EA9" w:rsidRDefault="00BE4EA9" w:rsidP="009C5B5F">
      <w:pPr>
        <w:spacing w:after="0" w:line="240" w:lineRule="auto"/>
      </w:pPr>
      <w:r>
        <w:separator/>
      </w:r>
    </w:p>
  </w:footnote>
  <w:footnote w:type="continuationSeparator" w:id="0">
    <w:p w14:paraId="023D3EB7" w14:textId="77777777" w:rsidR="00BE4EA9" w:rsidRDefault="00BE4EA9" w:rsidP="009C5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44D4B"/>
    <w:multiLevelType w:val="hybridMultilevel"/>
    <w:tmpl w:val="E8F47A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BB6628"/>
    <w:multiLevelType w:val="multilevel"/>
    <w:tmpl w:val="B1B0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B4E5F"/>
    <w:multiLevelType w:val="multilevel"/>
    <w:tmpl w:val="9F9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7ACB"/>
    <w:multiLevelType w:val="hybridMultilevel"/>
    <w:tmpl w:val="55D0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14639F"/>
    <w:multiLevelType w:val="hybridMultilevel"/>
    <w:tmpl w:val="3B9E8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ED118A"/>
    <w:multiLevelType w:val="hybridMultilevel"/>
    <w:tmpl w:val="41BC4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E3466B"/>
    <w:multiLevelType w:val="hybridMultilevel"/>
    <w:tmpl w:val="80B07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33E0684"/>
    <w:multiLevelType w:val="hybridMultilevel"/>
    <w:tmpl w:val="3D1A7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3F7445"/>
    <w:multiLevelType w:val="hybridMultilevel"/>
    <w:tmpl w:val="AFE6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D7186"/>
    <w:multiLevelType w:val="hybridMultilevel"/>
    <w:tmpl w:val="D1D4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610207">
    <w:abstractNumId w:val="8"/>
  </w:num>
  <w:num w:numId="2" w16cid:durableId="274866552">
    <w:abstractNumId w:val="9"/>
  </w:num>
  <w:num w:numId="3" w16cid:durableId="1666395176">
    <w:abstractNumId w:val="3"/>
  </w:num>
  <w:num w:numId="4" w16cid:durableId="1525899824">
    <w:abstractNumId w:val="0"/>
  </w:num>
  <w:num w:numId="5" w16cid:durableId="93408189">
    <w:abstractNumId w:val="6"/>
  </w:num>
  <w:num w:numId="6" w16cid:durableId="1460996189">
    <w:abstractNumId w:val="2"/>
  </w:num>
  <w:num w:numId="7" w16cid:durableId="1251307596">
    <w:abstractNumId w:val="7"/>
  </w:num>
  <w:num w:numId="8" w16cid:durableId="788858514">
    <w:abstractNumId w:val="4"/>
  </w:num>
  <w:num w:numId="9" w16cid:durableId="1121607737">
    <w:abstractNumId w:val="5"/>
  </w:num>
  <w:num w:numId="10" w16cid:durableId="29407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A3"/>
    <w:rsid w:val="00044EDC"/>
    <w:rsid w:val="000554AF"/>
    <w:rsid w:val="00071B70"/>
    <w:rsid w:val="0009140A"/>
    <w:rsid w:val="00092255"/>
    <w:rsid w:val="000A5DD8"/>
    <w:rsid w:val="000C5D50"/>
    <w:rsid w:val="000D7AFF"/>
    <w:rsid w:val="000E3C66"/>
    <w:rsid w:val="000F38D4"/>
    <w:rsid w:val="00122FDA"/>
    <w:rsid w:val="0013273F"/>
    <w:rsid w:val="00154896"/>
    <w:rsid w:val="0017264C"/>
    <w:rsid w:val="00191BAF"/>
    <w:rsid w:val="001B7FAE"/>
    <w:rsid w:val="001E6080"/>
    <w:rsid w:val="001F3F0B"/>
    <w:rsid w:val="00200063"/>
    <w:rsid w:val="00246574"/>
    <w:rsid w:val="00253511"/>
    <w:rsid w:val="002672F8"/>
    <w:rsid w:val="00284D9F"/>
    <w:rsid w:val="002A7726"/>
    <w:rsid w:val="002B3B62"/>
    <w:rsid w:val="002B7CD9"/>
    <w:rsid w:val="002F461E"/>
    <w:rsid w:val="003110BE"/>
    <w:rsid w:val="00315887"/>
    <w:rsid w:val="00335C40"/>
    <w:rsid w:val="00390E5C"/>
    <w:rsid w:val="003C3D31"/>
    <w:rsid w:val="003D3797"/>
    <w:rsid w:val="003E7C3C"/>
    <w:rsid w:val="003F6A0C"/>
    <w:rsid w:val="004046DA"/>
    <w:rsid w:val="004067C8"/>
    <w:rsid w:val="00425342"/>
    <w:rsid w:val="00467871"/>
    <w:rsid w:val="00473DCC"/>
    <w:rsid w:val="00476293"/>
    <w:rsid w:val="00476ADA"/>
    <w:rsid w:val="00483DB6"/>
    <w:rsid w:val="004B0F86"/>
    <w:rsid w:val="004B60B7"/>
    <w:rsid w:val="004B6E6B"/>
    <w:rsid w:val="004B73B3"/>
    <w:rsid w:val="004B7E20"/>
    <w:rsid w:val="004C3C87"/>
    <w:rsid w:val="004D4CF7"/>
    <w:rsid w:val="004F0231"/>
    <w:rsid w:val="0050182B"/>
    <w:rsid w:val="00523299"/>
    <w:rsid w:val="00572D8E"/>
    <w:rsid w:val="00585865"/>
    <w:rsid w:val="00596150"/>
    <w:rsid w:val="005A2CD9"/>
    <w:rsid w:val="005C18E9"/>
    <w:rsid w:val="005C2ABA"/>
    <w:rsid w:val="005C7314"/>
    <w:rsid w:val="005D44EA"/>
    <w:rsid w:val="005E0A35"/>
    <w:rsid w:val="005E2409"/>
    <w:rsid w:val="005E6FE4"/>
    <w:rsid w:val="005F35CE"/>
    <w:rsid w:val="005F5CCB"/>
    <w:rsid w:val="005F7E99"/>
    <w:rsid w:val="00615ACD"/>
    <w:rsid w:val="00633EF4"/>
    <w:rsid w:val="006457E0"/>
    <w:rsid w:val="006525A3"/>
    <w:rsid w:val="00660053"/>
    <w:rsid w:val="00665C18"/>
    <w:rsid w:val="00682A86"/>
    <w:rsid w:val="006842E0"/>
    <w:rsid w:val="0068517A"/>
    <w:rsid w:val="006963A6"/>
    <w:rsid w:val="0069673D"/>
    <w:rsid w:val="006A47DB"/>
    <w:rsid w:val="006B3793"/>
    <w:rsid w:val="006B4D69"/>
    <w:rsid w:val="006C2F25"/>
    <w:rsid w:val="006F1A4D"/>
    <w:rsid w:val="006F4810"/>
    <w:rsid w:val="00721665"/>
    <w:rsid w:val="00733FA9"/>
    <w:rsid w:val="00755659"/>
    <w:rsid w:val="00766251"/>
    <w:rsid w:val="00775327"/>
    <w:rsid w:val="007914E5"/>
    <w:rsid w:val="007A35C8"/>
    <w:rsid w:val="007A3D59"/>
    <w:rsid w:val="007B20A3"/>
    <w:rsid w:val="007D3788"/>
    <w:rsid w:val="00802707"/>
    <w:rsid w:val="00850B84"/>
    <w:rsid w:val="0085116B"/>
    <w:rsid w:val="00855E4E"/>
    <w:rsid w:val="00873108"/>
    <w:rsid w:val="00887393"/>
    <w:rsid w:val="0089479A"/>
    <w:rsid w:val="008B31DA"/>
    <w:rsid w:val="008B4533"/>
    <w:rsid w:val="008D088C"/>
    <w:rsid w:val="008D3DB0"/>
    <w:rsid w:val="0090335F"/>
    <w:rsid w:val="00904046"/>
    <w:rsid w:val="009320FB"/>
    <w:rsid w:val="0094696A"/>
    <w:rsid w:val="00984A9F"/>
    <w:rsid w:val="00984CA5"/>
    <w:rsid w:val="0098757B"/>
    <w:rsid w:val="009A043E"/>
    <w:rsid w:val="009A4FDA"/>
    <w:rsid w:val="009A67BA"/>
    <w:rsid w:val="009C07CB"/>
    <w:rsid w:val="009C5B5F"/>
    <w:rsid w:val="009C66C3"/>
    <w:rsid w:val="009D15DF"/>
    <w:rsid w:val="009D28F9"/>
    <w:rsid w:val="009F6DD1"/>
    <w:rsid w:val="009F7C7A"/>
    <w:rsid w:val="00A04145"/>
    <w:rsid w:val="00A063BF"/>
    <w:rsid w:val="00A31F8E"/>
    <w:rsid w:val="00A531F5"/>
    <w:rsid w:val="00A72C75"/>
    <w:rsid w:val="00A813E1"/>
    <w:rsid w:val="00A819EF"/>
    <w:rsid w:val="00AB54FC"/>
    <w:rsid w:val="00AC6D12"/>
    <w:rsid w:val="00AD10DA"/>
    <w:rsid w:val="00AD1960"/>
    <w:rsid w:val="00B00496"/>
    <w:rsid w:val="00B0224B"/>
    <w:rsid w:val="00B2459E"/>
    <w:rsid w:val="00B31CF5"/>
    <w:rsid w:val="00B360A6"/>
    <w:rsid w:val="00B65AA5"/>
    <w:rsid w:val="00BA447D"/>
    <w:rsid w:val="00BB16DF"/>
    <w:rsid w:val="00BC21BD"/>
    <w:rsid w:val="00BC5209"/>
    <w:rsid w:val="00BD0918"/>
    <w:rsid w:val="00BD3366"/>
    <w:rsid w:val="00BD5F86"/>
    <w:rsid w:val="00BE4EA9"/>
    <w:rsid w:val="00C03160"/>
    <w:rsid w:val="00C37DCB"/>
    <w:rsid w:val="00C470DA"/>
    <w:rsid w:val="00C52EC9"/>
    <w:rsid w:val="00CB0424"/>
    <w:rsid w:val="00CB4609"/>
    <w:rsid w:val="00CC0D1B"/>
    <w:rsid w:val="00CC7CF6"/>
    <w:rsid w:val="00CD12AD"/>
    <w:rsid w:val="00CD1548"/>
    <w:rsid w:val="00CD1A07"/>
    <w:rsid w:val="00CF29B7"/>
    <w:rsid w:val="00D0441C"/>
    <w:rsid w:val="00D947A1"/>
    <w:rsid w:val="00DC5CF8"/>
    <w:rsid w:val="00DC7324"/>
    <w:rsid w:val="00DD2F87"/>
    <w:rsid w:val="00DD3F8B"/>
    <w:rsid w:val="00DD42AD"/>
    <w:rsid w:val="00DF223A"/>
    <w:rsid w:val="00DF53CC"/>
    <w:rsid w:val="00E34787"/>
    <w:rsid w:val="00E41D9B"/>
    <w:rsid w:val="00E62320"/>
    <w:rsid w:val="00E73B62"/>
    <w:rsid w:val="00E93D94"/>
    <w:rsid w:val="00E94CEF"/>
    <w:rsid w:val="00EA2D8C"/>
    <w:rsid w:val="00EA40E7"/>
    <w:rsid w:val="00EF0399"/>
    <w:rsid w:val="00F04E55"/>
    <w:rsid w:val="00F242A6"/>
    <w:rsid w:val="00F24572"/>
    <w:rsid w:val="00F46059"/>
    <w:rsid w:val="00F56D71"/>
    <w:rsid w:val="00F8417D"/>
    <w:rsid w:val="51141612"/>
    <w:rsid w:val="75B0F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4C9A"/>
  <w15:chartTrackingRefBased/>
  <w15:docId w15:val="{C58BEEFD-ECBB-4104-BC70-436AC596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3B3"/>
    <w:pPr>
      <w:ind w:left="720"/>
      <w:contextualSpacing/>
    </w:pPr>
  </w:style>
  <w:style w:type="character" w:styleId="Hyperlink">
    <w:name w:val="Hyperlink"/>
    <w:basedOn w:val="DefaultParagraphFont"/>
    <w:uiPriority w:val="99"/>
    <w:unhideWhenUsed/>
    <w:rsid w:val="00EA40E7"/>
    <w:rPr>
      <w:color w:val="0563C1" w:themeColor="hyperlink"/>
      <w:u w:val="single"/>
    </w:rPr>
  </w:style>
  <w:style w:type="character" w:styleId="UnresolvedMention">
    <w:name w:val="Unresolved Mention"/>
    <w:basedOn w:val="DefaultParagraphFont"/>
    <w:uiPriority w:val="99"/>
    <w:semiHidden/>
    <w:unhideWhenUsed/>
    <w:rsid w:val="00EA40E7"/>
    <w:rPr>
      <w:color w:val="605E5C"/>
      <w:shd w:val="clear" w:color="auto" w:fill="E1DFDD"/>
    </w:rPr>
  </w:style>
  <w:style w:type="paragraph" w:styleId="Revision">
    <w:name w:val="Revision"/>
    <w:hidden/>
    <w:uiPriority w:val="99"/>
    <w:semiHidden/>
    <w:rsid w:val="00390E5C"/>
    <w:pPr>
      <w:spacing w:after="0" w:line="240" w:lineRule="auto"/>
    </w:pPr>
  </w:style>
  <w:style w:type="character" w:styleId="FollowedHyperlink">
    <w:name w:val="FollowedHyperlink"/>
    <w:basedOn w:val="DefaultParagraphFont"/>
    <w:uiPriority w:val="99"/>
    <w:semiHidden/>
    <w:unhideWhenUsed/>
    <w:rsid w:val="003E7C3C"/>
    <w:rPr>
      <w:color w:val="954F72" w:themeColor="followedHyperlink"/>
      <w:u w:val="single"/>
    </w:rPr>
  </w:style>
  <w:style w:type="paragraph" w:styleId="EndnoteText">
    <w:name w:val="endnote text"/>
    <w:basedOn w:val="Normal"/>
    <w:link w:val="EndnoteTextChar"/>
    <w:uiPriority w:val="99"/>
    <w:semiHidden/>
    <w:unhideWhenUsed/>
    <w:rsid w:val="009C5B5F"/>
    <w:pPr>
      <w:spacing w:after="0" w:line="240" w:lineRule="auto"/>
      <w:jc w:val="both"/>
    </w:pPr>
    <w:rPr>
      <w:rFonts w:eastAsiaTheme="minorEastAsia"/>
      <w:sz w:val="20"/>
      <w:szCs w:val="20"/>
    </w:rPr>
  </w:style>
  <w:style w:type="character" w:customStyle="1" w:styleId="EndnoteTextChar">
    <w:name w:val="Endnote Text Char"/>
    <w:basedOn w:val="DefaultParagraphFont"/>
    <w:link w:val="EndnoteText"/>
    <w:uiPriority w:val="99"/>
    <w:semiHidden/>
    <w:rsid w:val="009C5B5F"/>
    <w:rPr>
      <w:rFonts w:eastAsiaTheme="minorEastAsia"/>
      <w:sz w:val="20"/>
      <w:szCs w:val="20"/>
    </w:rPr>
  </w:style>
  <w:style w:type="character" w:styleId="EndnoteReference">
    <w:name w:val="endnote reference"/>
    <w:basedOn w:val="DefaultParagraphFont"/>
    <w:uiPriority w:val="99"/>
    <w:semiHidden/>
    <w:unhideWhenUsed/>
    <w:rsid w:val="009C5B5F"/>
    <w:rPr>
      <w:vertAlign w:val="superscript"/>
    </w:rPr>
  </w:style>
  <w:style w:type="paragraph" w:styleId="Caption">
    <w:name w:val="caption"/>
    <w:basedOn w:val="Normal"/>
    <w:next w:val="Normal"/>
    <w:uiPriority w:val="35"/>
    <w:unhideWhenUsed/>
    <w:qFormat/>
    <w:rsid w:val="00850B84"/>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F29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29B7"/>
  </w:style>
  <w:style w:type="paragraph" w:styleId="Footer">
    <w:name w:val="footer"/>
    <w:basedOn w:val="Normal"/>
    <w:link w:val="FooterChar"/>
    <w:uiPriority w:val="99"/>
    <w:semiHidden/>
    <w:unhideWhenUsed/>
    <w:rsid w:val="00CF29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6329">
      <w:bodyDiv w:val="1"/>
      <w:marLeft w:val="0"/>
      <w:marRight w:val="0"/>
      <w:marTop w:val="0"/>
      <w:marBottom w:val="0"/>
      <w:divBdr>
        <w:top w:val="none" w:sz="0" w:space="0" w:color="auto"/>
        <w:left w:val="none" w:sz="0" w:space="0" w:color="auto"/>
        <w:bottom w:val="none" w:sz="0" w:space="0" w:color="auto"/>
        <w:right w:val="none" w:sz="0" w:space="0" w:color="auto"/>
      </w:divBdr>
    </w:div>
    <w:div w:id="112596289">
      <w:bodyDiv w:val="1"/>
      <w:marLeft w:val="0"/>
      <w:marRight w:val="0"/>
      <w:marTop w:val="0"/>
      <w:marBottom w:val="0"/>
      <w:divBdr>
        <w:top w:val="none" w:sz="0" w:space="0" w:color="auto"/>
        <w:left w:val="none" w:sz="0" w:space="0" w:color="auto"/>
        <w:bottom w:val="none" w:sz="0" w:space="0" w:color="auto"/>
        <w:right w:val="none" w:sz="0" w:space="0" w:color="auto"/>
      </w:divBdr>
      <w:divsChild>
        <w:div w:id="1190870644">
          <w:marLeft w:val="0"/>
          <w:marRight w:val="0"/>
          <w:marTop w:val="0"/>
          <w:marBottom w:val="0"/>
          <w:divBdr>
            <w:top w:val="none" w:sz="0" w:space="0" w:color="auto"/>
            <w:left w:val="none" w:sz="0" w:space="0" w:color="auto"/>
            <w:bottom w:val="none" w:sz="0" w:space="0" w:color="auto"/>
            <w:right w:val="none" w:sz="0" w:space="0" w:color="auto"/>
          </w:divBdr>
          <w:divsChild>
            <w:div w:id="270208730">
              <w:marLeft w:val="0"/>
              <w:marRight w:val="0"/>
              <w:marTop w:val="0"/>
              <w:marBottom w:val="0"/>
              <w:divBdr>
                <w:top w:val="none" w:sz="0" w:space="0" w:color="auto"/>
                <w:left w:val="none" w:sz="0" w:space="0" w:color="auto"/>
                <w:bottom w:val="none" w:sz="0" w:space="0" w:color="auto"/>
                <w:right w:val="none" w:sz="0" w:space="0" w:color="auto"/>
              </w:divBdr>
              <w:divsChild>
                <w:div w:id="1840847190">
                  <w:marLeft w:val="0"/>
                  <w:marRight w:val="0"/>
                  <w:marTop w:val="0"/>
                  <w:marBottom w:val="0"/>
                  <w:divBdr>
                    <w:top w:val="none" w:sz="0" w:space="0" w:color="auto"/>
                    <w:left w:val="none" w:sz="0" w:space="0" w:color="auto"/>
                    <w:bottom w:val="none" w:sz="0" w:space="0" w:color="auto"/>
                    <w:right w:val="none" w:sz="0" w:space="0" w:color="auto"/>
                  </w:divBdr>
                  <w:divsChild>
                    <w:div w:id="474444898">
                      <w:marLeft w:val="0"/>
                      <w:marRight w:val="0"/>
                      <w:marTop w:val="0"/>
                      <w:marBottom w:val="0"/>
                      <w:divBdr>
                        <w:top w:val="none" w:sz="0" w:space="0" w:color="auto"/>
                        <w:left w:val="none" w:sz="0" w:space="0" w:color="auto"/>
                        <w:bottom w:val="none" w:sz="0" w:space="0" w:color="auto"/>
                        <w:right w:val="none" w:sz="0" w:space="0" w:color="auto"/>
                      </w:divBdr>
                      <w:divsChild>
                        <w:div w:id="946934075">
                          <w:marLeft w:val="0"/>
                          <w:marRight w:val="0"/>
                          <w:marTop w:val="0"/>
                          <w:marBottom w:val="0"/>
                          <w:divBdr>
                            <w:top w:val="none" w:sz="0" w:space="0" w:color="auto"/>
                            <w:left w:val="none" w:sz="0" w:space="0" w:color="auto"/>
                            <w:bottom w:val="none" w:sz="0" w:space="0" w:color="auto"/>
                            <w:right w:val="none" w:sz="0" w:space="0" w:color="auto"/>
                          </w:divBdr>
                          <w:divsChild>
                            <w:div w:id="258367359">
                              <w:marLeft w:val="0"/>
                              <w:marRight w:val="0"/>
                              <w:marTop w:val="0"/>
                              <w:marBottom w:val="0"/>
                              <w:divBdr>
                                <w:top w:val="none" w:sz="0" w:space="0" w:color="auto"/>
                                <w:left w:val="none" w:sz="0" w:space="0" w:color="auto"/>
                                <w:bottom w:val="none" w:sz="0" w:space="0" w:color="auto"/>
                                <w:right w:val="none" w:sz="0" w:space="0" w:color="auto"/>
                              </w:divBdr>
                              <w:divsChild>
                                <w:div w:id="316081703">
                                  <w:marLeft w:val="0"/>
                                  <w:marRight w:val="0"/>
                                  <w:marTop w:val="0"/>
                                  <w:marBottom w:val="0"/>
                                  <w:divBdr>
                                    <w:top w:val="none" w:sz="0" w:space="0" w:color="auto"/>
                                    <w:left w:val="none" w:sz="0" w:space="0" w:color="auto"/>
                                    <w:bottom w:val="none" w:sz="0" w:space="0" w:color="auto"/>
                                    <w:right w:val="none" w:sz="0" w:space="0" w:color="auto"/>
                                  </w:divBdr>
                                  <w:divsChild>
                                    <w:div w:id="761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35267">
      <w:bodyDiv w:val="1"/>
      <w:marLeft w:val="0"/>
      <w:marRight w:val="0"/>
      <w:marTop w:val="0"/>
      <w:marBottom w:val="0"/>
      <w:divBdr>
        <w:top w:val="none" w:sz="0" w:space="0" w:color="auto"/>
        <w:left w:val="none" w:sz="0" w:space="0" w:color="auto"/>
        <w:bottom w:val="none" w:sz="0" w:space="0" w:color="auto"/>
        <w:right w:val="none" w:sz="0" w:space="0" w:color="auto"/>
      </w:divBdr>
    </w:div>
    <w:div w:id="140079243">
      <w:bodyDiv w:val="1"/>
      <w:marLeft w:val="0"/>
      <w:marRight w:val="0"/>
      <w:marTop w:val="0"/>
      <w:marBottom w:val="0"/>
      <w:divBdr>
        <w:top w:val="none" w:sz="0" w:space="0" w:color="auto"/>
        <w:left w:val="none" w:sz="0" w:space="0" w:color="auto"/>
        <w:bottom w:val="none" w:sz="0" w:space="0" w:color="auto"/>
        <w:right w:val="none" w:sz="0" w:space="0" w:color="auto"/>
      </w:divBdr>
    </w:div>
    <w:div w:id="222058487">
      <w:bodyDiv w:val="1"/>
      <w:marLeft w:val="0"/>
      <w:marRight w:val="0"/>
      <w:marTop w:val="0"/>
      <w:marBottom w:val="0"/>
      <w:divBdr>
        <w:top w:val="none" w:sz="0" w:space="0" w:color="auto"/>
        <w:left w:val="none" w:sz="0" w:space="0" w:color="auto"/>
        <w:bottom w:val="none" w:sz="0" w:space="0" w:color="auto"/>
        <w:right w:val="none" w:sz="0" w:space="0" w:color="auto"/>
      </w:divBdr>
      <w:divsChild>
        <w:div w:id="1261335921">
          <w:marLeft w:val="0"/>
          <w:marRight w:val="0"/>
          <w:marTop w:val="0"/>
          <w:marBottom w:val="0"/>
          <w:divBdr>
            <w:top w:val="none" w:sz="0" w:space="0" w:color="auto"/>
            <w:left w:val="none" w:sz="0" w:space="0" w:color="auto"/>
            <w:bottom w:val="none" w:sz="0" w:space="0" w:color="auto"/>
            <w:right w:val="none" w:sz="0" w:space="0" w:color="auto"/>
          </w:divBdr>
          <w:divsChild>
            <w:div w:id="2065327887">
              <w:marLeft w:val="0"/>
              <w:marRight w:val="0"/>
              <w:marTop w:val="0"/>
              <w:marBottom w:val="0"/>
              <w:divBdr>
                <w:top w:val="none" w:sz="0" w:space="0" w:color="auto"/>
                <w:left w:val="none" w:sz="0" w:space="0" w:color="auto"/>
                <w:bottom w:val="none" w:sz="0" w:space="0" w:color="auto"/>
                <w:right w:val="none" w:sz="0" w:space="0" w:color="auto"/>
              </w:divBdr>
              <w:divsChild>
                <w:div w:id="2095658845">
                  <w:marLeft w:val="0"/>
                  <w:marRight w:val="0"/>
                  <w:marTop w:val="0"/>
                  <w:marBottom w:val="0"/>
                  <w:divBdr>
                    <w:top w:val="none" w:sz="0" w:space="0" w:color="auto"/>
                    <w:left w:val="none" w:sz="0" w:space="0" w:color="auto"/>
                    <w:bottom w:val="none" w:sz="0" w:space="0" w:color="auto"/>
                    <w:right w:val="none" w:sz="0" w:space="0" w:color="auto"/>
                  </w:divBdr>
                  <w:divsChild>
                    <w:div w:id="2002467020">
                      <w:marLeft w:val="0"/>
                      <w:marRight w:val="0"/>
                      <w:marTop w:val="0"/>
                      <w:marBottom w:val="0"/>
                      <w:divBdr>
                        <w:top w:val="none" w:sz="0" w:space="0" w:color="auto"/>
                        <w:left w:val="none" w:sz="0" w:space="0" w:color="auto"/>
                        <w:bottom w:val="none" w:sz="0" w:space="0" w:color="auto"/>
                        <w:right w:val="none" w:sz="0" w:space="0" w:color="auto"/>
                      </w:divBdr>
                      <w:divsChild>
                        <w:div w:id="1997800551">
                          <w:marLeft w:val="0"/>
                          <w:marRight w:val="0"/>
                          <w:marTop w:val="0"/>
                          <w:marBottom w:val="0"/>
                          <w:divBdr>
                            <w:top w:val="none" w:sz="0" w:space="0" w:color="auto"/>
                            <w:left w:val="none" w:sz="0" w:space="0" w:color="auto"/>
                            <w:bottom w:val="none" w:sz="0" w:space="0" w:color="auto"/>
                            <w:right w:val="none" w:sz="0" w:space="0" w:color="auto"/>
                          </w:divBdr>
                          <w:divsChild>
                            <w:div w:id="1615987795">
                              <w:marLeft w:val="0"/>
                              <w:marRight w:val="0"/>
                              <w:marTop w:val="0"/>
                              <w:marBottom w:val="0"/>
                              <w:divBdr>
                                <w:top w:val="none" w:sz="0" w:space="0" w:color="auto"/>
                                <w:left w:val="none" w:sz="0" w:space="0" w:color="auto"/>
                                <w:bottom w:val="none" w:sz="0" w:space="0" w:color="auto"/>
                                <w:right w:val="none" w:sz="0" w:space="0" w:color="auto"/>
                              </w:divBdr>
                              <w:divsChild>
                                <w:div w:id="184559257">
                                  <w:marLeft w:val="0"/>
                                  <w:marRight w:val="0"/>
                                  <w:marTop w:val="0"/>
                                  <w:marBottom w:val="0"/>
                                  <w:divBdr>
                                    <w:top w:val="none" w:sz="0" w:space="0" w:color="auto"/>
                                    <w:left w:val="none" w:sz="0" w:space="0" w:color="auto"/>
                                    <w:bottom w:val="none" w:sz="0" w:space="0" w:color="auto"/>
                                    <w:right w:val="none" w:sz="0" w:space="0" w:color="auto"/>
                                  </w:divBdr>
                                  <w:divsChild>
                                    <w:div w:id="14282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49970">
      <w:bodyDiv w:val="1"/>
      <w:marLeft w:val="0"/>
      <w:marRight w:val="0"/>
      <w:marTop w:val="0"/>
      <w:marBottom w:val="0"/>
      <w:divBdr>
        <w:top w:val="none" w:sz="0" w:space="0" w:color="auto"/>
        <w:left w:val="none" w:sz="0" w:space="0" w:color="auto"/>
        <w:bottom w:val="none" w:sz="0" w:space="0" w:color="auto"/>
        <w:right w:val="none" w:sz="0" w:space="0" w:color="auto"/>
      </w:divBdr>
    </w:div>
    <w:div w:id="339814679">
      <w:bodyDiv w:val="1"/>
      <w:marLeft w:val="0"/>
      <w:marRight w:val="0"/>
      <w:marTop w:val="0"/>
      <w:marBottom w:val="0"/>
      <w:divBdr>
        <w:top w:val="none" w:sz="0" w:space="0" w:color="auto"/>
        <w:left w:val="none" w:sz="0" w:space="0" w:color="auto"/>
        <w:bottom w:val="none" w:sz="0" w:space="0" w:color="auto"/>
        <w:right w:val="none" w:sz="0" w:space="0" w:color="auto"/>
      </w:divBdr>
    </w:div>
    <w:div w:id="377971887">
      <w:bodyDiv w:val="1"/>
      <w:marLeft w:val="0"/>
      <w:marRight w:val="0"/>
      <w:marTop w:val="0"/>
      <w:marBottom w:val="0"/>
      <w:divBdr>
        <w:top w:val="none" w:sz="0" w:space="0" w:color="auto"/>
        <w:left w:val="none" w:sz="0" w:space="0" w:color="auto"/>
        <w:bottom w:val="none" w:sz="0" w:space="0" w:color="auto"/>
        <w:right w:val="none" w:sz="0" w:space="0" w:color="auto"/>
      </w:divBdr>
    </w:div>
    <w:div w:id="520702921">
      <w:bodyDiv w:val="1"/>
      <w:marLeft w:val="0"/>
      <w:marRight w:val="0"/>
      <w:marTop w:val="0"/>
      <w:marBottom w:val="0"/>
      <w:divBdr>
        <w:top w:val="none" w:sz="0" w:space="0" w:color="auto"/>
        <w:left w:val="none" w:sz="0" w:space="0" w:color="auto"/>
        <w:bottom w:val="none" w:sz="0" w:space="0" w:color="auto"/>
        <w:right w:val="none" w:sz="0" w:space="0" w:color="auto"/>
      </w:divBdr>
    </w:div>
    <w:div w:id="645160737">
      <w:bodyDiv w:val="1"/>
      <w:marLeft w:val="0"/>
      <w:marRight w:val="0"/>
      <w:marTop w:val="0"/>
      <w:marBottom w:val="0"/>
      <w:divBdr>
        <w:top w:val="none" w:sz="0" w:space="0" w:color="auto"/>
        <w:left w:val="none" w:sz="0" w:space="0" w:color="auto"/>
        <w:bottom w:val="none" w:sz="0" w:space="0" w:color="auto"/>
        <w:right w:val="none" w:sz="0" w:space="0" w:color="auto"/>
      </w:divBdr>
    </w:div>
    <w:div w:id="711929334">
      <w:bodyDiv w:val="1"/>
      <w:marLeft w:val="0"/>
      <w:marRight w:val="0"/>
      <w:marTop w:val="0"/>
      <w:marBottom w:val="0"/>
      <w:divBdr>
        <w:top w:val="none" w:sz="0" w:space="0" w:color="auto"/>
        <w:left w:val="none" w:sz="0" w:space="0" w:color="auto"/>
        <w:bottom w:val="none" w:sz="0" w:space="0" w:color="auto"/>
        <w:right w:val="none" w:sz="0" w:space="0" w:color="auto"/>
      </w:divBdr>
    </w:div>
    <w:div w:id="816339952">
      <w:bodyDiv w:val="1"/>
      <w:marLeft w:val="0"/>
      <w:marRight w:val="0"/>
      <w:marTop w:val="0"/>
      <w:marBottom w:val="0"/>
      <w:divBdr>
        <w:top w:val="none" w:sz="0" w:space="0" w:color="auto"/>
        <w:left w:val="none" w:sz="0" w:space="0" w:color="auto"/>
        <w:bottom w:val="none" w:sz="0" w:space="0" w:color="auto"/>
        <w:right w:val="none" w:sz="0" w:space="0" w:color="auto"/>
      </w:divBdr>
    </w:div>
    <w:div w:id="913708496">
      <w:bodyDiv w:val="1"/>
      <w:marLeft w:val="0"/>
      <w:marRight w:val="0"/>
      <w:marTop w:val="0"/>
      <w:marBottom w:val="0"/>
      <w:divBdr>
        <w:top w:val="none" w:sz="0" w:space="0" w:color="auto"/>
        <w:left w:val="none" w:sz="0" w:space="0" w:color="auto"/>
        <w:bottom w:val="none" w:sz="0" w:space="0" w:color="auto"/>
        <w:right w:val="none" w:sz="0" w:space="0" w:color="auto"/>
      </w:divBdr>
    </w:div>
    <w:div w:id="1019042171">
      <w:bodyDiv w:val="1"/>
      <w:marLeft w:val="0"/>
      <w:marRight w:val="0"/>
      <w:marTop w:val="0"/>
      <w:marBottom w:val="0"/>
      <w:divBdr>
        <w:top w:val="none" w:sz="0" w:space="0" w:color="auto"/>
        <w:left w:val="none" w:sz="0" w:space="0" w:color="auto"/>
        <w:bottom w:val="none" w:sz="0" w:space="0" w:color="auto"/>
        <w:right w:val="none" w:sz="0" w:space="0" w:color="auto"/>
      </w:divBdr>
    </w:div>
    <w:div w:id="1045062200">
      <w:bodyDiv w:val="1"/>
      <w:marLeft w:val="0"/>
      <w:marRight w:val="0"/>
      <w:marTop w:val="0"/>
      <w:marBottom w:val="0"/>
      <w:divBdr>
        <w:top w:val="none" w:sz="0" w:space="0" w:color="auto"/>
        <w:left w:val="none" w:sz="0" w:space="0" w:color="auto"/>
        <w:bottom w:val="none" w:sz="0" w:space="0" w:color="auto"/>
        <w:right w:val="none" w:sz="0" w:space="0" w:color="auto"/>
      </w:divBdr>
    </w:div>
    <w:div w:id="1162618231">
      <w:bodyDiv w:val="1"/>
      <w:marLeft w:val="0"/>
      <w:marRight w:val="0"/>
      <w:marTop w:val="0"/>
      <w:marBottom w:val="0"/>
      <w:divBdr>
        <w:top w:val="none" w:sz="0" w:space="0" w:color="auto"/>
        <w:left w:val="none" w:sz="0" w:space="0" w:color="auto"/>
        <w:bottom w:val="none" w:sz="0" w:space="0" w:color="auto"/>
        <w:right w:val="none" w:sz="0" w:space="0" w:color="auto"/>
      </w:divBdr>
    </w:div>
    <w:div w:id="1220359030">
      <w:bodyDiv w:val="1"/>
      <w:marLeft w:val="0"/>
      <w:marRight w:val="0"/>
      <w:marTop w:val="0"/>
      <w:marBottom w:val="0"/>
      <w:divBdr>
        <w:top w:val="none" w:sz="0" w:space="0" w:color="auto"/>
        <w:left w:val="none" w:sz="0" w:space="0" w:color="auto"/>
        <w:bottom w:val="none" w:sz="0" w:space="0" w:color="auto"/>
        <w:right w:val="none" w:sz="0" w:space="0" w:color="auto"/>
      </w:divBdr>
    </w:div>
    <w:div w:id="1388189442">
      <w:bodyDiv w:val="1"/>
      <w:marLeft w:val="0"/>
      <w:marRight w:val="0"/>
      <w:marTop w:val="0"/>
      <w:marBottom w:val="0"/>
      <w:divBdr>
        <w:top w:val="none" w:sz="0" w:space="0" w:color="auto"/>
        <w:left w:val="none" w:sz="0" w:space="0" w:color="auto"/>
        <w:bottom w:val="none" w:sz="0" w:space="0" w:color="auto"/>
        <w:right w:val="none" w:sz="0" w:space="0" w:color="auto"/>
      </w:divBdr>
    </w:div>
    <w:div w:id="1449660260">
      <w:bodyDiv w:val="1"/>
      <w:marLeft w:val="0"/>
      <w:marRight w:val="0"/>
      <w:marTop w:val="0"/>
      <w:marBottom w:val="0"/>
      <w:divBdr>
        <w:top w:val="none" w:sz="0" w:space="0" w:color="auto"/>
        <w:left w:val="none" w:sz="0" w:space="0" w:color="auto"/>
        <w:bottom w:val="none" w:sz="0" w:space="0" w:color="auto"/>
        <w:right w:val="none" w:sz="0" w:space="0" w:color="auto"/>
      </w:divBdr>
    </w:div>
    <w:div w:id="1518274594">
      <w:bodyDiv w:val="1"/>
      <w:marLeft w:val="0"/>
      <w:marRight w:val="0"/>
      <w:marTop w:val="0"/>
      <w:marBottom w:val="0"/>
      <w:divBdr>
        <w:top w:val="none" w:sz="0" w:space="0" w:color="auto"/>
        <w:left w:val="none" w:sz="0" w:space="0" w:color="auto"/>
        <w:bottom w:val="none" w:sz="0" w:space="0" w:color="auto"/>
        <w:right w:val="none" w:sz="0" w:space="0" w:color="auto"/>
      </w:divBdr>
    </w:div>
    <w:div w:id="1545753859">
      <w:bodyDiv w:val="1"/>
      <w:marLeft w:val="0"/>
      <w:marRight w:val="0"/>
      <w:marTop w:val="0"/>
      <w:marBottom w:val="0"/>
      <w:divBdr>
        <w:top w:val="none" w:sz="0" w:space="0" w:color="auto"/>
        <w:left w:val="none" w:sz="0" w:space="0" w:color="auto"/>
        <w:bottom w:val="none" w:sz="0" w:space="0" w:color="auto"/>
        <w:right w:val="none" w:sz="0" w:space="0" w:color="auto"/>
      </w:divBdr>
    </w:div>
    <w:div w:id="1610547222">
      <w:bodyDiv w:val="1"/>
      <w:marLeft w:val="0"/>
      <w:marRight w:val="0"/>
      <w:marTop w:val="0"/>
      <w:marBottom w:val="0"/>
      <w:divBdr>
        <w:top w:val="none" w:sz="0" w:space="0" w:color="auto"/>
        <w:left w:val="none" w:sz="0" w:space="0" w:color="auto"/>
        <w:bottom w:val="none" w:sz="0" w:space="0" w:color="auto"/>
        <w:right w:val="none" w:sz="0" w:space="0" w:color="auto"/>
      </w:divBdr>
    </w:div>
    <w:div w:id="1638608254">
      <w:bodyDiv w:val="1"/>
      <w:marLeft w:val="0"/>
      <w:marRight w:val="0"/>
      <w:marTop w:val="0"/>
      <w:marBottom w:val="0"/>
      <w:divBdr>
        <w:top w:val="none" w:sz="0" w:space="0" w:color="auto"/>
        <w:left w:val="none" w:sz="0" w:space="0" w:color="auto"/>
        <w:bottom w:val="none" w:sz="0" w:space="0" w:color="auto"/>
        <w:right w:val="none" w:sz="0" w:space="0" w:color="auto"/>
      </w:divBdr>
    </w:div>
    <w:div w:id="1651471807">
      <w:bodyDiv w:val="1"/>
      <w:marLeft w:val="0"/>
      <w:marRight w:val="0"/>
      <w:marTop w:val="0"/>
      <w:marBottom w:val="0"/>
      <w:divBdr>
        <w:top w:val="none" w:sz="0" w:space="0" w:color="auto"/>
        <w:left w:val="none" w:sz="0" w:space="0" w:color="auto"/>
        <w:bottom w:val="none" w:sz="0" w:space="0" w:color="auto"/>
        <w:right w:val="none" w:sz="0" w:space="0" w:color="auto"/>
      </w:divBdr>
    </w:div>
    <w:div w:id="1874422493">
      <w:bodyDiv w:val="1"/>
      <w:marLeft w:val="0"/>
      <w:marRight w:val="0"/>
      <w:marTop w:val="0"/>
      <w:marBottom w:val="0"/>
      <w:divBdr>
        <w:top w:val="none" w:sz="0" w:space="0" w:color="auto"/>
        <w:left w:val="none" w:sz="0" w:space="0" w:color="auto"/>
        <w:bottom w:val="none" w:sz="0" w:space="0" w:color="auto"/>
        <w:right w:val="none" w:sz="0" w:space="0" w:color="auto"/>
      </w:divBdr>
    </w:div>
    <w:div w:id="1899778835">
      <w:bodyDiv w:val="1"/>
      <w:marLeft w:val="0"/>
      <w:marRight w:val="0"/>
      <w:marTop w:val="0"/>
      <w:marBottom w:val="0"/>
      <w:divBdr>
        <w:top w:val="none" w:sz="0" w:space="0" w:color="auto"/>
        <w:left w:val="none" w:sz="0" w:space="0" w:color="auto"/>
        <w:bottom w:val="none" w:sz="0" w:space="0" w:color="auto"/>
        <w:right w:val="none" w:sz="0" w:space="0" w:color="auto"/>
      </w:divBdr>
    </w:div>
    <w:div w:id="1912303528">
      <w:bodyDiv w:val="1"/>
      <w:marLeft w:val="0"/>
      <w:marRight w:val="0"/>
      <w:marTop w:val="0"/>
      <w:marBottom w:val="0"/>
      <w:divBdr>
        <w:top w:val="none" w:sz="0" w:space="0" w:color="auto"/>
        <w:left w:val="none" w:sz="0" w:space="0" w:color="auto"/>
        <w:bottom w:val="none" w:sz="0" w:space="0" w:color="auto"/>
        <w:right w:val="none" w:sz="0" w:space="0" w:color="auto"/>
      </w:divBdr>
    </w:div>
    <w:div w:id="1914505172">
      <w:bodyDiv w:val="1"/>
      <w:marLeft w:val="0"/>
      <w:marRight w:val="0"/>
      <w:marTop w:val="0"/>
      <w:marBottom w:val="0"/>
      <w:divBdr>
        <w:top w:val="none" w:sz="0" w:space="0" w:color="auto"/>
        <w:left w:val="none" w:sz="0" w:space="0" w:color="auto"/>
        <w:bottom w:val="none" w:sz="0" w:space="0" w:color="auto"/>
        <w:right w:val="none" w:sz="0" w:space="0" w:color="auto"/>
      </w:divBdr>
    </w:div>
    <w:div w:id="2059011372">
      <w:bodyDiv w:val="1"/>
      <w:marLeft w:val="0"/>
      <w:marRight w:val="0"/>
      <w:marTop w:val="0"/>
      <w:marBottom w:val="0"/>
      <w:divBdr>
        <w:top w:val="none" w:sz="0" w:space="0" w:color="auto"/>
        <w:left w:val="none" w:sz="0" w:space="0" w:color="auto"/>
        <w:bottom w:val="none" w:sz="0" w:space="0" w:color="auto"/>
        <w:right w:val="none" w:sz="0" w:space="0" w:color="auto"/>
      </w:divBdr>
    </w:div>
    <w:div w:id="21183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unfccc.int/sites/default/files/2024-11/Brazil_Second%20Nationally%20Determined%20Contribution%20%28NDC%29_November2024.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apitalreset.uol.com.br/financas/investimentos/seguradoras-terao-que-destinar-r-9-bi-para-creditos-de-carbono/" TargetMode="External"/><Relationship Id="rId7" Type="http://schemas.openxmlformats.org/officeDocument/2006/relationships/settings" Target="settings.xml"/><Relationship Id="rId12" Type="http://schemas.openxmlformats.org/officeDocument/2006/relationships/hyperlink" Target="https://www.nature.org/content/dam/tnc/nature/en/documents/TNC_Article_6_Explainer.pdf" TargetMode="External"/><Relationship Id="rId17" Type="http://schemas.openxmlformats.org/officeDocument/2006/relationships/hyperlink" Target="https://www.gov.br/mma/pt-br/composicao/smc/plano-clim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lanalto.gov.br/ccivil_03/_ato2023-2026/2024/lei/L15076.htm" TargetMode="External"/><Relationship Id="rId20" Type="http://schemas.openxmlformats.org/officeDocument/2006/relationships/hyperlink" Target="https://www.nature.org/content/dam/tnc/nature/en/documents/TNC_Article_6_Explaine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daniel.blum@alliedoffsets.com" TargetMode="External"/><Relationship Id="rId5" Type="http://schemas.openxmlformats.org/officeDocument/2006/relationships/numbering" Target="numbering.xml"/><Relationship Id="rId15" Type="http://schemas.openxmlformats.org/officeDocument/2006/relationships/hyperlink" Target="https://www.planalto.gov.br/ccivil_03/_ato2023-2026/2024/lei/L15042.htm" TargetMode="External"/><Relationship Id="rId23" Type="http://schemas.openxmlformats.org/officeDocument/2006/relationships/hyperlink" Target="mailto:fundi.maphanga@alliedoffsets.com" TargetMode="External"/><Relationship Id="rId10" Type="http://schemas.openxmlformats.org/officeDocument/2006/relationships/endnotes" Target="endnotes.xml"/><Relationship Id="rId19" Type="http://schemas.openxmlformats.org/officeDocument/2006/relationships/hyperlink" Target="https://icapcarbonaction.com/system/files/ets_pdfs/icap-etsmap-factsheet-79.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br/fazenda/pt-br/assuntos/noticias/2024/dezembro/conheca-mais-detalhes-das-cinco-fases-de-implementacao-do-mercado-de-carbono-no-brasil" TargetMode="External"/><Relationship Id="rId22" Type="http://schemas.openxmlformats.org/officeDocument/2006/relationships/hyperlink" Target="mailto:juliana@ac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3A0A76287508479D122D93764077C3" ma:contentTypeVersion="23" ma:contentTypeDescription="Create a new document." ma:contentTypeScope="" ma:versionID="7403d4a2fdd8005654880d9676c3f245">
  <xsd:schema xmlns:xsd="http://www.w3.org/2001/XMLSchema" xmlns:xs="http://www.w3.org/2001/XMLSchema" xmlns:p="http://schemas.microsoft.com/office/2006/metadata/properties" xmlns:ns2="ea4fc30a-bd6e-4bdc-9475-bd1b19e6c618" xmlns:ns3="9825ada1-3a22-4410-bad4-eceff850fb68" targetNamespace="http://schemas.microsoft.com/office/2006/metadata/properties" ma:root="true" ma:fieldsID="2b1d5596bf403f04efd60d17eea236a9" ns2:_="" ns3:_="">
    <xsd:import namespace="ea4fc30a-bd6e-4bdc-9475-bd1b19e6c618"/>
    <xsd:import namespace="9825ada1-3a22-4410-bad4-eceff850f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Comment" minOccurs="0"/>
                <xsd:element ref="ns2:MediaServiceSearchProperties" minOccurs="0"/>
                <xsd:element ref="ns2:Project_x0020_title" minOccurs="0"/>
                <xsd:element ref="ns2:q5m9" minOccurs="0"/>
                <xsd:element ref="ns2:nm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fc30a-bd6e-4bdc-9475-bd1b19e6c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a6f9d36-78c2-42a0-aec4-6b7ba91fb5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Project_x0020_title" ma:index="27" nillable="true" ma:displayName="Project title" ma:internalName="Project_x0020_title">
      <xsd:simpleType>
        <xsd:restriction base="dms:Text">
          <xsd:maxLength value="255"/>
        </xsd:restriction>
      </xsd:simpleType>
    </xsd:element>
    <xsd:element name="q5m9" ma:index="28" nillable="true" ma:displayName="Person or Group" ma:list="UserInfo" ma:internalName="q5m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mes" ma:index="29" nillable="true" ma:displayName="Person or Group" ma:list="UserInfo" ma:internalName="nm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25ada1-3a22-4410-bad4-eceff850fb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2d55dd0-9d38-4d30-9833-8960a5ba7c3f}" ma:internalName="TaxCatchAll" ma:showField="CatchAllData" ma:web="9825ada1-3a22-4410-bad4-eceff850f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825ada1-3a22-4410-bad4-eceff850fb68" xsi:nil="true"/>
    <lcf76f155ced4ddcb4097134ff3c332f xmlns="ea4fc30a-bd6e-4bdc-9475-bd1b19e6c618">
      <Terms xmlns="http://schemas.microsoft.com/office/infopath/2007/PartnerControls"/>
    </lcf76f155ced4ddcb4097134ff3c332f>
    <nmes xmlns="ea4fc30a-bd6e-4bdc-9475-bd1b19e6c618">
      <UserInfo>
        <DisplayName/>
        <AccountId xsi:nil="true"/>
        <AccountType/>
      </UserInfo>
    </nmes>
    <q5m9 xmlns="ea4fc30a-bd6e-4bdc-9475-bd1b19e6c618">
      <UserInfo>
        <DisplayName/>
        <AccountId xsi:nil="true"/>
        <AccountType/>
      </UserInfo>
    </q5m9>
    <Comment xmlns="ea4fc30a-bd6e-4bdc-9475-bd1b19e6c618" xsi:nil="true"/>
    <Project_x0020_title xmlns="ea4fc30a-bd6e-4bdc-9475-bd1b19e6c618" xsi:nil="true"/>
  </documentManagement>
</p:properties>
</file>

<file path=customXml/itemProps1.xml><?xml version="1.0" encoding="utf-8"?>
<ds:datastoreItem xmlns:ds="http://schemas.openxmlformats.org/officeDocument/2006/customXml" ds:itemID="{87FB7FFF-F4A1-4877-A988-AAF8F41C15CC}">
  <ds:schemaRefs>
    <ds:schemaRef ds:uri="http://schemas.openxmlformats.org/officeDocument/2006/bibliography"/>
  </ds:schemaRefs>
</ds:datastoreItem>
</file>

<file path=customXml/itemProps2.xml><?xml version="1.0" encoding="utf-8"?>
<ds:datastoreItem xmlns:ds="http://schemas.openxmlformats.org/officeDocument/2006/customXml" ds:itemID="{AD1BE804-7589-473A-85E4-C792FC4EAEED}"/>
</file>

<file path=customXml/itemProps3.xml><?xml version="1.0" encoding="utf-8"?>
<ds:datastoreItem xmlns:ds="http://schemas.openxmlformats.org/officeDocument/2006/customXml" ds:itemID="{E8502746-79A7-4FC8-9A3D-7897E4400D21}">
  <ds:schemaRefs>
    <ds:schemaRef ds:uri="http://schemas.microsoft.com/sharepoint/v3/contenttype/forms"/>
  </ds:schemaRefs>
</ds:datastoreItem>
</file>

<file path=customXml/itemProps4.xml><?xml version="1.0" encoding="utf-8"?>
<ds:datastoreItem xmlns:ds="http://schemas.openxmlformats.org/officeDocument/2006/customXml" ds:itemID="{90A95167-74E7-4D18-BD5D-59AD42244D53}">
  <ds:schemaRefs>
    <ds:schemaRef ds:uri="http://schemas.microsoft.com/office/2006/metadata/properties"/>
    <ds:schemaRef ds:uri="http://schemas.microsoft.com/office/infopath/2007/PartnerControls"/>
    <ds:schemaRef ds:uri="9825ada1-3a22-4410-bad4-eceff850fb68"/>
    <ds:schemaRef ds:uri="ea4fc30a-bd6e-4bdc-9475-bd1b19e6c618"/>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6</Pages>
  <Words>2241</Words>
  <Characters>12775</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Kouchakji Elliott</dc:creator>
  <cp:keywords/>
  <dc:description/>
  <cp:lastModifiedBy>Mariana Tavares</cp:lastModifiedBy>
  <cp:revision>59</cp:revision>
  <dcterms:created xsi:type="dcterms:W3CDTF">2025-06-20T14:03:00Z</dcterms:created>
  <dcterms:modified xsi:type="dcterms:W3CDTF">2025-08-05T18:06:00Z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0x010100FD3A0A76287508479D122D93764077C3</vt:lpwstr>
  </property>
  <property fmtid="{D5CDD505-2E9C-101B-9397-08002B2CF9AE}" pid="3" name="MediaServiceImageTags">
    <vt:lpwstr/>
  </property>
</Properties>
</file>