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90159B" w:rsidR="0075182D" w:rsidP="00E71291" w:rsidRDefault="00CF2EB7" w14:paraId="0A09DE23" w14:textId="3CB613D8">
      <w:pPr>
        <w:pStyle w:val="Style1"/>
        <w:shd w:val="clear" w:color="auto" w:fill="auto"/>
        <w:ind w:right="566"/>
        <w:rPr>
          <w:color w:val="auto"/>
          <w:lang w:val="en-GB"/>
        </w:rPr>
      </w:pPr>
      <w:r>
        <w:rPr>
          <w:color w:val="auto"/>
          <w:lang w:val="en-GB"/>
        </w:rPr>
        <w:t>JULY</w:t>
      </w:r>
      <w:r w:rsidRPr="0090159B">
        <w:rPr>
          <w:color w:val="auto"/>
          <w:lang w:val="en-GB"/>
        </w:rPr>
        <w:t xml:space="preserve"> </w:t>
      </w:r>
      <w:r w:rsidRPr="0090159B" w:rsidR="005A3F85">
        <w:rPr>
          <w:color w:val="auto"/>
          <w:lang w:val="en-GB"/>
        </w:rPr>
        <w:t>202</w:t>
      </w:r>
      <w:r w:rsidRPr="0090159B" w:rsidR="00D31AB7">
        <w:rPr>
          <w:color w:val="auto"/>
          <w:lang w:val="en-GB"/>
        </w:rPr>
        <w:t>5</w:t>
      </w:r>
      <w:r w:rsidRPr="0090159B" w:rsidR="00216899">
        <w:rPr>
          <w:color w:val="auto"/>
          <w:lang w:val="en-GB"/>
        </w:rPr>
        <w:t xml:space="preserve"> </w:t>
      </w:r>
      <w:r w:rsidRPr="0090159B" w:rsidR="00216899">
        <w:rPr>
          <w:b/>
          <w:bCs/>
          <w:color w:val="auto"/>
          <w:lang w:val="en-GB"/>
        </w:rPr>
        <w:t>|</w:t>
      </w:r>
      <w:r w:rsidR="00424E43">
        <w:rPr>
          <w:b/>
          <w:bCs/>
          <w:color w:val="auto"/>
          <w:lang w:val="en-GB"/>
        </w:rPr>
        <w:t xml:space="preserve"> </w:t>
      </w:r>
      <w:r w:rsidRPr="0090159B" w:rsidR="005A3F85">
        <w:rPr>
          <w:b/>
          <w:bCs/>
          <w:color w:val="auto"/>
          <w:lang w:val="en-GB"/>
        </w:rPr>
        <w:t xml:space="preserve">IETA </w:t>
      </w:r>
      <w:r w:rsidRPr="0090159B" w:rsidR="00733986">
        <w:rPr>
          <w:b/>
          <w:bCs/>
          <w:color w:val="auto"/>
          <w:lang w:val="en-GB"/>
        </w:rPr>
        <w:t xml:space="preserve">DISCUSSION </w:t>
      </w:r>
      <w:r w:rsidRPr="0090159B" w:rsidR="005A3F85">
        <w:rPr>
          <w:b/>
          <w:bCs/>
          <w:color w:val="auto"/>
          <w:lang w:val="en-GB"/>
        </w:rPr>
        <w:t>PAPER</w:t>
      </w:r>
      <w:r w:rsidRPr="0090159B" w:rsidR="00216899">
        <w:rPr>
          <w:b/>
          <w:bCs/>
          <w:color w:val="auto"/>
          <w:lang w:val="en-GB"/>
        </w:rPr>
        <w:t xml:space="preserve"> |</w:t>
      </w:r>
      <w:r w:rsidRPr="0090159B" w:rsidR="005A3F85">
        <w:rPr>
          <w:color w:val="auto"/>
          <w:lang w:val="en-GB"/>
        </w:rPr>
        <w:t>BRAZILIAN EMISSIONS TRADING SYSTEM</w:t>
      </w:r>
      <w:r w:rsidRPr="0090159B" w:rsidR="00D31AB7">
        <w:rPr>
          <w:color w:val="auto"/>
          <w:lang w:val="en-GB"/>
        </w:rPr>
        <w:t xml:space="preserve"> (SBCE)</w:t>
      </w:r>
    </w:p>
    <w:p w:rsidRPr="0090159B" w:rsidR="00216899" w:rsidP="00E71291" w:rsidRDefault="00216899" w14:paraId="1D649619" w14:textId="704D3F76">
      <w:pPr>
        <w:spacing w:line="360" w:lineRule="auto"/>
        <w:rPr>
          <w:rFonts w:ascii="Calibri" w:hAnsi="Calibri" w:eastAsia="Times New Roman" w:cs="Calibri"/>
          <w:kern w:val="0"/>
          <w:sz w:val="22"/>
          <w:szCs w:val="22"/>
          <w:u w:val="single"/>
          <w:lang w:bidi="he-IL"/>
          <w14:ligatures w14:val="none"/>
        </w:rPr>
      </w:pPr>
      <w:r w:rsidRPr="0090159B">
        <w:rPr>
          <w:rFonts w:ascii="Calibri" w:hAnsi="Calibri" w:eastAsia="Times New Roman" w:cs="Calibri"/>
          <w:kern w:val="0"/>
          <w:sz w:val="22"/>
          <w:szCs w:val="22"/>
          <w:lang w:bidi="he-IL"/>
          <w14:ligatures w14:val="none"/>
        </w:rPr>
        <w:t xml:space="preserve">     </w:t>
      </w:r>
      <w:r w:rsidRPr="0090159B">
        <w:rPr>
          <w:rFonts w:ascii="Calibri" w:hAnsi="Calibri" w:eastAsia="Times New Roman" w:cs="Calibri"/>
          <w:kern w:val="0"/>
          <w:sz w:val="22"/>
          <w:szCs w:val="22"/>
          <w:u w:val="single"/>
          <w:lang w:bidi="he-IL"/>
          <w14:ligatures w14:val="none"/>
        </w:rPr>
        <w:t xml:space="preserve">                                                                                                                                                                                                            </w:t>
      </w:r>
    </w:p>
    <w:p w:rsidR="00BD2057" w:rsidP="00E71291" w:rsidRDefault="00BD2057" w14:paraId="0EE55FEC" w14:textId="488EFFA7">
      <w:pPr>
        <w:spacing w:before="120" w:after="120" w:line="360" w:lineRule="auto"/>
        <w:ind w:right="567"/>
        <w:jc w:val="both"/>
        <w:rPr>
          <w:rFonts w:ascii="Aptos" w:hAnsi="Aptos"/>
          <w:b/>
          <w:bCs/>
          <w:sz w:val="22"/>
          <w:szCs w:val="22"/>
        </w:rPr>
      </w:pPr>
      <w:r>
        <w:rPr>
          <w:rFonts w:ascii="Aptos" w:hAnsi="Aptos"/>
          <w:b/>
          <w:bCs/>
          <w:sz w:val="22"/>
          <w:szCs w:val="22"/>
        </w:rPr>
        <w:t>EXECUTIVE SUMMARY</w:t>
      </w:r>
    </w:p>
    <w:p w:rsidRPr="00171AD4" w:rsidR="00BD2057" w:rsidP="00171AD4" w:rsidRDefault="00BD2057" w14:paraId="4A648BD9" w14:textId="77777777">
      <w:pPr>
        <w:spacing w:before="120" w:after="120" w:line="276" w:lineRule="auto"/>
        <w:ind w:right="567"/>
        <w:jc w:val="both"/>
        <w:rPr>
          <w:rFonts w:ascii="Aptos" w:hAnsi="Aptos"/>
          <w:sz w:val="22"/>
          <w:szCs w:val="22"/>
        </w:rPr>
      </w:pPr>
      <w:r w:rsidRPr="00171AD4">
        <w:rPr>
          <w:rFonts w:ascii="Aptos" w:hAnsi="Aptos"/>
          <w:sz w:val="22"/>
          <w:szCs w:val="22"/>
        </w:rPr>
        <w:t>This discussion paper from IETA highlights key considerations for Brazil's newly approved Emissions Trading System (SBCE), established by Law no. 15,042/2024. The SBCE is crucial for Brazil to meet its Paris Agreement commitments, fostering decarbonization, attracting investment, and boosting competitiveness. The paper stresses the need for an environmentally sound, economically efficient, and socially just system. Given Brazil's strong position for net-zero, developing this regulatory framework, especiall</w:t>
      </w:r>
      <w:r w:rsidRPr="00BD2057">
        <w:t>y</w:t>
      </w:r>
      <w:r w:rsidRPr="00171AD4">
        <w:rPr>
          <w:rFonts w:ascii="Aptos" w:hAnsi="Aptos"/>
          <w:sz w:val="22"/>
          <w:szCs w:val="22"/>
        </w:rPr>
        <w:t xml:space="preserve"> before COP30, is vital for mobilizing private capital. The document focuses on core elements for the SBCE's effective implementation, starting with its integration into existing carbon markets.</w:t>
      </w:r>
    </w:p>
    <w:p w:rsidRPr="00171AD4" w:rsidR="00BD2057" w:rsidP="00171AD4" w:rsidRDefault="00BD2057" w14:paraId="0E55D117" w14:textId="7421A2C6">
      <w:pPr>
        <w:spacing w:before="120" w:after="120" w:line="276" w:lineRule="auto"/>
        <w:ind w:right="567"/>
        <w:jc w:val="both"/>
        <w:rPr>
          <w:rFonts w:ascii="Aptos" w:hAnsi="Aptos"/>
          <w:sz w:val="22"/>
          <w:szCs w:val="22"/>
        </w:rPr>
      </w:pPr>
      <w:r w:rsidRPr="00171AD4">
        <w:rPr>
          <w:rFonts w:ascii="Aptos" w:hAnsi="Aptos"/>
          <w:sz w:val="22"/>
          <w:szCs w:val="22"/>
        </w:rPr>
        <w:t xml:space="preserve">A pivotal aspect is clearly defining the </w:t>
      </w:r>
      <w:r w:rsidR="005343E2">
        <w:rPr>
          <w:rFonts w:ascii="Aptos" w:hAnsi="Aptos"/>
          <w:sz w:val="22"/>
          <w:szCs w:val="22"/>
        </w:rPr>
        <w:t>c</w:t>
      </w:r>
      <w:r w:rsidRPr="00171AD4">
        <w:rPr>
          <w:rFonts w:ascii="Aptos" w:hAnsi="Aptos"/>
          <w:sz w:val="22"/>
          <w:szCs w:val="22"/>
        </w:rPr>
        <w:t xml:space="preserve">onnection between the Voluntary Carbon Market (VCM) and SBCE, particularly regarding </w:t>
      </w:r>
      <w:r w:rsidR="001C4D1A">
        <w:rPr>
          <w:rFonts w:ascii="Aptos" w:hAnsi="Aptos"/>
          <w:sz w:val="22"/>
          <w:szCs w:val="22"/>
        </w:rPr>
        <w:t>“</w:t>
      </w:r>
      <w:proofErr w:type="spellStart"/>
      <w:r w:rsidRPr="00171AD4" w:rsidR="001C4D1A">
        <w:rPr>
          <w:rFonts w:ascii="Aptos" w:hAnsi="Aptos"/>
          <w:i/>
          <w:iCs/>
          <w:sz w:val="22"/>
          <w:szCs w:val="22"/>
        </w:rPr>
        <w:t>Certificado</w:t>
      </w:r>
      <w:proofErr w:type="spellEnd"/>
      <w:r w:rsidRPr="00171AD4" w:rsidR="001C4D1A">
        <w:rPr>
          <w:rFonts w:ascii="Aptos" w:hAnsi="Aptos"/>
          <w:i/>
          <w:iCs/>
          <w:sz w:val="22"/>
          <w:szCs w:val="22"/>
        </w:rPr>
        <w:t xml:space="preserve"> de </w:t>
      </w:r>
      <w:proofErr w:type="spellStart"/>
      <w:r w:rsidRPr="00171AD4" w:rsidR="001C4D1A">
        <w:rPr>
          <w:rFonts w:ascii="Aptos" w:hAnsi="Aptos"/>
          <w:i/>
          <w:iCs/>
          <w:sz w:val="22"/>
          <w:szCs w:val="22"/>
        </w:rPr>
        <w:t>Redução</w:t>
      </w:r>
      <w:proofErr w:type="spellEnd"/>
      <w:r w:rsidRPr="00171AD4" w:rsidR="001C4D1A">
        <w:rPr>
          <w:rFonts w:ascii="Aptos" w:hAnsi="Aptos"/>
          <w:i/>
          <w:iCs/>
          <w:sz w:val="22"/>
          <w:szCs w:val="22"/>
        </w:rPr>
        <w:t xml:space="preserve"> </w:t>
      </w:r>
      <w:proofErr w:type="spellStart"/>
      <w:r w:rsidRPr="00171AD4" w:rsidR="001C4D1A">
        <w:rPr>
          <w:rFonts w:ascii="Aptos" w:hAnsi="Aptos"/>
          <w:i/>
          <w:iCs/>
          <w:sz w:val="22"/>
          <w:szCs w:val="22"/>
        </w:rPr>
        <w:t>ou</w:t>
      </w:r>
      <w:proofErr w:type="spellEnd"/>
      <w:r w:rsidRPr="00171AD4" w:rsidR="001C4D1A">
        <w:rPr>
          <w:rFonts w:ascii="Aptos" w:hAnsi="Aptos"/>
          <w:i/>
          <w:iCs/>
          <w:sz w:val="22"/>
          <w:szCs w:val="22"/>
        </w:rPr>
        <w:t xml:space="preserve"> </w:t>
      </w:r>
      <w:proofErr w:type="spellStart"/>
      <w:r w:rsidRPr="00171AD4" w:rsidR="001C4D1A">
        <w:rPr>
          <w:rFonts w:ascii="Aptos" w:hAnsi="Aptos"/>
          <w:i/>
          <w:iCs/>
          <w:sz w:val="22"/>
          <w:szCs w:val="22"/>
        </w:rPr>
        <w:t>Remoção</w:t>
      </w:r>
      <w:proofErr w:type="spellEnd"/>
      <w:r w:rsidRPr="00171AD4" w:rsidR="001C4D1A">
        <w:rPr>
          <w:rFonts w:ascii="Aptos" w:hAnsi="Aptos"/>
          <w:i/>
          <w:iCs/>
          <w:sz w:val="22"/>
          <w:szCs w:val="22"/>
        </w:rPr>
        <w:t xml:space="preserve"> </w:t>
      </w:r>
      <w:proofErr w:type="spellStart"/>
      <w:r w:rsidRPr="00171AD4" w:rsidR="001C4D1A">
        <w:rPr>
          <w:rFonts w:ascii="Aptos" w:hAnsi="Aptos"/>
          <w:i/>
          <w:iCs/>
          <w:sz w:val="22"/>
          <w:szCs w:val="22"/>
        </w:rPr>
        <w:t>Verificada</w:t>
      </w:r>
      <w:proofErr w:type="spellEnd"/>
      <w:r w:rsidRPr="00171AD4" w:rsidR="001C4D1A">
        <w:rPr>
          <w:rFonts w:ascii="Aptos" w:hAnsi="Aptos"/>
          <w:i/>
          <w:iCs/>
          <w:sz w:val="22"/>
          <w:szCs w:val="22"/>
        </w:rPr>
        <w:t xml:space="preserve"> de </w:t>
      </w:r>
      <w:proofErr w:type="spellStart"/>
      <w:r w:rsidRPr="00171AD4" w:rsidR="001C4D1A">
        <w:rPr>
          <w:rFonts w:ascii="Aptos" w:hAnsi="Aptos"/>
          <w:i/>
          <w:iCs/>
          <w:sz w:val="22"/>
          <w:szCs w:val="22"/>
        </w:rPr>
        <w:t>Emissões</w:t>
      </w:r>
      <w:proofErr w:type="spellEnd"/>
      <w:r w:rsidRPr="00171AD4" w:rsidR="001C4D1A">
        <w:rPr>
          <w:rFonts w:ascii="Aptos" w:hAnsi="Aptos"/>
          <w:i/>
          <w:iCs/>
          <w:sz w:val="22"/>
          <w:szCs w:val="22"/>
        </w:rPr>
        <w:t>”</w:t>
      </w:r>
      <w:r w:rsidRPr="001C4D1A" w:rsidR="001C4D1A">
        <w:rPr>
          <w:rFonts w:ascii="Aptos" w:hAnsi="Aptos"/>
          <w:sz w:val="22"/>
          <w:szCs w:val="22"/>
        </w:rPr>
        <w:t xml:space="preserve"> (CRVE)</w:t>
      </w:r>
      <w:r w:rsidRPr="00171AD4">
        <w:rPr>
          <w:rFonts w:ascii="Aptos" w:hAnsi="Aptos"/>
          <w:sz w:val="22"/>
          <w:szCs w:val="22"/>
        </w:rPr>
        <w:t xml:space="preserve"> methodologies</w:t>
      </w:r>
      <w:r w:rsidR="00D60B9A">
        <w:rPr>
          <w:rFonts w:ascii="Aptos" w:hAnsi="Aptos"/>
          <w:sz w:val="22"/>
          <w:szCs w:val="22"/>
        </w:rPr>
        <w:t xml:space="preserve"> that would be accredited to generate CRVEs</w:t>
      </w:r>
      <w:r w:rsidRPr="00171AD4">
        <w:rPr>
          <w:rFonts w:ascii="Aptos" w:hAnsi="Aptos"/>
          <w:sz w:val="22"/>
          <w:szCs w:val="22"/>
        </w:rPr>
        <w:t xml:space="preserve"> and </w:t>
      </w:r>
      <w:r w:rsidR="00D60B9A">
        <w:rPr>
          <w:rFonts w:ascii="Aptos" w:hAnsi="Aptos"/>
          <w:sz w:val="22"/>
          <w:szCs w:val="22"/>
        </w:rPr>
        <w:t xml:space="preserve">the share of offsets that will be allowed for compliance purposes </w:t>
      </w:r>
      <w:r w:rsidR="006F5140">
        <w:rPr>
          <w:rFonts w:ascii="Aptos" w:hAnsi="Aptos"/>
          <w:sz w:val="22"/>
          <w:szCs w:val="22"/>
        </w:rPr>
        <w:t>within</w:t>
      </w:r>
      <w:r w:rsidR="00D60B9A">
        <w:rPr>
          <w:rFonts w:ascii="Aptos" w:hAnsi="Aptos"/>
          <w:sz w:val="22"/>
          <w:szCs w:val="22"/>
        </w:rPr>
        <w:t xml:space="preserve"> t</w:t>
      </w:r>
      <w:r w:rsidR="006F5140">
        <w:rPr>
          <w:rFonts w:ascii="Aptos" w:hAnsi="Aptos"/>
          <w:sz w:val="22"/>
          <w:szCs w:val="22"/>
        </w:rPr>
        <w:t>he SBCE</w:t>
      </w:r>
      <w:r w:rsidRPr="00171AD4">
        <w:rPr>
          <w:rFonts w:ascii="Aptos" w:hAnsi="Aptos"/>
          <w:sz w:val="22"/>
          <w:szCs w:val="22"/>
        </w:rPr>
        <w:t xml:space="preserve">. Lack of clarity </w:t>
      </w:r>
      <w:r w:rsidR="00503D8B">
        <w:rPr>
          <w:rFonts w:ascii="Aptos" w:hAnsi="Aptos"/>
          <w:sz w:val="22"/>
          <w:szCs w:val="22"/>
        </w:rPr>
        <w:t xml:space="preserve">on these elements </w:t>
      </w:r>
      <w:r w:rsidRPr="00171AD4">
        <w:rPr>
          <w:rFonts w:ascii="Aptos" w:hAnsi="Aptos"/>
          <w:sz w:val="22"/>
          <w:szCs w:val="22"/>
        </w:rPr>
        <w:t xml:space="preserve">could </w:t>
      </w:r>
      <w:r w:rsidR="00A15826">
        <w:rPr>
          <w:rFonts w:ascii="Aptos" w:hAnsi="Aptos"/>
          <w:sz w:val="22"/>
          <w:szCs w:val="22"/>
        </w:rPr>
        <w:t>limit</w:t>
      </w:r>
      <w:r w:rsidRPr="00171AD4">
        <w:rPr>
          <w:rFonts w:ascii="Aptos" w:hAnsi="Aptos"/>
          <w:sz w:val="22"/>
          <w:szCs w:val="22"/>
        </w:rPr>
        <w:t xml:space="preserve"> private sector investment</w:t>
      </w:r>
      <w:r w:rsidR="00685FDA">
        <w:rPr>
          <w:rFonts w:ascii="Aptos" w:hAnsi="Aptos"/>
          <w:sz w:val="22"/>
          <w:szCs w:val="22"/>
        </w:rPr>
        <w:t xml:space="preserve"> and its contribution to </w:t>
      </w:r>
      <w:r w:rsidR="009B7006">
        <w:rPr>
          <w:rFonts w:ascii="Aptos" w:hAnsi="Aptos"/>
          <w:sz w:val="22"/>
          <w:szCs w:val="22"/>
        </w:rPr>
        <w:t xml:space="preserve">the Brazilian NDC’s achievement in </w:t>
      </w:r>
      <w:r w:rsidR="000C487C">
        <w:rPr>
          <w:rFonts w:ascii="Aptos" w:hAnsi="Aptos"/>
          <w:sz w:val="22"/>
          <w:szCs w:val="22"/>
        </w:rPr>
        <w:t>the short t</w:t>
      </w:r>
      <w:r w:rsidR="002779EB">
        <w:rPr>
          <w:rFonts w:ascii="Aptos" w:hAnsi="Aptos"/>
          <w:sz w:val="22"/>
          <w:szCs w:val="22"/>
        </w:rPr>
        <w:t>erm</w:t>
      </w:r>
      <w:r w:rsidRPr="00171AD4">
        <w:rPr>
          <w:rFonts w:ascii="Aptos" w:hAnsi="Aptos"/>
          <w:sz w:val="22"/>
          <w:szCs w:val="22"/>
        </w:rPr>
        <w:t>.</w:t>
      </w:r>
      <w:r w:rsidR="00651FA8">
        <w:rPr>
          <w:rFonts w:ascii="Aptos" w:hAnsi="Aptos"/>
          <w:sz w:val="22"/>
          <w:szCs w:val="22"/>
        </w:rPr>
        <w:t xml:space="preserve"> In this context,</w:t>
      </w:r>
      <w:r w:rsidRPr="00171AD4">
        <w:rPr>
          <w:rFonts w:ascii="Aptos" w:hAnsi="Aptos"/>
          <w:sz w:val="22"/>
          <w:szCs w:val="22"/>
        </w:rPr>
        <w:t xml:space="preserve"> </w:t>
      </w:r>
      <w:r w:rsidR="00A6586D">
        <w:rPr>
          <w:rFonts w:ascii="Aptos" w:hAnsi="Aptos"/>
          <w:sz w:val="22"/>
          <w:szCs w:val="22"/>
        </w:rPr>
        <w:t>a</w:t>
      </w:r>
      <w:r w:rsidRPr="00171AD4">
        <w:rPr>
          <w:rFonts w:ascii="Aptos" w:hAnsi="Aptos"/>
          <w:sz w:val="22"/>
          <w:szCs w:val="22"/>
        </w:rPr>
        <w:t>ligning</w:t>
      </w:r>
      <w:r w:rsidR="00CF2EB7">
        <w:rPr>
          <w:rFonts w:ascii="Aptos" w:hAnsi="Aptos"/>
          <w:sz w:val="22"/>
          <w:szCs w:val="22"/>
        </w:rPr>
        <w:t xml:space="preserve"> </w:t>
      </w:r>
      <w:r w:rsidRPr="00171AD4">
        <w:rPr>
          <w:rFonts w:ascii="Aptos" w:hAnsi="Aptos"/>
          <w:sz w:val="22"/>
          <w:szCs w:val="22"/>
        </w:rPr>
        <w:t>SBCE's integrity principles with international standards like CORSIA and Article 6.4 is</w:t>
      </w:r>
      <w:r w:rsidR="00A6586D">
        <w:rPr>
          <w:rFonts w:ascii="Aptos" w:hAnsi="Aptos"/>
          <w:sz w:val="22"/>
          <w:szCs w:val="22"/>
        </w:rPr>
        <w:t xml:space="preserve"> also</w:t>
      </w:r>
      <w:r w:rsidRPr="00171AD4">
        <w:rPr>
          <w:rFonts w:ascii="Aptos" w:hAnsi="Aptos"/>
          <w:sz w:val="22"/>
          <w:szCs w:val="22"/>
        </w:rPr>
        <w:t xml:space="preserve"> essential for </w:t>
      </w:r>
      <w:r w:rsidR="00A6586D">
        <w:rPr>
          <w:rFonts w:ascii="Aptos" w:hAnsi="Aptos"/>
          <w:sz w:val="22"/>
          <w:szCs w:val="22"/>
        </w:rPr>
        <w:t xml:space="preserve">SBCE’s </w:t>
      </w:r>
      <w:r w:rsidRPr="00171AD4">
        <w:rPr>
          <w:rFonts w:ascii="Aptos" w:hAnsi="Aptos"/>
          <w:sz w:val="22"/>
          <w:szCs w:val="22"/>
        </w:rPr>
        <w:t>credibility, market liquidity, and attracting climate investment.</w:t>
      </w:r>
    </w:p>
    <w:p w:rsidRPr="00171AD4" w:rsidR="00BD2057" w:rsidP="00171AD4" w:rsidRDefault="00BD2057" w14:paraId="58DC7945" w14:textId="496E8336">
      <w:pPr>
        <w:spacing w:before="120" w:after="120" w:line="276" w:lineRule="auto"/>
        <w:ind w:right="567"/>
        <w:jc w:val="both"/>
        <w:rPr>
          <w:rFonts w:ascii="Aptos" w:hAnsi="Aptos"/>
          <w:sz w:val="22"/>
          <w:szCs w:val="22"/>
        </w:rPr>
      </w:pPr>
      <w:r w:rsidRPr="00171AD4">
        <w:rPr>
          <w:rFonts w:ascii="Aptos" w:hAnsi="Aptos"/>
          <w:sz w:val="22"/>
          <w:szCs w:val="22"/>
        </w:rPr>
        <w:t xml:space="preserve">Building on this, Article 6 provisions in the SBCE law lay the groundwork for Brazil's engagement with Article 6 of the Paris Agreement. Further regulations are needed to streamline ITMO authorization and clarify roles, avoiding bureaucratic hurdles for investors. Efficient Article 6 engagement can significantly reduce global emissions reduction costs and attract foreign investment, spurring sustainable projects, job creation, and technology transfer. </w:t>
      </w:r>
      <w:r w:rsidR="0069366F">
        <w:rPr>
          <w:rFonts w:ascii="Aptos" w:hAnsi="Aptos"/>
          <w:sz w:val="22"/>
          <w:szCs w:val="22"/>
        </w:rPr>
        <w:t>Establishing a</w:t>
      </w:r>
      <w:r w:rsidRPr="00171AD4">
        <w:rPr>
          <w:rFonts w:ascii="Aptos" w:hAnsi="Aptos"/>
          <w:sz w:val="22"/>
          <w:szCs w:val="22"/>
        </w:rPr>
        <w:t xml:space="preserve">n SBCE registry to track CRVEs and ITMOs, alongside clear eligibility criteria, </w:t>
      </w:r>
      <w:r w:rsidR="0069366F">
        <w:rPr>
          <w:rFonts w:ascii="Aptos" w:hAnsi="Aptos"/>
          <w:sz w:val="22"/>
          <w:szCs w:val="22"/>
        </w:rPr>
        <w:t xml:space="preserve">should be considered a key </w:t>
      </w:r>
      <w:r w:rsidR="0098153C">
        <w:rPr>
          <w:rFonts w:ascii="Aptos" w:hAnsi="Aptos"/>
          <w:sz w:val="22"/>
          <w:szCs w:val="22"/>
        </w:rPr>
        <w:t xml:space="preserve">priority </w:t>
      </w:r>
      <w:r w:rsidR="00DB4239">
        <w:rPr>
          <w:rFonts w:ascii="Aptos" w:hAnsi="Aptos"/>
          <w:sz w:val="22"/>
          <w:szCs w:val="22"/>
        </w:rPr>
        <w:t xml:space="preserve">as it </w:t>
      </w:r>
      <w:r w:rsidRPr="00171AD4">
        <w:rPr>
          <w:rFonts w:ascii="Aptos" w:hAnsi="Aptos"/>
          <w:sz w:val="22"/>
          <w:szCs w:val="22"/>
        </w:rPr>
        <w:t>will be instrumental</w:t>
      </w:r>
      <w:r w:rsidR="00EC54A7">
        <w:rPr>
          <w:rFonts w:ascii="Aptos" w:hAnsi="Aptos"/>
          <w:sz w:val="22"/>
          <w:szCs w:val="22"/>
        </w:rPr>
        <w:t xml:space="preserve"> to ensure the robus</w:t>
      </w:r>
      <w:r w:rsidR="006E39CB">
        <w:rPr>
          <w:rFonts w:ascii="Aptos" w:hAnsi="Aptos"/>
          <w:sz w:val="22"/>
          <w:szCs w:val="22"/>
        </w:rPr>
        <w:t>tness and high</w:t>
      </w:r>
      <w:r w:rsidR="00FE0F25">
        <w:rPr>
          <w:rFonts w:ascii="Aptos" w:hAnsi="Aptos"/>
          <w:sz w:val="22"/>
          <w:szCs w:val="22"/>
        </w:rPr>
        <w:t>-integrity of the system</w:t>
      </w:r>
      <w:r w:rsidRPr="00171AD4">
        <w:rPr>
          <w:rFonts w:ascii="Aptos" w:hAnsi="Aptos"/>
          <w:sz w:val="22"/>
          <w:szCs w:val="22"/>
        </w:rPr>
        <w:t>.</w:t>
      </w:r>
    </w:p>
    <w:p w:rsidRPr="00171AD4" w:rsidR="00BD2057" w:rsidP="00171AD4" w:rsidRDefault="00BD2057" w14:paraId="1D253A23" w14:textId="03918C3A">
      <w:pPr>
        <w:spacing w:before="120" w:after="120" w:line="276" w:lineRule="auto"/>
        <w:ind w:right="567"/>
        <w:jc w:val="both"/>
        <w:rPr>
          <w:rFonts w:ascii="Aptos" w:hAnsi="Aptos"/>
          <w:sz w:val="22"/>
          <w:szCs w:val="22"/>
        </w:rPr>
      </w:pPr>
      <w:r w:rsidRPr="67054448" w:rsidR="00BD2057">
        <w:rPr>
          <w:rFonts w:ascii="Aptos" w:hAnsi="Aptos"/>
          <w:sz w:val="22"/>
          <w:szCs w:val="22"/>
        </w:rPr>
        <w:t xml:space="preserve">Jurisdictional Programs are vital for achieving territorial-level results. While the law prevents pre-selling credits, a clear pathway for subnational governments to access upfront financing is needed. </w:t>
      </w:r>
      <w:r w:rsidRPr="67054448" w:rsidR="00100768">
        <w:rPr>
          <w:rFonts w:ascii="Aptos" w:hAnsi="Aptos"/>
          <w:sz w:val="22"/>
          <w:szCs w:val="22"/>
        </w:rPr>
        <w:t>Clearly d</w:t>
      </w:r>
      <w:r w:rsidRPr="67054448" w:rsidR="00BD2057">
        <w:rPr>
          <w:rFonts w:ascii="Aptos" w:hAnsi="Aptos"/>
          <w:sz w:val="22"/>
          <w:szCs w:val="22"/>
        </w:rPr>
        <w:t>ifferentiating preparatory agreements from credit pre-sales is important. Despite landowners' right to opt out, flexibility in early funding and transparent revenue distribution are crucial for program viability and stakeholder engagement, supporting Brazil's deforestation targets.</w:t>
      </w:r>
      <w:r w:rsidRPr="67054448" w:rsidR="00F6364B">
        <w:rPr>
          <w:rFonts w:ascii="Aptos" w:hAnsi="Aptos"/>
          <w:sz w:val="22"/>
          <w:szCs w:val="22"/>
        </w:rPr>
        <w:t xml:space="preserve"> </w:t>
      </w:r>
      <w:r w:rsidRPr="67054448" w:rsidR="00924B06">
        <w:rPr>
          <w:rFonts w:ascii="Aptos" w:hAnsi="Aptos"/>
          <w:sz w:val="22"/>
          <w:szCs w:val="22"/>
        </w:rPr>
        <w:t>At the same time, other approaches, such as ARR initiatives, present complementary opportunities for advancing the country’s climate goals beyond the scope of jurisdictional REDD+.</w:t>
      </w:r>
    </w:p>
    <w:p w:rsidRPr="00171AD4" w:rsidR="00BD2057" w:rsidP="00171AD4" w:rsidRDefault="00BD2057" w14:paraId="050E1348" w14:textId="4BE0FB3F">
      <w:pPr>
        <w:spacing w:before="120" w:after="120" w:line="276" w:lineRule="auto"/>
        <w:ind w:right="567"/>
        <w:jc w:val="both"/>
        <w:rPr>
          <w:rFonts w:ascii="Aptos" w:hAnsi="Aptos"/>
          <w:sz w:val="22"/>
          <w:szCs w:val="22"/>
        </w:rPr>
      </w:pPr>
      <w:r w:rsidRPr="00171AD4">
        <w:rPr>
          <w:rFonts w:ascii="Aptos" w:hAnsi="Aptos"/>
          <w:sz w:val="22"/>
          <w:szCs w:val="22"/>
        </w:rPr>
        <w:t xml:space="preserve">Effective Governance is paramount, requiring active private sector participation through a Consultative Technical Committee with diverse expert representation to ensure real-world grounding. The Managing </w:t>
      </w:r>
      <w:r w:rsidRPr="00171AD4">
        <w:rPr>
          <w:rFonts w:ascii="Aptos" w:hAnsi="Aptos"/>
          <w:sz w:val="22"/>
          <w:szCs w:val="22"/>
        </w:rPr>
        <w:lastRenderedPageBreak/>
        <w:t xml:space="preserve">Body must be technical, independent, and resilient to political shifts for long-term predictability. Establishing an Interim Managing Body promptly, leveraging COP30 momentum, is strategic, with </w:t>
      </w:r>
      <w:r w:rsidR="00536083">
        <w:rPr>
          <w:rFonts w:ascii="Aptos" w:hAnsi="Aptos"/>
          <w:sz w:val="22"/>
          <w:szCs w:val="22"/>
        </w:rPr>
        <w:t>Article 6</w:t>
      </w:r>
      <w:r w:rsidRPr="00171AD4">
        <w:rPr>
          <w:rFonts w:ascii="Aptos" w:hAnsi="Aptos"/>
          <w:sz w:val="22"/>
          <w:szCs w:val="22"/>
        </w:rPr>
        <w:t xml:space="preserve"> pilot initiatives potentially bridging implementation lead time.</w:t>
      </w:r>
    </w:p>
    <w:p w:rsidRPr="00171AD4" w:rsidR="00BD2057" w:rsidP="00171AD4" w:rsidRDefault="00BD2057" w14:paraId="38342409" w14:textId="4386325B">
      <w:pPr>
        <w:spacing w:before="120" w:after="120" w:line="276" w:lineRule="auto"/>
        <w:ind w:right="567"/>
        <w:jc w:val="both"/>
        <w:rPr>
          <w:rFonts w:ascii="Aptos" w:hAnsi="Aptos"/>
          <w:sz w:val="22"/>
          <w:szCs w:val="22"/>
        </w:rPr>
      </w:pPr>
      <w:r w:rsidRPr="00171AD4">
        <w:rPr>
          <w:rFonts w:ascii="Aptos" w:hAnsi="Aptos"/>
          <w:sz w:val="22"/>
          <w:szCs w:val="22"/>
        </w:rPr>
        <w:t>Operationally, the National Allocation Plan</w:t>
      </w:r>
      <w:r w:rsidR="002D33D8">
        <w:rPr>
          <w:rFonts w:ascii="Aptos" w:hAnsi="Aptos"/>
          <w:sz w:val="22"/>
          <w:szCs w:val="22"/>
        </w:rPr>
        <w:t>s</w:t>
      </w:r>
      <w:r w:rsidRPr="00171AD4">
        <w:rPr>
          <w:rFonts w:ascii="Aptos" w:hAnsi="Aptos"/>
          <w:sz w:val="22"/>
          <w:szCs w:val="22"/>
        </w:rPr>
        <w:t xml:space="preserve"> need clear definitions for cap application (installation, facility, or economic group), impacting environmental integrity, administrative complexity, and cost efficiency. Drawing from international experiences, allocation methods should reflect industrial realities, including technological constraints, abatement costs, and historical emissions, using robust sectoral data. Transparent communication of the SBCE’s contribution to Brazil’s NDCs, </w:t>
      </w:r>
      <w:r w:rsidRPr="00536083" w:rsidR="00536083">
        <w:rPr>
          <w:rFonts w:ascii="Aptos" w:hAnsi="Aptos"/>
          <w:sz w:val="22"/>
          <w:szCs w:val="22"/>
        </w:rPr>
        <w:t xml:space="preserve">including aimed emission reductions and its eventual price effects, is crucial for private sector readiness, given that currently many Brazilian companies </w:t>
      </w:r>
      <w:r w:rsidR="00CC2F1D">
        <w:rPr>
          <w:rFonts w:ascii="Aptos" w:hAnsi="Aptos"/>
          <w:sz w:val="22"/>
          <w:szCs w:val="22"/>
        </w:rPr>
        <w:t>have</w:t>
      </w:r>
      <w:r w:rsidRPr="00536083" w:rsidR="00536083">
        <w:rPr>
          <w:rFonts w:ascii="Aptos" w:hAnsi="Aptos"/>
          <w:sz w:val="22"/>
          <w:szCs w:val="22"/>
        </w:rPr>
        <w:t xml:space="preserve"> limited capacity in GHG reporting.</w:t>
      </w:r>
    </w:p>
    <w:p w:rsidRPr="00171AD4" w:rsidR="00BD2057" w:rsidP="00171AD4" w:rsidRDefault="00BD2057" w14:paraId="43574682" w14:textId="77777777">
      <w:pPr>
        <w:spacing w:before="120" w:after="120" w:line="276" w:lineRule="auto"/>
        <w:ind w:right="567"/>
        <w:jc w:val="both"/>
        <w:rPr>
          <w:rFonts w:ascii="Aptos" w:hAnsi="Aptos"/>
          <w:sz w:val="22"/>
          <w:szCs w:val="22"/>
        </w:rPr>
      </w:pPr>
      <w:r w:rsidRPr="00171AD4">
        <w:rPr>
          <w:rFonts w:ascii="Aptos" w:hAnsi="Aptos"/>
          <w:sz w:val="22"/>
          <w:szCs w:val="22"/>
        </w:rPr>
        <w:t>Regarding resources, Taxation, Resource Allocation and Use of Funds must ensure revenues are reinvested into decarbonization efforts, including R&amp;D, capacity building, and jurisdictional programs. Law 15,042/2024 positively directs revenues to low-carbon technological innovation. Clarifying investment channels (public vs. private entities) and defining eligible uses of funds are essential for timely allocation and strategic planning, with transparent oversight ensuring alignment with environmental goals.</w:t>
      </w:r>
    </w:p>
    <w:p w:rsidRPr="00171AD4" w:rsidR="00BD2057" w:rsidP="00171AD4" w:rsidRDefault="00BD2057" w14:paraId="3E51D80A" w14:textId="77777777">
      <w:pPr>
        <w:spacing w:before="120" w:after="120" w:line="276" w:lineRule="auto"/>
        <w:ind w:right="567"/>
        <w:jc w:val="both"/>
        <w:rPr>
          <w:rFonts w:ascii="Aptos" w:hAnsi="Aptos"/>
          <w:sz w:val="22"/>
          <w:szCs w:val="22"/>
        </w:rPr>
      </w:pPr>
      <w:r w:rsidRPr="00171AD4">
        <w:rPr>
          <w:rFonts w:ascii="Aptos" w:hAnsi="Aptos"/>
          <w:sz w:val="22"/>
          <w:szCs w:val="22"/>
        </w:rPr>
        <w:t>Socially, IPLC-related issues offer the SBCE an opportunity to establish a unique Free, Prior and Informed Consent (FPIC) procedure tailored to Brazil, based on ILO Convention 169. FUNAI and the Public Prosecutor’s Office should be empowered to develop FPIC guidelines, facilitate dialogue, and oversee compliance. Clarifying "territories" interpretation (recognized vs. claimed/traditional) for FPIC application is vital for legal certainty and effective implementation.</w:t>
      </w:r>
    </w:p>
    <w:p w:rsidR="00BD2057" w:rsidP="00E565C5" w:rsidRDefault="00BD2057" w14:paraId="3136D2CC" w14:textId="2F85D83E">
      <w:pPr>
        <w:spacing w:before="120" w:after="120" w:line="276" w:lineRule="auto"/>
        <w:ind w:right="567"/>
        <w:jc w:val="both"/>
        <w:rPr>
          <w:rFonts w:ascii="Aptos" w:hAnsi="Aptos"/>
          <w:sz w:val="22"/>
          <w:szCs w:val="22"/>
        </w:rPr>
      </w:pPr>
      <w:r w:rsidRPr="00171AD4">
        <w:rPr>
          <w:rFonts w:ascii="Aptos" w:hAnsi="Aptos"/>
          <w:sz w:val="22"/>
          <w:szCs w:val="22"/>
        </w:rPr>
        <w:t xml:space="preserve">Finally, for enforceability, the Infringements and Penalties framework must be </w:t>
      </w:r>
      <w:r>
        <w:rPr>
          <w:rFonts w:ascii="Aptos" w:hAnsi="Aptos"/>
          <w:sz w:val="22"/>
          <w:szCs w:val="22"/>
        </w:rPr>
        <w:t>clearer</w:t>
      </w:r>
      <w:r w:rsidRPr="00171AD4">
        <w:rPr>
          <w:rFonts w:ascii="Aptos" w:hAnsi="Aptos"/>
          <w:sz w:val="22"/>
          <w:szCs w:val="22"/>
        </w:rPr>
        <w:t xml:space="preserve">. The SBCE regulation </w:t>
      </w:r>
      <w:r w:rsidR="00CC2F1D">
        <w:rPr>
          <w:rFonts w:ascii="Aptos" w:hAnsi="Aptos"/>
          <w:sz w:val="22"/>
          <w:szCs w:val="22"/>
        </w:rPr>
        <w:t>requires</w:t>
      </w:r>
      <w:r w:rsidRPr="00171AD4">
        <w:rPr>
          <w:rFonts w:ascii="Aptos" w:hAnsi="Aptos"/>
          <w:sz w:val="22"/>
          <w:szCs w:val="22"/>
        </w:rPr>
        <w:t xml:space="preserve"> </w:t>
      </w:r>
      <w:r>
        <w:rPr>
          <w:rFonts w:ascii="Aptos" w:hAnsi="Aptos"/>
          <w:sz w:val="22"/>
          <w:szCs w:val="22"/>
        </w:rPr>
        <w:t>well-defined</w:t>
      </w:r>
      <w:r w:rsidRPr="00171AD4">
        <w:rPr>
          <w:rFonts w:ascii="Aptos" w:hAnsi="Aptos"/>
          <w:sz w:val="22"/>
          <w:szCs w:val="22"/>
        </w:rPr>
        <w:t xml:space="preserve"> guidelines for applying penalties (warnings, fines, suspension of activities, etc.). Precise provisions for enforcement circumstances are necessary for regulated entities to plan and minimize risks. Adopting international best practices, like the EU ETS, for proportional and transparent enforcement with objective, globally aligned criteria, will provide essential legal certainty.</w:t>
      </w:r>
    </w:p>
    <w:p w:rsidRPr="00171AD4" w:rsidR="00BD2057" w:rsidP="00171AD4" w:rsidRDefault="00BD2057" w14:paraId="27F31FC3" w14:textId="77777777">
      <w:pPr>
        <w:spacing w:before="120" w:after="120" w:line="276" w:lineRule="auto"/>
        <w:ind w:right="567"/>
        <w:jc w:val="both"/>
        <w:rPr>
          <w:rFonts w:ascii="Aptos" w:hAnsi="Aptos"/>
          <w:sz w:val="22"/>
          <w:szCs w:val="22"/>
        </w:rPr>
      </w:pPr>
    </w:p>
    <w:p w:rsidRPr="0090159B" w:rsidR="005F3804" w:rsidP="00171AD4" w:rsidRDefault="005F3804" w14:paraId="6B865137" w14:textId="36950B75">
      <w:pPr>
        <w:spacing w:before="120" w:after="120" w:line="276" w:lineRule="auto"/>
        <w:ind w:right="567"/>
        <w:jc w:val="both"/>
        <w:rPr>
          <w:rFonts w:ascii="Aptos" w:hAnsi="Aptos"/>
          <w:b/>
          <w:bCs/>
          <w:sz w:val="22"/>
          <w:szCs w:val="22"/>
        </w:rPr>
      </w:pPr>
      <w:r w:rsidRPr="0090159B">
        <w:rPr>
          <w:rFonts w:ascii="Aptos" w:hAnsi="Aptos"/>
          <w:b/>
          <w:bCs/>
          <w:sz w:val="22"/>
          <w:szCs w:val="22"/>
        </w:rPr>
        <w:t>Introduction</w:t>
      </w:r>
    </w:p>
    <w:p w:rsidRPr="0090159B" w:rsidR="00476CB7" w:rsidP="00E565C5" w:rsidRDefault="0058475B" w14:paraId="2ED39C08" w14:textId="27B58109">
      <w:pPr>
        <w:spacing w:before="60" w:after="60" w:line="276" w:lineRule="auto"/>
        <w:ind w:right="567"/>
        <w:jc w:val="both"/>
        <w:rPr>
          <w:rFonts w:ascii="Aptos" w:hAnsi="Aptos"/>
          <w:sz w:val="22"/>
          <w:szCs w:val="22"/>
        </w:rPr>
      </w:pPr>
      <w:r w:rsidRPr="0090159B">
        <w:rPr>
          <w:rFonts w:ascii="Aptos" w:hAnsi="Aptos"/>
          <w:sz w:val="22"/>
          <w:szCs w:val="22"/>
        </w:rPr>
        <w:t xml:space="preserve">IETA </w:t>
      </w:r>
      <w:r w:rsidRPr="0090159B" w:rsidR="00D31AB7">
        <w:rPr>
          <w:rFonts w:ascii="Aptos" w:hAnsi="Aptos"/>
          <w:sz w:val="22"/>
          <w:szCs w:val="22"/>
        </w:rPr>
        <w:t xml:space="preserve">strongly </w:t>
      </w:r>
      <w:r w:rsidRPr="0090159B">
        <w:rPr>
          <w:rFonts w:ascii="Aptos" w:hAnsi="Aptos"/>
          <w:sz w:val="22"/>
          <w:szCs w:val="22"/>
        </w:rPr>
        <w:t xml:space="preserve">supports the </w:t>
      </w:r>
      <w:r w:rsidRPr="0090159B" w:rsidR="00E66D73">
        <w:rPr>
          <w:rFonts w:ascii="Aptos" w:hAnsi="Aptos"/>
          <w:sz w:val="22"/>
          <w:szCs w:val="22"/>
        </w:rPr>
        <w:t xml:space="preserve">Federal Government ‘s </w:t>
      </w:r>
      <w:r w:rsidRPr="0090159B">
        <w:rPr>
          <w:rFonts w:ascii="Aptos" w:hAnsi="Aptos"/>
          <w:sz w:val="22"/>
          <w:szCs w:val="22"/>
        </w:rPr>
        <w:t xml:space="preserve">efforts </w:t>
      </w:r>
      <w:r w:rsidRPr="0090159B" w:rsidR="00D31AB7">
        <w:rPr>
          <w:rFonts w:ascii="Aptos" w:hAnsi="Aptos"/>
          <w:sz w:val="22"/>
          <w:szCs w:val="22"/>
        </w:rPr>
        <w:t>to implement the Brazilian Emissions Trading System</w:t>
      </w:r>
      <w:r w:rsidRPr="0090159B" w:rsidR="00D12908">
        <w:rPr>
          <w:rFonts w:ascii="Aptos" w:hAnsi="Aptos"/>
          <w:sz w:val="22"/>
          <w:szCs w:val="22"/>
        </w:rPr>
        <w:t xml:space="preserve"> (SBCE)</w:t>
      </w:r>
      <w:r w:rsidRPr="0090159B" w:rsidR="00D31AB7">
        <w:rPr>
          <w:rFonts w:ascii="Aptos" w:hAnsi="Aptos"/>
          <w:sz w:val="22"/>
          <w:szCs w:val="22"/>
        </w:rPr>
        <w:t xml:space="preserve">, </w:t>
      </w:r>
      <w:r w:rsidRPr="0090159B" w:rsidR="00A4625C">
        <w:rPr>
          <w:rFonts w:ascii="Aptos" w:hAnsi="Aptos"/>
          <w:sz w:val="22"/>
          <w:szCs w:val="22"/>
        </w:rPr>
        <w:t xml:space="preserve">as established </w:t>
      </w:r>
      <w:r w:rsidRPr="0090159B" w:rsidR="00D31AB7">
        <w:rPr>
          <w:rFonts w:ascii="Aptos" w:hAnsi="Aptos"/>
          <w:sz w:val="22"/>
          <w:szCs w:val="22"/>
        </w:rPr>
        <w:t>through the recently approved Law no. 15,042/2024</w:t>
      </w:r>
      <w:r w:rsidRPr="0090159B" w:rsidR="00874001">
        <w:rPr>
          <w:rFonts w:ascii="Aptos" w:hAnsi="Aptos"/>
          <w:sz w:val="22"/>
          <w:szCs w:val="22"/>
        </w:rPr>
        <w:t xml:space="preserve">. </w:t>
      </w:r>
      <w:r w:rsidRPr="0090159B" w:rsidR="00132EF9">
        <w:rPr>
          <w:rFonts w:ascii="Aptos" w:hAnsi="Aptos"/>
          <w:sz w:val="22"/>
          <w:szCs w:val="22"/>
        </w:rPr>
        <w:t>This marks</w:t>
      </w:r>
      <w:r w:rsidRPr="0090159B" w:rsidR="00D31AB7">
        <w:rPr>
          <w:rFonts w:ascii="Aptos" w:hAnsi="Aptos"/>
          <w:sz w:val="22"/>
          <w:szCs w:val="22"/>
        </w:rPr>
        <w:t xml:space="preserve"> </w:t>
      </w:r>
      <w:r w:rsidRPr="0090159B" w:rsidR="009D786C">
        <w:rPr>
          <w:rFonts w:ascii="Aptos" w:hAnsi="Aptos"/>
          <w:sz w:val="22"/>
          <w:szCs w:val="22"/>
        </w:rPr>
        <w:t xml:space="preserve">a critical </w:t>
      </w:r>
      <w:r w:rsidR="00600ACF">
        <w:rPr>
          <w:rFonts w:ascii="Aptos" w:hAnsi="Aptos"/>
          <w:sz w:val="22"/>
          <w:szCs w:val="22"/>
        </w:rPr>
        <w:t xml:space="preserve">development </w:t>
      </w:r>
      <w:r w:rsidRPr="0090159B" w:rsidR="009D786C">
        <w:rPr>
          <w:rFonts w:ascii="Aptos" w:hAnsi="Aptos"/>
          <w:sz w:val="22"/>
          <w:szCs w:val="22"/>
        </w:rPr>
        <w:t xml:space="preserve">towards enabling </w:t>
      </w:r>
      <w:r w:rsidRPr="0090159B" w:rsidR="0047585B">
        <w:rPr>
          <w:rFonts w:ascii="Aptos" w:hAnsi="Aptos"/>
          <w:sz w:val="22"/>
          <w:szCs w:val="22"/>
        </w:rPr>
        <w:t xml:space="preserve">Brazil </w:t>
      </w:r>
      <w:r w:rsidRPr="0090159B" w:rsidR="009E517F">
        <w:rPr>
          <w:rFonts w:ascii="Aptos" w:hAnsi="Aptos"/>
          <w:sz w:val="22"/>
          <w:szCs w:val="22"/>
        </w:rPr>
        <w:t xml:space="preserve">to meet its commitments under </w:t>
      </w:r>
      <w:r w:rsidRPr="0090159B" w:rsidR="00D31AB7">
        <w:rPr>
          <w:rFonts w:ascii="Aptos" w:hAnsi="Aptos"/>
          <w:sz w:val="22"/>
          <w:szCs w:val="22"/>
        </w:rPr>
        <w:t xml:space="preserve">the Paris Agreement. </w:t>
      </w:r>
      <w:r w:rsidRPr="0090159B" w:rsidR="00DD2CEF">
        <w:rPr>
          <w:rFonts w:ascii="Aptos" w:hAnsi="Aptos"/>
          <w:sz w:val="22"/>
          <w:szCs w:val="22"/>
        </w:rPr>
        <w:t xml:space="preserve"> </w:t>
      </w:r>
      <w:r w:rsidRPr="0090159B" w:rsidR="00B060DC">
        <w:rPr>
          <w:rFonts w:ascii="Aptos" w:hAnsi="Aptos"/>
          <w:sz w:val="22"/>
          <w:szCs w:val="22"/>
        </w:rPr>
        <w:t xml:space="preserve">Brazil has been a longstanding leader in international carbon market policy, </w:t>
      </w:r>
      <w:r w:rsidRPr="0090159B" w:rsidR="00F7273B">
        <w:rPr>
          <w:rFonts w:ascii="Aptos" w:hAnsi="Aptos"/>
          <w:sz w:val="22"/>
          <w:szCs w:val="22"/>
        </w:rPr>
        <w:t xml:space="preserve">playing a key role </w:t>
      </w:r>
      <w:r w:rsidRPr="0090159B" w:rsidR="00C64C47">
        <w:rPr>
          <w:rFonts w:ascii="Aptos" w:hAnsi="Aptos"/>
          <w:sz w:val="22"/>
          <w:szCs w:val="22"/>
        </w:rPr>
        <w:t xml:space="preserve">in the creation of </w:t>
      </w:r>
      <w:r w:rsidRPr="0090159B" w:rsidR="00B060DC">
        <w:rPr>
          <w:rFonts w:ascii="Aptos" w:hAnsi="Aptos"/>
          <w:sz w:val="22"/>
          <w:szCs w:val="22"/>
        </w:rPr>
        <w:t xml:space="preserve">the Kyoto Protocol’s Clean Development Mechanism (CDM) and </w:t>
      </w:r>
      <w:r w:rsidRPr="0090159B" w:rsidR="00D74F5E">
        <w:rPr>
          <w:rFonts w:ascii="Aptos" w:hAnsi="Aptos"/>
          <w:sz w:val="22"/>
          <w:szCs w:val="22"/>
        </w:rPr>
        <w:t xml:space="preserve">the development of </w:t>
      </w:r>
      <w:r w:rsidRPr="0090159B" w:rsidR="00B060DC">
        <w:rPr>
          <w:rFonts w:ascii="Aptos" w:hAnsi="Aptos"/>
          <w:sz w:val="22"/>
          <w:szCs w:val="22"/>
        </w:rPr>
        <w:t>Article 6 of the Paris Agreement</w:t>
      </w:r>
      <w:r w:rsidRPr="0090159B" w:rsidR="001C2864">
        <w:rPr>
          <w:rFonts w:ascii="Aptos" w:hAnsi="Aptos"/>
          <w:sz w:val="22"/>
          <w:szCs w:val="22"/>
        </w:rPr>
        <w:t>. The country’s</w:t>
      </w:r>
      <w:r w:rsidRPr="0090159B" w:rsidR="00B060DC">
        <w:rPr>
          <w:rFonts w:ascii="Aptos" w:hAnsi="Aptos"/>
          <w:sz w:val="22"/>
          <w:szCs w:val="22"/>
        </w:rPr>
        <w:t xml:space="preserve"> recent developments </w:t>
      </w:r>
      <w:r w:rsidRPr="0090159B" w:rsidR="00F15A6E">
        <w:rPr>
          <w:rFonts w:ascii="Aptos" w:hAnsi="Aptos"/>
          <w:sz w:val="22"/>
          <w:szCs w:val="22"/>
        </w:rPr>
        <w:t xml:space="preserve">can </w:t>
      </w:r>
      <w:r w:rsidRPr="0090159B" w:rsidR="00B060DC">
        <w:rPr>
          <w:rFonts w:ascii="Aptos" w:hAnsi="Aptos"/>
          <w:sz w:val="22"/>
          <w:szCs w:val="22"/>
        </w:rPr>
        <w:t>inspire other countries in the Global South.</w:t>
      </w:r>
    </w:p>
    <w:p w:rsidRPr="0090159B" w:rsidR="00343455" w:rsidP="00E565C5" w:rsidRDefault="00F52E83" w14:paraId="0E171AFF" w14:textId="7B76F6D7">
      <w:pPr>
        <w:spacing w:before="60" w:after="60" w:line="276" w:lineRule="auto"/>
        <w:ind w:right="567"/>
        <w:jc w:val="both"/>
        <w:rPr>
          <w:rFonts w:ascii="Aptos" w:hAnsi="Aptos"/>
          <w:sz w:val="22"/>
          <w:szCs w:val="22"/>
        </w:rPr>
      </w:pPr>
      <w:r w:rsidRPr="0090159B">
        <w:rPr>
          <w:rFonts w:ascii="Aptos" w:hAnsi="Aptos"/>
          <w:sz w:val="22"/>
          <w:szCs w:val="22"/>
        </w:rPr>
        <w:lastRenderedPageBreak/>
        <w:t xml:space="preserve">An emission trading system that is environmentally robust, economically efficient, and socially just, </w:t>
      </w:r>
      <w:r w:rsidRPr="0090159B" w:rsidR="62267DC5">
        <w:rPr>
          <w:rFonts w:ascii="Aptos" w:hAnsi="Aptos"/>
          <w:sz w:val="22"/>
          <w:szCs w:val="22"/>
        </w:rPr>
        <w:t xml:space="preserve">can </w:t>
      </w:r>
      <w:r w:rsidRPr="0090159B" w:rsidR="009072F2">
        <w:rPr>
          <w:rFonts w:ascii="Aptos" w:hAnsi="Aptos"/>
          <w:sz w:val="22"/>
          <w:szCs w:val="22"/>
        </w:rPr>
        <w:t>drive</w:t>
      </w:r>
      <w:r w:rsidRPr="0090159B" w:rsidR="62267DC5">
        <w:rPr>
          <w:rFonts w:ascii="Aptos" w:hAnsi="Aptos"/>
          <w:sz w:val="22"/>
          <w:szCs w:val="22"/>
        </w:rPr>
        <w:t xml:space="preserve"> the decarbonization of the Brazilian economy</w:t>
      </w:r>
      <w:r w:rsidRPr="0090159B" w:rsidR="009072F2">
        <w:rPr>
          <w:rFonts w:ascii="Aptos" w:hAnsi="Aptos"/>
          <w:sz w:val="22"/>
          <w:szCs w:val="22"/>
        </w:rPr>
        <w:t xml:space="preserve">, attract </w:t>
      </w:r>
      <w:r w:rsidRPr="0090159B" w:rsidR="62267DC5">
        <w:rPr>
          <w:rFonts w:ascii="Aptos" w:hAnsi="Aptos"/>
          <w:sz w:val="22"/>
          <w:szCs w:val="22"/>
        </w:rPr>
        <w:t xml:space="preserve">investment </w:t>
      </w:r>
      <w:r w:rsidRPr="0090159B" w:rsidR="00DE3A6B">
        <w:rPr>
          <w:rFonts w:ascii="Aptos" w:hAnsi="Aptos"/>
          <w:sz w:val="22"/>
          <w:szCs w:val="22"/>
        </w:rPr>
        <w:t>in</w:t>
      </w:r>
      <w:r w:rsidRPr="0090159B" w:rsidR="62267DC5">
        <w:rPr>
          <w:rFonts w:ascii="Aptos" w:hAnsi="Aptos"/>
          <w:sz w:val="22"/>
          <w:szCs w:val="22"/>
        </w:rPr>
        <w:t xml:space="preserve"> cleaner technologies, </w:t>
      </w:r>
      <w:r w:rsidRPr="0090159B" w:rsidR="00DE3A6B">
        <w:rPr>
          <w:rFonts w:ascii="Aptos" w:hAnsi="Aptos"/>
          <w:sz w:val="22"/>
          <w:szCs w:val="22"/>
        </w:rPr>
        <w:t>and enhance</w:t>
      </w:r>
      <w:r w:rsidRPr="0090159B" w:rsidR="00826532">
        <w:rPr>
          <w:rFonts w:ascii="Aptos" w:hAnsi="Aptos"/>
          <w:sz w:val="22"/>
          <w:szCs w:val="22"/>
        </w:rPr>
        <w:t xml:space="preserve"> </w:t>
      </w:r>
      <w:r w:rsidRPr="0090159B" w:rsidR="62267DC5">
        <w:rPr>
          <w:rFonts w:ascii="Aptos" w:hAnsi="Aptos"/>
          <w:sz w:val="22"/>
          <w:szCs w:val="22"/>
        </w:rPr>
        <w:t>industr</w:t>
      </w:r>
      <w:r w:rsidRPr="0090159B" w:rsidR="009917DA">
        <w:rPr>
          <w:rFonts w:ascii="Aptos" w:hAnsi="Aptos"/>
          <w:sz w:val="22"/>
          <w:szCs w:val="22"/>
        </w:rPr>
        <w:t xml:space="preserve">ial </w:t>
      </w:r>
      <w:r w:rsidRPr="0090159B" w:rsidR="62267DC5">
        <w:rPr>
          <w:rFonts w:ascii="Aptos" w:hAnsi="Aptos"/>
          <w:sz w:val="22"/>
          <w:szCs w:val="22"/>
        </w:rPr>
        <w:t>competitiveness</w:t>
      </w:r>
      <w:r w:rsidRPr="0090159B" w:rsidR="009D6D67">
        <w:rPr>
          <w:rFonts w:ascii="Aptos" w:hAnsi="Aptos"/>
          <w:sz w:val="22"/>
          <w:szCs w:val="22"/>
        </w:rPr>
        <w:t xml:space="preserve">. It can </w:t>
      </w:r>
      <w:r w:rsidR="003E11C6">
        <w:rPr>
          <w:rFonts w:ascii="Aptos" w:hAnsi="Aptos"/>
          <w:sz w:val="22"/>
          <w:szCs w:val="22"/>
        </w:rPr>
        <w:t>facilitate linking</w:t>
      </w:r>
      <w:r w:rsidR="0066175D">
        <w:rPr>
          <w:rFonts w:ascii="Aptos" w:hAnsi="Aptos"/>
          <w:sz w:val="22"/>
          <w:szCs w:val="22"/>
        </w:rPr>
        <w:t>,</w:t>
      </w:r>
      <w:r w:rsidRPr="0090159B" w:rsidR="009D6D67">
        <w:rPr>
          <w:rFonts w:ascii="Aptos" w:hAnsi="Aptos"/>
          <w:sz w:val="22"/>
          <w:szCs w:val="22"/>
        </w:rPr>
        <w:t xml:space="preserve"> help </w:t>
      </w:r>
      <w:r w:rsidRPr="0090159B" w:rsidR="00EF37E5">
        <w:rPr>
          <w:rFonts w:ascii="Aptos" w:hAnsi="Aptos"/>
          <w:sz w:val="22"/>
          <w:szCs w:val="22"/>
        </w:rPr>
        <w:t xml:space="preserve">mitigate </w:t>
      </w:r>
      <w:r w:rsidRPr="0090159B" w:rsidR="00F67ECD">
        <w:rPr>
          <w:rFonts w:ascii="Aptos" w:hAnsi="Aptos"/>
          <w:sz w:val="22"/>
          <w:szCs w:val="22"/>
        </w:rPr>
        <w:t>the eventual</w:t>
      </w:r>
      <w:r w:rsidRPr="0090159B" w:rsidR="00EF37E5">
        <w:rPr>
          <w:rFonts w:ascii="Aptos" w:hAnsi="Aptos"/>
          <w:sz w:val="22"/>
          <w:szCs w:val="22"/>
        </w:rPr>
        <w:t xml:space="preserve"> impacts</w:t>
      </w:r>
      <w:r w:rsidRPr="0090159B" w:rsidR="00F67ECD">
        <w:rPr>
          <w:rFonts w:ascii="Aptos" w:hAnsi="Aptos"/>
          <w:sz w:val="22"/>
          <w:szCs w:val="22"/>
        </w:rPr>
        <w:t xml:space="preserve"> </w:t>
      </w:r>
      <w:r w:rsidRPr="0090159B" w:rsidR="007F5C18">
        <w:rPr>
          <w:rFonts w:ascii="Aptos" w:hAnsi="Aptos"/>
          <w:sz w:val="22"/>
          <w:szCs w:val="22"/>
        </w:rPr>
        <w:t xml:space="preserve">of </w:t>
      </w:r>
      <w:r w:rsidRPr="0090159B" w:rsidR="62267DC5">
        <w:rPr>
          <w:rFonts w:ascii="Aptos" w:hAnsi="Aptos"/>
          <w:sz w:val="22"/>
          <w:szCs w:val="22"/>
        </w:rPr>
        <w:t>Carbon Border Adjustment</w:t>
      </w:r>
      <w:r w:rsidR="00BE5772">
        <w:rPr>
          <w:rFonts w:ascii="Aptos" w:hAnsi="Aptos"/>
          <w:sz w:val="22"/>
          <w:szCs w:val="22"/>
        </w:rPr>
        <w:t xml:space="preserve"> Mechanisms</w:t>
      </w:r>
      <w:r w:rsidRPr="0090159B" w:rsidR="62267DC5">
        <w:rPr>
          <w:rFonts w:ascii="Aptos" w:hAnsi="Aptos"/>
          <w:sz w:val="22"/>
          <w:szCs w:val="22"/>
        </w:rPr>
        <w:t xml:space="preserve"> </w:t>
      </w:r>
      <w:r w:rsidRPr="0090159B" w:rsidR="0094242C">
        <w:rPr>
          <w:rFonts w:ascii="Aptos" w:hAnsi="Aptos"/>
          <w:sz w:val="22"/>
          <w:szCs w:val="22"/>
        </w:rPr>
        <w:t>abroad and</w:t>
      </w:r>
      <w:r w:rsidRPr="0090159B" w:rsidR="62267DC5">
        <w:rPr>
          <w:rFonts w:ascii="Aptos" w:hAnsi="Aptos"/>
          <w:sz w:val="22"/>
          <w:szCs w:val="22"/>
        </w:rPr>
        <w:t xml:space="preserve"> provide guiding principles </w:t>
      </w:r>
      <w:r w:rsidRPr="0090159B" w:rsidR="003D6115">
        <w:rPr>
          <w:rFonts w:ascii="Aptos" w:hAnsi="Aptos"/>
          <w:sz w:val="22"/>
          <w:szCs w:val="22"/>
        </w:rPr>
        <w:t xml:space="preserve">for the </w:t>
      </w:r>
      <w:r w:rsidRPr="0090159B" w:rsidR="62267DC5">
        <w:rPr>
          <w:rFonts w:ascii="Aptos" w:hAnsi="Aptos"/>
          <w:sz w:val="22"/>
          <w:szCs w:val="22"/>
        </w:rPr>
        <w:t>expansion</w:t>
      </w:r>
      <w:r w:rsidRPr="0090159B" w:rsidR="00C11583">
        <w:rPr>
          <w:rFonts w:ascii="Aptos" w:hAnsi="Aptos"/>
          <w:sz w:val="22"/>
          <w:szCs w:val="22"/>
        </w:rPr>
        <w:t xml:space="preserve"> of </w:t>
      </w:r>
      <w:r w:rsidRPr="0090159B" w:rsidR="00A83339">
        <w:rPr>
          <w:rFonts w:ascii="Aptos" w:hAnsi="Aptos"/>
          <w:sz w:val="22"/>
          <w:szCs w:val="22"/>
        </w:rPr>
        <w:t xml:space="preserve">high-integrity </w:t>
      </w:r>
      <w:r w:rsidRPr="0090159B" w:rsidR="62267DC5">
        <w:rPr>
          <w:rFonts w:ascii="Aptos" w:hAnsi="Aptos"/>
          <w:sz w:val="22"/>
          <w:szCs w:val="22"/>
        </w:rPr>
        <w:t xml:space="preserve">Voluntary Carbon Market in </w:t>
      </w:r>
      <w:r w:rsidRPr="0090159B" w:rsidR="00232F25">
        <w:rPr>
          <w:rFonts w:ascii="Aptos" w:hAnsi="Aptos"/>
          <w:sz w:val="22"/>
          <w:szCs w:val="22"/>
        </w:rPr>
        <w:t>the country.</w:t>
      </w:r>
    </w:p>
    <w:p w:rsidRPr="0090159B" w:rsidR="00343455" w:rsidP="00E565C5" w:rsidRDefault="00973D88" w14:paraId="23764FFC" w14:textId="38A7A9D0">
      <w:pPr>
        <w:spacing w:before="60" w:after="60" w:line="276" w:lineRule="auto"/>
        <w:ind w:right="567"/>
        <w:jc w:val="both"/>
        <w:rPr>
          <w:rFonts w:ascii="Aptos" w:hAnsi="Aptos"/>
          <w:sz w:val="22"/>
          <w:szCs w:val="22"/>
        </w:rPr>
      </w:pPr>
      <w:r w:rsidRPr="00973D88">
        <w:rPr>
          <w:rFonts w:ascii="Aptos" w:hAnsi="Aptos"/>
          <w:sz w:val="22"/>
          <w:szCs w:val="22"/>
        </w:rPr>
        <w:t>With clear competitive advantages, such as the large renewable energy share in the energy matrix and significant nature-based potential, Brazil is well-positioned to move toward net zero and, in time, generate additional mitigation outcomes for international carbon trading, including under Article 6</w:t>
      </w:r>
      <w:r w:rsidRPr="0090159B" w:rsidR="62267DC5">
        <w:rPr>
          <w:rFonts w:ascii="Aptos" w:hAnsi="Aptos"/>
          <w:sz w:val="22"/>
          <w:szCs w:val="22"/>
        </w:rPr>
        <w:t xml:space="preserve">. </w:t>
      </w:r>
      <w:r w:rsidRPr="0090159B" w:rsidR="00312B12">
        <w:rPr>
          <w:rFonts w:ascii="Aptos" w:hAnsi="Aptos"/>
          <w:sz w:val="22"/>
          <w:szCs w:val="22"/>
        </w:rPr>
        <w:t>T</w:t>
      </w:r>
      <w:r w:rsidRPr="0090159B" w:rsidR="00E62C46">
        <w:rPr>
          <w:rFonts w:ascii="Aptos" w:hAnsi="Aptos"/>
          <w:sz w:val="22"/>
          <w:szCs w:val="22"/>
        </w:rPr>
        <w:t>his will require</w:t>
      </w:r>
      <w:r w:rsidRPr="0090159B" w:rsidR="00805EBA">
        <w:rPr>
          <w:rFonts w:ascii="Aptos" w:hAnsi="Aptos"/>
          <w:sz w:val="22"/>
          <w:szCs w:val="22"/>
        </w:rPr>
        <w:t xml:space="preserve"> adopting</w:t>
      </w:r>
      <w:r w:rsidRPr="0090159B" w:rsidR="62267DC5">
        <w:rPr>
          <w:rFonts w:ascii="Aptos" w:hAnsi="Aptos"/>
          <w:sz w:val="22"/>
          <w:szCs w:val="22"/>
        </w:rPr>
        <w:t xml:space="preserve"> smart climate strategies that </w:t>
      </w:r>
      <w:r w:rsidRPr="0090159B" w:rsidR="00805EBA">
        <w:rPr>
          <w:rFonts w:ascii="Aptos" w:hAnsi="Aptos"/>
          <w:sz w:val="22"/>
          <w:szCs w:val="22"/>
        </w:rPr>
        <w:t>recognize</w:t>
      </w:r>
      <w:r w:rsidRPr="0090159B" w:rsidR="62267DC5">
        <w:rPr>
          <w:rFonts w:ascii="Aptos" w:hAnsi="Aptos"/>
          <w:sz w:val="22"/>
          <w:szCs w:val="22"/>
        </w:rPr>
        <w:t xml:space="preserve"> the </w:t>
      </w:r>
      <w:r w:rsidRPr="0090159B" w:rsidR="00C8479A">
        <w:rPr>
          <w:rFonts w:ascii="Aptos" w:hAnsi="Aptos"/>
          <w:sz w:val="22"/>
          <w:szCs w:val="22"/>
        </w:rPr>
        <w:t>complementarity</w:t>
      </w:r>
      <w:r w:rsidRPr="0090159B" w:rsidR="62267DC5">
        <w:rPr>
          <w:rFonts w:ascii="Aptos" w:hAnsi="Aptos"/>
          <w:sz w:val="22"/>
          <w:szCs w:val="22"/>
        </w:rPr>
        <w:t xml:space="preserve"> of carbon market instruments</w:t>
      </w:r>
      <w:r w:rsidRPr="0090159B" w:rsidR="008E3FD2">
        <w:rPr>
          <w:rFonts w:ascii="Aptos" w:hAnsi="Aptos"/>
          <w:sz w:val="22"/>
          <w:szCs w:val="22"/>
        </w:rPr>
        <w:t>, ensuring they work together to accelerate climate ambition</w:t>
      </w:r>
      <w:r w:rsidRPr="0090159B" w:rsidR="009576B5">
        <w:rPr>
          <w:rFonts w:ascii="Aptos" w:hAnsi="Aptos"/>
          <w:sz w:val="22"/>
          <w:szCs w:val="22"/>
        </w:rPr>
        <w:t xml:space="preserve"> and decrease economic impacts</w:t>
      </w:r>
      <w:r w:rsidRPr="0090159B" w:rsidR="00FC08B6">
        <w:rPr>
          <w:rFonts w:ascii="Aptos" w:hAnsi="Aptos"/>
          <w:sz w:val="22"/>
          <w:szCs w:val="22"/>
        </w:rPr>
        <w:t xml:space="preserve"> of transition</w:t>
      </w:r>
      <w:r w:rsidRPr="0090159B" w:rsidR="008E3FD2">
        <w:rPr>
          <w:rFonts w:ascii="Aptos" w:hAnsi="Aptos"/>
          <w:sz w:val="22"/>
          <w:szCs w:val="22"/>
        </w:rPr>
        <w:t>.</w:t>
      </w:r>
    </w:p>
    <w:p w:rsidRPr="0090159B" w:rsidR="003F268F" w:rsidP="00E565C5" w:rsidRDefault="62267DC5" w14:paraId="4A7551B4" w14:textId="47303DC3">
      <w:pPr>
        <w:spacing w:before="60" w:after="60" w:line="276" w:lineRule="auto"/>
        <w:ind w:right="566"/>
        <w:jc w:val="both"/>
        <w:rPr>
          <w:rFonts w:ascii="Aptos" w:hAnsi="Aptos"/>
          <w:sz w:val="22"/>
          <w:szCs w:val="22"/>
        </w:rPr>
      </w:pPr>
      <w:r w:rsidRPr="0090159B">
        <w:rPr>
          <w:rFonts w:ascii="Aptos" w:hAnsi="Aptos"/>
          <w:sz w:val="22"/>
          <w:szCs w:val="22"/>
        </w:rPr>
        <w:t>The development of SBCE’s regula</w:t>
      </w:r>
      <w:r w:rsidRPr="0090159B" w:rsidR="00240DBF">
        <w:rPr>
          <w:rFonts w:ascii="Aptos" w:hAnsi="Aptos"/>
          <w:sz w:val="22"/>
          <w:szCs w:val="22"/>
        </w:rPr>
        <w:t>tory framework</w:t>
      </w:r>
      <w:r w:rsidRPr="0090159B">
        <w:rPr>
          <w:rFonts w:ascii="Aptos" w:hAnsi="Aptos"/>
          <w:sz w:val="22"/>
          <w:szCs w:val="22"/>
        </w:rPr>
        <w:t xml:space="preserve"> over the coming years will be a crucial process, as it will </w:t>
      </w:r>
      <w:r w:rsidRPr="0090159B" w:rsidR="00087C4E">
        <w:rPr>
          <w:rFonts w:ascii="Aptos" w:hAnsi="Aptos"/>
          <w:sz w:val="22"/>
          <w:szCs w:val="22"/>
        </w:rPr>
        <w:t xml:space="preserve">establish the rules </w:t>
      </w:r>
      <w:r w:rsidRPr="0090159B" w:rsidR="00A075A4">
        <w:rPr>
          <w:rFonts w:ascii="Aptos" w:hAnsi="Aptos"/>
          <w:sz w:val="22"/>
          <w:szCs w:val="22"/>
        </w:rPr>
        <w:t>governing</w:t>
      </w:r>
      <w:r w:rsidRPr="0090159B">
        <w:rPr>
          <w:rFonts w:ascii="Aptos" w:hAnsi="Aptos"/>
          <w:sz w:val="22"/>
          <w:szCs w:val="22"/>
        </w:rPr>
        <w:t xml:space="preserve"> the compliance system and </w:t>
      </w:r>
      <w:r w:rsidRPr="0090159B" w:rsidR="002C7C49">
        <w:rPr>
          <w:rFonts w:ascii="Aptos" w:hAnsi="Aptos"/>
          <w:sz w:val="22"/>
          <w:szCs w:val="22"/>
        </w:rPr>
        <w:t xml:space="preserve">its interactions with both the VCM </w:t>
      </w:r>
      <w:r w:rsidRPr="0090159B">
        <w:rPr>
          <w:rFonts w:ascii="Aptos" w:hAnsi="Aptos"/>
          <w:sz w:val="22"/>
          <w:szCs w:val="22"/>
        </w:rPr>
        <w:t>and Article 6</w:t>
      </w:r>
      <w:r w:rsidRPr="0090159B" w:rsidR="00DE6DEA">
        <w:rPr>
          <w:rFonts w:ascii="Aptos" w:hAnsi="Aptos"/>
          <w:sz w:val="22"/>
          <w:szCs w:val="22"/>
        </w:rPr>
        <w:t xml:space="preserve"> mechanisms</w:t>
      </w:r>
      <w:r w:rsidRPr="0090159B" w:rsidR="002C7C49">
        <w:rPr>
          <w:rFonts w:ascii="Aptos" w:hAnsi="Aptos"/>
          <w:sz w:val="22"/>
          <w:szCs w:val="22"/>
        </w:rPr>
        <w:t xml:space="preserve">. </w:t>
      </w:r>
      <w:r w:rsidRPr="0090159B" w:rsidR="00904CD3">
        <w:rPr>
          <w:rFonts w:ascii="Aptos" w:hAnsi="Aptos"/>
          <w:sz w:val="22"/>
          <w:szCs w:val="22"/>
        </w:rPr>
        <w:t xml:space="preserve">In </w:t>
      </w:r>
      <w:r w:rsidRPr="0090159B">
        <w:rPr>
          <w:rFonts w:ascii="Aptos" w:hAnsi="Aptos"/>
          <w:sz w:val="22"/>
          <w:szCs w:val="22"/>
        </w:rPr>
        <w:t>this context, COP30 in Bel</w:t>
      </w:r>
      <w:r w:rsidRPr="0090159B" w:rsidR="005326A9">
        <w:rPr>
          <w:rFonts w:ascii="Aptos" w:hAnsi="Aptos"/>
          <w:sz w:val="22"/>
          <w:szCs w:val="22"/>
        </w:rPr>
        <w:t>é</w:t>
      </w:r>
      <w:r w:rsidRPr="0090159B">
        <w:rPr>
          <w:rFonts w:ascii="Aptos" w:hAnsi="Aptos"/>
          <w:sz w:val="22"/>
          <w:szCs w:val="22"/>
        </w:rPr>
        <w:t>m</w:t>
      </w:r>
      <w:r w:rsidRPr="0090159B" w:rsidR="00FA72E8">
        <w:rPr>
          <w:rFonts w:ascii="Aptos" w:hAnsi="Aptos"/>
          <w:sz w:val="22"/>
          <w:szCs w:val="22"/>
        </w:rPr>
        <w:t xml:space="preserve"> presents a unique opportunity</w:t>
      </w:r>
      <w:r w:rsidRPr="0090159B">
        <w:rPr>
          <w:rFonts w:ascii="Aptos" w:hAnsi="Aptos"/>
          <w:sz w:val="22"/>
          <w:szCs w:val="22"/>
        </w:rPr>
        <w:t xml:space="preserve"> </w:t>
      </w:r>
      <w:r w:rsidRPr="0090159B" w:rsidR="00EB7A0B">
        <w:rPr>
          <w:rFonts w:ascii="Aptos" w:hAnsi="Aptos"/>
          <w:sz w:val="22"/>
          <w:szCs w:val="22"/>
        </w:rPr>
        <w:t>to build</w:t>
      </w:r>
      <w:r w:rsidRPr="0090159B" w:rsidR="006F4E1E">
        <w:rPr>
          <w:rFonts w:ascii="Aptos" w:hAnsi="Aptos"/>
          <w:sz w:val="22"/>
          <w:szCs w:val="22"/>
        </w:rPr>
        <w:t xml:space="preserve"> and accelerate progress in this agenda</w:t>
      </w:r>
      <w:r w:rsidRPr="0090159B" w:rsidR="00323D6A">
        <w:rPr>
          <w:rFonts w:ascii="Aptos" w:hAnsi="Aptos"/>
          <w:sz w:val="22"/>
          <w:szCs w:val="22"/>
        </w:rPr>
        <w:t xml:space="preserve">, </w:t>
      </w:r>
      <w:r w:rsidRPr="0090159B">
        <w:rPr>
          <w:rFonts w:ascii="Aptos" w:hAnsi="Aptos"/>
          <w:sz w:val="22"/>
          <w:szCs w:val="22"/>
        </w:rPr>
        <w:t xml:space="preserve">creating conditions for attracting the private sector capital to support the achievement of its </w:t>
      </w:r>
      <w:r w:rsidRPr="0090159B" w:rsidR="00355E04">
        <w:rPr>
          <w:rFonts w:ascii="Aptos" w:hAnsi="Aptos"/>
          <w:sz w:val="22"/>
          <w:szCs w:val="22"/>
        </w:rPr>
        <w:t>Nationally Determined Contribution (</w:t>
      </w:r>
      <w:r w:rsidRPr="0090159B">
        <w:rPr>
          <w:rFonts w:ascii="Aptos" w:hAnsi="Aptos"/>
          <w:sz w:val="22"/>
          <w:szCs w:val="22"/>
        </w:rPr>
        <w:t>NDC</w:t>
      </w:r>
      <w:r w:rsidRPr="0090159B" w:rsidR="00355E04">
        <w:rPr>
          <w:rFonts w:ascii="Aptos" w:hAnsi="Aptos"/>
          <w:sz w:val="22"/>
          <w:szCs w:val="22"/>
        </w:rPr>
        <w:t>)</w:t>
      </w:r>
      <w:r w:rsidRPr="0090159B" w:rsidR="005342D5">
        <w:rPr>
          <w:rFonts w:ascii="Aptos" w:hAnsi="Aptos"/>
          <w:sz w:val="22"/>
          <w:szCs w:val="22"/>
        </w:rPr>
        <w:t>.</w:t>
      </w:r>
    </w:p>
    <w:p w:rsidRPr="0090159B" w:rsidR="00D24A9A" w:rsidP="00E565C5" w:rsidRDefault="62267DC5" w14:paraId="2D7C1BC0" w14:textId="7C29457B">
      <w:pPr>
        <w:spacing w:before="60" w:after="60" w:line="276" w:lineRule="auto"/>
        <w:ind w:right="567"/>
        <w:jc w:val="both"/>
        <w:rPr>
          <w:rFonts w:ascii="Aptos" w:hAnsi="Aptos" w:eastAsia="Aptos" w:cs="Aptos"/>
          <w:sz w:val="22"/>
          <w:szCs w:val="22"/>
        </w:rPr>
      </w:pPr>
      <w:r w:rsidRPr="0090159B">
        <w:rPr>
          <w:rFonts w:ascii="Aptos" w:hAnsi="Aptos"/>
          <w:sz w:val="22"/>
          <w:szCs w:val="22"/>
        </w:rPr>
        <w:t xml:space="preserve">This </w:t>
      </w:r>
      <w:r w:rsidRPr="0090159B" w:rsidR="00F263F8">
        <w:rPr>
          <w:rFonts w:ascii="Aptos" w:hAnsi="Aptos"/>
          <w:sz w:val="22"/>
          <w:szCs w:val="22"/>
        </w:rPr>
        <w:t>discussion</w:t>
      </w:r>
      <w:r w:rsidRPr="0090159B">
        <w:rPr>
          <w:rFonts w:ascii="Aptos" w:hAnsi="Aptos"/>
          <w:sz w:val="22"/>
          <w:szCs w:val="22"/>
        </w:rPr>
        <w:t xml:space="preserve"> paper aims to highlight areas that the private sector </w:t>
      </w:r>
      <w:r w:rsidRPr="0090159B" w:rsidR="000756D9">
        <w:rPr>
          <w:rFonts w:ascii="Aptos" w:hAnsi="Aptos"/>
          <w:sz w:val="22"/>
          <w:szCs w:val="22"/>
        </w:rPr>
        <w:t>identifies</w:t>
      </w:r>
      <w:r w:rsidRPr="0090159B">
        <w:rPr>
          <w:rFonts w:ascii="Aptos" w:hAnsi="Aptos"/>
          <w:sz w:val="22"/>
          <w:szCs w:val="22"/>
        </w:rPr>
        <w:t xml:space="preserve"> as priorities for SBCE regulatory </w:t>
      </w:r>
      <w:r w:rsidRPr="0090159B" w:rsidR="005D1397">
        <w:rPr>
          <w:rFonts w:ascii="Aptos" w:hAnsi="Aptos"/>
          <w:sz w:val="22"/>
          <w:szCs w:val="22"/>
        </w:rPr>
        <w:t xml:space="preserve">framework </w:t>
      </w:r>
      <w:r w:rsidRPr="0090159B" w:rsidR="000756D9">
        <w:rPr>
          <w:rFonts w:ascii="Aptos" w:hAnsi="Aptos"/>
          <w:sz w:val="22"/>
          <w:szCs w:val="22"/>
        </w:rPr>
        <w:t>development</w:t>
      </w:r>
      <w:r w:rsidRPr="0090159B">
        <w:rPr>
          <w:rFonts w:ascii="Aptos" w:hAnsi="Aptos"/>
          <w:sz w:val="22"/>
          <w:szCs w:val="22"/>
        </w:rPr>
        <w:t xml:space="preserve"> and shed light on </w:t>
      </w:r>
      <w:r w:rsidRPr="0090159B" w:rsidR="00B67A9C">
        <w:rPr>
          <w:rFonts w:ascii="Aptos" w:hAnsi="Aptos"/>
          <w:sz w:val="22"/>
          <w:szCs w:val="22"/>
        </w:rPr>
        <w:t>approaches</w:t>
      </w:r>
      <w:r w:rsidRPr="0090159B">
        <w:rPr>
          <w:rFonts w:ascii="Aptos" w:hAnsi="Aptos"/>
          <w:sz w:val="22"/>
          <w:szCs w:val="22"/>
        </w:rPr>
        <w:t xml:space="preserve"> that could </w:t>
      </w:r>
      <w:r w:rsidRPr="0090159B" w:rsidR="009A7002">
        <w:rPr>
          <w:rFonts w:ascii="Aptos" w:hAnsi="Aptos"/>
          <w:sz w:val="22"/>
          <w:szCs w:val="22"/>
        </w:rPr>
        <w:t xml:space="preserve">efficiently </w:t>
      </w:r>
      <w:r w:rsidRPr="0090159B">
        <w:rPr>
          <w:rFonts w:ascii="Aptos" w:hAnsi="Aptos"/>
          <w:sz w:val="22"/>
          <w:szCs w:val="22"/>
        </w:rPr>
        <w:t xml:space="preserve">contribute </w:t>
      </w:r>
      <w:r w:rsidRPr="0090159B" w:rsidR="00964F66">
        <w:rPr>
          <w:rFonts w:ascii="Aptos" w:hAnsi="Aptos"/>
          <w:sz w:val="22"/>
          <w:szCs w:val="22"/>
        </w:rPr>
        <w:t>with the work in progress.</w:t>
      </w:r>
      <w:r w:rsidRPr="0090159B" w:rsidR="000819A1">
        <w:rPr>
          <w:rFonts w:ascii="Aptos" w:hAnsi="Aptos"/>
          <w:sz w:val="22"/>
          <w:szCs w:val="22"/>
        </w:rPr>
        <w:t xml:space="preserve"> </w:t>
      </w:r>
      <w:r w:rsidRPr="0090159B" w:rsidR="00F6547E">
        <w:rPr>
          <w:rFonts w:ascii="Aptos" w:hAnsi="Aptos" w:eastAsia="Aptos" w:cs="Aptos"/>
          <w:sz w:val="22"/>
          <w:szCs w:val="22"/>
        </w:rPr>
        <w:t xml:space="preserve">It </w:t>
      </w:r>
      <w:r w:rsidRPr="0090159B">
        <w:rPr>
          <w:rFonts w:ascii="Aptos" w:hAnsi="Aptos" w:eastAsia="Aptos" w:cs="Aptos"/>
          <w:sz w:val="22"/>
          <w:szCs w:val="22"/>
        </w:rPr>
        <w:t>present</w:t>
      </w:r>
      <w:r w:rsidRPr="0090159B" w:rsidR="008C72B7">
        <w:rPr>
          <w:rFonts w:ascii="Aptos" w:hAnsi="Aptos" w:eastAsia="Aptos" w:cs="Aptos"/>
          <w:sz w:val="22"/>
          <w:szCs w:val="22"/>
        </w:rPr>
        <w:t>s</w:t>
      </w:r>
      <w:r w:rsidRPr="0090159B">
        <w:rPr>
          <w:rFonts w:ascii="Aptos" w:hAnsi="Aptos" w:eastAsia="Aptos" w:cs="Aptos"/>
          <w:sz w:val="22"/>
          <w:szCs w:val="22"/>
        </w:rPr>
        <w:t xml:space="preserve"> the considerations related to </w:t>
      </w:r>
      <w:r w:rsidR="00D9284A">
        <w:rPr>
          <w:rFonts w:ascii="Aptos" w:hAnsi="Aptos" w:eastAsia="Aptos" w:cs="Aptos"/>
          <w:sz w:val="22"/>
          <w:szCs w:val="22"/>
        </w:rPr>
        <w:t>eight</w:t>
      </w:r>
      <w:r w:rsidRPr="0090159B" w:rsidR="00D9284A">
        <w:rPr>
          <w:rFonts w:ascii="Aptos" w:hAnsi="Aptos" w:eastAsia="Aptos" w:cs="Aptos"/>
          <w:sz w:val="22"/>
          <w:szCs w:val="22"/>
        </w:rPr>
        <w:t xml:space="preserve"> </w:t>
      </w:r>
      <w:r w:rsidRPr="0090159B">
        <w:rPr>
          <w:rFonts w:ascii="Aptos" w:hAnsi="Aptos" w:eastAsia="Aptos" w:cs="Aptos"/>
          <w:sz w:val="22"/>
          <w:szCs w:val="22"/>
        </w:rPr>
        <w:t xml:space="preserve">key elements </w:t>
      </w:r>
      <w:r w:rsidRPr="0090159B" w:rsidR="009246C6">
        <w:rPr>
          <w:rFonts w:ascii="Aptos" w:hAnsi="Aptos" w:eastAsia="Aptos" w:cs="Aptos"/>
          <w:sz w:val="22"/>
          <w:szCs w:val="22"/>
        </w:rPr>
        <w:t xml:space="preserve">for </w:t>
      </w:r>
      <w:r w:rsidRPr="0090159B">
        <w:rPr>
          <w:rFonts w:ascii="Aptos" w:hAnsi="Aptos" w:eastAsia="Aptos" w:cs="Aptos"/>
          <w:sz w:val="22"/>
          <w:szCs w:val="22"/>
        </w:rPr>
        <w:t xml:space="preserve">the SBCE: </w:t>
      </w:r>
      <w:r w:rsidRPr="0090159B" w:rsidR="00F6547E">
        <w:rPr>
          <w:rFonts w:ascii="Aptos" w:hAnsi="Aptos" w:eastAsia="Aptos" w:cs="Aptos"/>
          <w:sz w:val="22"/>
          <w:szCs w:val="22"/>
        </w:rPr>
        <w:t xml:space="preserve">Connection between the VCM and </w:t>
      </w:r>
      <w:r w:rsidRPr="0090159B" w:rsidR="009246C6">
        <w:rPr>
          <w:rFonts w:ascii="Aptos" w:hAnsi="Aptos" w:eastAsia="Aptos" w:cs="Aptos"/>
          <w:sz w:val="22"/>
          <w:szCs w:val="22"/>
        </w:rPr>
        <w:t>SBCE</w:t>
      </w:r>
      <w:r w:rsidRPr="0090159B" w:rsidR="003C2BDF">
        <w:rPr>
          <w:rFonts w:ascii="Aptos" w:hAnsi="Aptos" w:eastAsia="Aptos" w:cs="Aptos"/>
          <w:sz w:val="22"/>
          <w:szCs w:val="22"/>
        </w:rPr>
        <w:t xml:space="preserve">, Article 6, Jurisdictional Programs, </w:t>
      </w:r>
      <w:r w:rsidRPr="0090159B">
        <w:rPr>
          <w:rFonts w:ascii="Aptos" w:hAnsi="Aptos" w:eastAsia="Aptos" w:cs="Aptos"/>
          <w:sz w:val="22"/>
          <w:szCs w:val="22"/>
        </w:rPr>
        <w:t>Governance, Allocation Plan, Taxation</w:t>
      </w:r>
      <w:r w:rsidRPr="0090159B" w:rsidR="003C2BDF">
        <w:rPr>
          <w:rFonts w:ascii="Aptos" w:hAnsi="Aptos" w:eastAsia="Aptos" w:cs="Aptos"/>
          <w:sz w:val="22"/>
          <w:szCs w:val="22"/>
        </w:rPr>
        <w:t xml:space="preserve">, </w:t>
      </w:r>
      <w:r w:rsidRPr="0090159B">
        <w:rPr>
          <w:rFonts w:ascii="Aptos" w:hAnsi="Aptos" w:eastAsia="Aptos" w:cs="Aptos"/>
          <w:sz w:val="22"/>
          <w:szCs w:val="22"/>
        </w:rPr>
        <w:t xml:space="preserve">IPLC-related issues, and Penalties. </w:t>
      </w:r>
    </w:p>
    <w:p w:rsidRPr="003617BE" w:rsidR="00343455" w:rsidP="00E565C5" w:rsidRDefault="00950106" w14:paraId="4BBA4770" w14:textId="0BE493A9">
      <w:pPr>
        <w:spacing w:before="60" w:after="60" w:line="276" w:lineRule="auto"/>
        <w:ind w:right="566"/>
        <w:jc w:val="both"/>
        <w:rPr>
          <w:rFonts w:ascii="Aptos" w:hAnsi="Aptos" w:eastAsia="Calibri" w:cs="Calibri"/>
          <w:sz w:val="22"/>
          <w:szCs w:val="22"/>
        </w:rPr>
      </w:pPr>
      <w:r w:rsidRPr="0090159B">
        <w:rPr>
          <w:rFonts w:ascii="Aptos" w:hAnsi="Aptos" w:eastAsia="Aptos" w:cs="Aptos"/>
          <w:sz w:val="22"/>
          <w:szCs w:val="22"/>
        </w:rPr>
        <w:t>With the goal of</w:t>
      </w:r>
      <w:r w:rsidRPr="0090159B" w:rsidR="00B95F07">
        <w:rPr>
          <w:rFonts w:ascii="Aptos" w:hAnsi="Aptos" w:eastAsia="Aptos" w:cs="Aptos"/>
          <w:sz w:val="22"/>
          <w:szCs w:val="22"/>
        </w:rPr>
        <w:t xml:space="preserve"> facilitat</w:t>
      </w:r>
      <w:r w:rsidRPr="0090159B">
        <w:rPr>
          <w:rFonts w:ascii="Aptos" w:hAnsi="Aptos" w:eastAsia="Aptos" w:cs="Aptos"/>
          <w:sz w:val="22"/>
          <w:szCs w:val="22"/>
        </w:rPr>
        <w:t>ing</w:t>
      </w:r>
      <w:r w:rsidRPr="0090159B" w:rsidR="00B95F07">
        <w:rPr>
          <w:rFonts w:ascii="Aptos" w:hAnsi="Aptos" w:eastAsia="Aptos" w:cs="Aptos"/>
          <w:sz w:val="22"/>
          <w:szCs w:val="22"/>
        </w:rPr>
        <w:t xml:space="preserve"> the achievement of concrete results by COP30</w:t>
      </w:r>
      <w:r w:rsidRPr="0090159B" w:rsidR="62267DC5">
        <w:rPr>
          <w:rFonts w:ascii="Aptos" w:hAnsi="Aptos" w:eastAsia="Aptos" w:cs="Aptos"/>
          <w:sz w:val="22"/>
          <w:szCs w:val="22"/>
        </w:rPr>
        <w:t xml:space="preserve">, </w:t>
      </w:r>
      <w:r w:rsidRPr="0090159B" w:rsidR="0007625D">
        <w:rPr>
          <w:rFonts w:ascii="Aptos" w:hAnsi="Aptos" w:eastAsia="Aptos" w:cs="Aptos"/>
          <w:sz w:val="22"/>
          <w:szCs w:val="22"/>
        </w:rPr>
        <w:t>IETA</w:t>
      </w:r>
      <w:r w:rsidRPr="0090159B" w:rsidR="62267DC5">
        <w:rPr>
          <w:rFonts w:ascii="Aptos" w:hAnsi="Aptos" w:eastAsia="Aptos" w:cs="Aptos"/>
          <w:sz w:val="22"/>
          <w:szCs w:val="22"/>
        </w:rPr>
        <w:t xml:space="preserve"> plan</w:t>
      </w:r>
      <w:r w:rsidRPr="0090159B" w:rsidR="0007625D">
        <w:rPr>
          <w:rFonts w:ascii="Aptos" w:hAnsi="Aptos" w:eastAsia="Aptos" w:cs="Aptos"/>
          <w:sz w:val="22"/>
          <w:szCs w:val="22"/>
        </w:rPr>
        <w:t>s</w:t>
      </w:r>
      <w:r w:rsidRPr="0090159B" w:rsidR="62267DC5">
        <w:rPr>
          <w:rFonts w:ascii="Aptos" w:hAnsi="Aptos" w:eastAsia="Aptos" w:cs="Aptos"/>
          <w:sz w:val="22"/>
          <w:szCs w:val="22"/>
        </w:rPr>
        <w:t xml:space="preserve"> to expand on such points through technical meetings</w:t>
      </w:r>
      <w:r w:rsidRPr="0090159B" w:rsidR="0007625D">
        <w:rPr>
          <w:rFonts w:ascii="Aptos" w:hAnsi="Aptos" w:eastAsia="Aptos" w:cs="Aptos"/>
          <w:sz w:val="22"/>
          <w:szCs w:val="22"/>
        </w:rPr>
        <w:t xml:space="preserve"> a</w:t>
      </w:r>
      <w:r w:rsidRPr="0090159B" w:rsidR="62267DC5">
        <w:rPr>
          <w:rFonts w:ascii="Aptos" w:hAnsi="Aptos" w:eastAsia="Aptos" w:cs="Aptos"/>
          <w:sz w:val="22"/>
          <w:szCs w:val="22"/>
        </w:rPr>
        <w:t xml:space="preserve">nd studies </w:t>
      </w:r>
      <w:r w:rsidRPr="0090159B">
        <w:rPr>
          <w:rFonts w:ascii="Aptos" w:hAnsi="Aptos" w:eastAsia="Aptos" w:cs="Aptos"/>
          <w:sz w:val="22"/>
          <w:szCs w:val="22"/>
        </w:rPr>
        <w:t xml:space="preserve">over the year </w:t>
      </w:r>
      <w:r w:rsidRPr="0090159B" w:rsidR="62267DC5">
        <w:rPr>
          <w:rFonts w:ascii="Aptos" w:hAnsi="Aptos" w:eastAsia="Aptos" w:cs="Aptos"/>
          <w:sz w:val="22"/>
          <w:szCs w:val="22"/>
        </w:rPr>
        <w:t>to</w:t>
      </w:r>
      <w:r w:rsidRPr="0090159B" w:rsidR="00143CD0">
        <w:rPr>
          <w:rFonts w:ascii="Aptos" w:hAnsi="Aptos" w:eastAsia="Aptos" w:cs="Aptos"/>
          <w:sz w:val="22"/>
          <w:szCs w:val="22"/>
        </w:rPr>
        <w:t xml:space="preserve"> provide capacity building, build consensus and</w:t>
      </w:r>
      <w:r w:rsidRPr="0090159B" w:rsidR="62267DC5">
        <w:rPr>
          <w:rFonts w:ascii="Aptos" w:hAnsi="Aptos" w:eastAsia="Aptos" w:cs="Aptos"/>
          <w:sz w:val="22"/>
          <w:szCs w:val="22"/>
        </w:rPr>
        <w:t xml:space="preserve"> inform the regulatory development process. </w:t>
      </w:r>
      <w:r w:rsidRPr="0090159B" w:rsidR="00F152EB">
        <w:rPr>
          <w:rFonts w:ascii="Aptos" w:hAnsi="Aptos" w:eastAsia="Aptos" w:cs="Aptos"/>
          <w:sz w:val="22"/>
          <w:szCs w:val="22"/>
        </w:rPr>
        <w:t>A</w:t>
      </w:r>
      <w:r w:rsidRPr="0090159B" w:rsidR="62267DC5">
        <w:rPr>
          <w:rFonts w:ascii="Aptos" w:hAnsi="Aptos" w:eastAsia="Aptos" w:cs="Aptos"/>
          <w:sz w:val="22"/>
          <w:szCs w:val="22"/>
        </w:rPr>
        <w:t xml:space="preserve">ll interested stakeholders </w:t>
      </w:r>
      <w:r w:rsidRPr="0090159B" w:rsidR="00F152EB">
        <w:rPr>
          <w:rFonts w:ascii="Aptos" w:hAnsi="Aptos" w:eastAsia="Aptos" w:cs="Aptos"/>
          <w:sz w:val="22"/>
          <w:szCs w:val="22"/>
        </w:rPr>
        <w:t xml:space="preserve">are invited </w:t>
      </w:r>
      <w:r w:rsidRPr="0090159B" w:rsidR="62267DC5">
        <w:rPr>
          <w:rFonts w:ascii="Aptos" w:hAnsi="Aptos" w:eastAsia="Aptos" w:cs="Aptos"/>
          <w:sz w:val="22"/>
          <w:szCs w:val="22"/>
        </w:rPr>
        <w:t>to join us in this effort of actively contributing to make Net-Zero a reality for Brazil.</w:t>
      </w:r>
      <w:r w:rsidRPr="003617BE" w:rsidR="62267DC5">
        <w:rPr>
          <w:rFonts w:ascii="Aptos" w:hAnsi="Aptos" w:eastAsia="Aptos" w:cs="Aptos"/>
          <w:sz w:val="22"/>
          <w:szCs w:val="22"/>
        </w:rPr>
        <w:t xml:space="preserve">      </w:t>
      </w:r>
      <w:r w:rsidRPr="003617BE" w:rsidR="62267DC5">
        <w:rPr>
          <w:rFonts w:ascii="Aptos" w:hAnsi="Aptos" w:eastAsia="Calibri" w:cs="Calibri"/>
          <w:sz w:val="22"/>
          <w:szCs w:val="22"/>
        </w:rPr>
        <w:t xml:space="preserve"> </w:t>
      </w:r>
    </w:p>
    <w:p w:rsidRPr="003617BE" w:rsidR="00A16E62" w:rsidP="00E565C5" w:rsidRDefault="00506527" w14:paraId="7EE37948" w14:textId="71FC644A">
      <w:pPr>
        <w:spacing w:before="120" w:after="120" w:line="276" w:lineRule="auto"/>
        <w:ind w:right="567"/>
        <w:jc w:val="both"/>
        <w:rPr>
          <w:rFonts w:ascii="Aptos" w:hAnsi="Aptos"/>
          <w:b/>
          <w:bCs/>
          <w:sz w:val="22"/>
          <w:szCs w:val="22"/>
        </w:rPr>
      </w:pPr>
      <w:r w:rsidRPr="003617BE">
        <w:rPr>
          <w:rFonts w:ascii="Aptos" w:hAnsi="Aptos"/>
          <w:b/>
          <w:bCs/>
          <w:sz w:val="22"/>
          <w:szCs w:val="22"/>
        </w:rPr>
        <w:t xml:space="preserve">Connection </w:t>
      </w:r>
      <w:r w:rsidRPr="003617BE" w:rsidR="00A16E62">
        <w:rPr>
          <w:rFonts w:ascii="Aptos" w:hAnsi="Aptos"/>
          <w:b/>
          <w:bCs/>
          <w:sz w:val="22"/>
          <w:szCs w:val="22"/>
        </w:rPr>
        <w:t>between the VCM and SBCE</w:t>
      </w:r>
    </w:p>
    <w:p w:rsidRPr="003617BE" w:rsidR="00D90D79" w:rsidP="00E565C5" w:rsidRDefault="008D41D0" w14:paraId="60CBAB86" w14:textId="20BE4C77">
      <w:pPr>
        <w:spacing w:before="144" w:beforeLines="60" w:after="60" w:line="276" w:lineRule="auto"/>
        <w:ind w:right="567"/>
        <w:jc w:val="both"/>
        <w:rPr>
          <w:rFonts w:ascii="Aptos" w:hAnsi="Aptos"/>
          <w:sz w:val="22"/>
          <w:szCs w:val="22"/>
        </w:rPr>
      </w:pPr>
      <w:r w:rsidRPr="003617BE">
        <w:rPr>
          <w:rFonts w:ascii="Aptos" w:hAnsi="Aptos"/>
          <w:sz w:val="22"/>
          <w:szCs w:val="22"/>
        </w:rPr>
        <w:t>C</w:t>
      </w:r>
      <w:r w:rsidRPr="003617BE" w:rsidR="00775EE7">
        <w:rPr>
          <w:rFonts w:ascii="Aptos" w:hAnsi="Aptos"/>
          <w:sz w:val="22"/>
          <w:szCs w:val="22"/>
        </w:rPr>
        <w:t xml:space="preserve">arbon </w:t>
      </w:r>
      <w:r w:rsidRPr="003617BE" w:rsidR="00A16E62">
        <w:rPr>
          <w:rFonts w:ascii="Aptos" w:hAnsi="Aptos"/>
          <w:sz w:val="22"/>
          <w:szCs w:val="22"/>
        </w:rPr>
        <w:t>market</w:t>
      </w:r>
      <w:r w:rsidRPr="003617BE" w:rsidR="00775EE7">
        <w:rPr>
          <w:rFonts w:ascii="Aptos" w:hAnsi="Aptos"/>
          <w:sz w:val="22"/>
          <w:szCs w:val="22"/>
        </w:rPr>
        <w:t>s</w:t>
      </w:r>
      <w:r w:rsidRPr="003617BE" w:rsidR="00A16E62">
        <w:rPr>
          <w:rFonts w:ascii="Aptos" w:hAnsi="Aptos"/>
          <w:sz w:val="22"/>
          <w:szCs w:val="22"/>
        </w:rPr>
        <w:t xml:space="preserve"> </w:t>
      </w:r>
      <w:r w:rsidRPr="003617BE">
        <w:rPr>
          <w:rFonts w:ascii="Aptos" w:hAnsi="Aptos"/>
          <w:sz w:val="22"/>
          <w:szCs w:val="22"/>
        </w:rPr>
        <w:t>are</w:t>
      </w:r>
      <w:r w:rsidRPr="003617BE" w:rsidR="005E1622">
        <w:rPr>
          <w:rFonts w:ascii="Aptos" w:hAnsi="Aptos"/>
          <w:sz w:val="22"/>
          <w:szCs w:val="22"/>
        </w:rPr>
        <w:t xml:space="preserve"> </w:t>
      </w:r>
      <w:r w:rsidRPr="003617BE" w:rsidR="00A16E62">
        <w:rPr>
          <w:rFonts w:ascii="Aptos" w:hAnsi="Aptos"/>
          <w:sz w:val="22"/>
          <w:szCs w:val="22"/>
        </w:rPr>
        <w:t xml:space="preserve">complementary tools that share a common goal: mobilizing investment to </w:t>
      </w:r>
      <w:r w:rsidRPr="003617BE" w:rsidR="008A4301">
        <w:rPr>
          <w:rFonts w:ascii="Aptos" w:hAnsi="Aptos"/>
          <w:sz w:val="22"/>
          <w:szCs w:val="22"/>
        </w:rPr>
        <w:t>efficiently</w:t>
      </w:r>
      <w:r w:rsidRPr="003617BE" w:rsidDel="00547491" w:rsidR="008A4301">
        <w:rPr>
          <w:rFonts w:ascii="Aptos" w:hAnsi="Aptos"/>
          <w:sz w:val="22"/>
          <w:szCs w:val="22"/>
        </w:rPr>
        <w:t xml:space="preserve"> </w:t>
      </w:r>
      <w:r w:rsidRPr="003617BE" w:rsidR="00547491">
        <w:rPr>
          <w:rFonts w:ascii="Aptos" w:hAnsi="Aptos"/>
          <w:sz w:val="22"/>
          <w:szCs w:val="22"/>
        </w:rPr>
        <w:t>address</w:t>
      </w:r>
      <w:r w:rsidRPr="003617BE" w:rsidR="00A16E62">
        <w:rPr>
          <w:rFonts w:ascii="Aptos" w:hAnsi="Aptos"/>
          <w:sz w:val="22"/>
          <w:szCs w:val="22"/>
        </w:rPr>
        <w:t xml:space="preserve"> climate change</w:t>
      </w:r>
      <w:r w:rsidRPr="003617BE" w:rsidR="001E4830">
        <w:rPr>
          <w:rFonts w:ascii="Aptos" w:hAnsi="Aptos"/>
          <w:sz w:val="22"/>
          <w:szCs w:val="22"/>
        </w:rPr>
        <w:t>.</w:t>
      </w:r>
      <w:r w:rsidRPr="003617BE">
        <w:rPr>
          <w:rFonts w:ascii="Aptos" w:hAnsi="Aptos"/>
          <w:sz w:val="22"/>
          <w:szCs w:val="22"/>
        </w:rPr>
        <w:t xml:space="preserve"> T</w:t>
      </w:r>
      <w:r w:rsidRPr="003617BE" w:rsidR="006D6B24">
        <w:rPr>
          <w:rFonts w:ascii="Aptos" w:hAnsi="Aptos"/>
          <w:sz w:val="22"/>
          <w:szCs w:val="22"/>
        </w:rPr>
        <w:t xml:space="preserve">o </w:t>
      </w:r>
      <w:r w:rsidRPr="003617BE" w:rsidR="008A4301">
        <w:rPr>
          <w:rFonts w:ascii="Aptos" w:hAnsi="Aptos"/>
          <w:sz w:val="22"/>
          <w:szCs w:val="22"/>
        </w:rPr>
        <w:t>achieve their full potential</w:t>
      </w:r>
      <w:r w:rsidRPr="003617BE" w:rsidR="006D6B24">
        <w:rPr>
          <w:rFonts w:ascii="Aptos" w:hAnsi="Aptos"/>
          <w:sz w:val="22"/>
          <w:szCs w:val="22"/>
        </w:rPr>
        <w:t>,</w:t>
      </w:r>
      <w:r w:rsidRPr="003617BE" w:rsidR="008A4301">
        <w:rPr>
          <w:rFonts w:ascii="Aptos" w:hAnsi="Aptos"/>
          <w:sz w:val="22"/>
          <w:szCs w:val="22"/>
        </w:rPr>
        <w:t xml:space="preserve"> however,</w:t>
      </w:r>
      <w:r w:rsidRPr="003617BE" w:rsidR="006D6B24">
        <w:rPr>
          <w:rFonts w:ascii="Aptos" w:hAnsi="Aptos"/>
          <w:sz w:val="22"/>
          <w:szCs w:val="22"/>
        </w:rPr>
        <w:t xml:space="preserve"> </w:t>
      </w:r>
      <w:r w:rsidRPr="003617BE" w:rsidR="001B41FC">
        <w:rPr>
          <w:rFonts w:ascii="Aptos" w:hAnsi="Aptos"/>
          <w:sz w:val="22"/>
          <w:szCs w:val="22"/>
        </w:rPr>
        <w:t>the</w:t>
      </w:r>
      <w:r w:rsidRPr="003617BE" w:rsidR="0062445C">
        <w:rPr>
          <w:rFonts w:ascii="Aptos" w:hAnsi="Aptos"/>
          <w:sz w:val="22"/>
          <w:szCs w:val="22"/>
        </w:rPr>
        <w:t xml:space="preserve"> connections</w:t>
      </w:r>
      <w:r w:rsidRPr="003617BE" w:rsidR="00B20EF0">
        <w:rPr>
          <w:rFonts w:ascii="Aptos" w:hAnsi="Aptos"/>
          <w:sz w:val="22"/>
          <w:szCs w:val="22"/>
        </w:rPr>
        <w:t xml:space="preserve"> between such market</w:t>
      </w:r>
      <w:r w:rsidRPr="003617BE" w:rsidR="008A4301">
        <w:rPr>
          <w:rFonts w:ascii="Aptos" w:hAnsi="Aptos"/>
          <w:sz w:val="22"/>
          <w:szCs w:val="22"/>
        </w:rPr>
        <w:t>-based instruments</w:t>
      </w:r>
      <w:r w:rsidRPr="003617BE" w:rsidR="0062445C">
        <w:rPr>
          <w:rFonts w:ascii="Aptos" w:hAnsi="Aptos"/>
          <w:sz w:val="22"/>
          <w:szCs w:val="22"/>
        </w:rPr>
        <w:t xml:space="preserve"> </w:t>
      </w:r>
      <w:r w:rsidRPr="003617BE" w:rsidR="005B3F44">
        <w:rPr>
          <w:rFonts w:ascii="Aptos" w:hAnsi="Aptos"/>
          <w:sz w:val="22"/>
          <w:szCs w:val="22"/>
        </w:rPr>
        <w:t>need to be clearly defined through</w:t>
      </w:r>
      <w:r w:rsidRPr="003617BE" w:rsidR="0062445C">
        <w:rPr>
          <w:rFonts w:ascii="Aptos" w:hAnsi="Aptos"/>
          <w:sz w:val="22"/>
          <w:szCs w:val="22"/>
        </w:rPr>
        <w:t xml:space="preserve"> </w:t>
      </w:r>
      <w:r w:rsidRPr="003617BE" w:rsidR="00213644">
        <w:rPr>
          <w:rFonts w:ascii="Aptos" w:hAnsi="Aptos"/>
          <w:sz w:val="22"/>
          <w:szCs w:val="22"/>
        </w:rPr>
        <w:t>common</w:t>
      </w:r>
      <w:r w:rsidRPr="003617BE" w:rsidR="00BD35A9">
        <w:rPr>
          <w:rFonts w:ascii="Aptos" w:hAnsi="Aptos"/>
          <w:sz w:val="22"/>
          <w:szCs w:val="22"/>
        </w:rPr>
        <w:t xml:space="preserve"> </w:t>
      </w:r>
      <w:r w:rsidRPr="003617BE" w:rsidR="00D82BAC">
        <w:rPr>
          <w:rFonts w:ascii="Aptos" w:hAnsi="Aptos"/>
          <w:sz w:val="22"/>
          <w:szCs w:val="22"/>
        </w:rPr>
        <w:t>criteria</w:t>
      </w:r>
      <w:r w:rsidRPr="003617BE" w:rsidR="00962F6C">
        <w:rPr>
          <w:rFonts w:ascii="Aptos" w:hAnsi="Aptos"/>
          <w:sz w:val="22"/>
          <w:szCs w:val="22"/>
        </w:rPr>
        <w:t xml:space="preserve"> that ensure the </w:t>
      </w:r>
      <w:r w:rsidRPr="003617BE" w:rsidR="00884FC6">
        <w:rPr>
          <w:rFonts w:ascii="Aptos" w:hAnsi="Aptos"/>
          <w:sz w:val="22"/>
          <w:szCs w:val="22"/>
        </w:rPr>
        <w:t>high-</w:t>
      </w:r>
      <w:r w:rsidRPr="003617BE" w:rsidR="00962F6C">
        <w:rPr>
          <w:rFonts w:ascii="Aptos" w:hAnsi="Aptos"/>
          <w:sz w:val="22"/>
          <w:szCs w:val="22"/>
        </w:rPr>
        <w:t xml:space="preserve">integrity of the </w:t>
      </w:r>
      <w:r w:rsidRPr="003617BE" w:rsidR="005D3B06">
        <w:rPr>
          <w:rFonts w:ascii="Aptos" w:hAnsi="Aptos"/>
          <w:sz w:val="22"/>
          <w:szCs w:val="22"/>
        </w:rPr>
        <w:t>connected</w:t>
      </w:r>
      <w:r w:rsidRPr="003617BE" w:rsidR="0060435C">
        <w:rPr>
          <w:rFonts w:ascii="Aptos" w:hAnsi="Aptos"/>
          <w:sz w:val="22"/>
          <w:szCs w:val="22"/>
        </w:rPr>
        <w:t xml:space="preserve"> system</w:t>
      </w:r>
      <w:r w:rsidRPr="003617BE" w:rsidR="004A3290">
        <w:rPr>
          <w:rFonts w:ascii="Aptos" w:hAnsi="Aptos"/>
          <w:sz w:val="22"/>
          <w:szCs w:val="22"/>
        </w:rPr>
        <w:t>.</w:t>
      </w:r>
      <w:r w:rsidRPr="003617BE" w:rsidR="00D90D79">
        <w:rPr>
          <w:rFonts w:ascii="Aptos" w:hAnsi="Aptos"/>
          <w:sz w:val="22"/>
          <w:szCs w:val="22"/>
        </w:rPr>
        <w:t xml:space="preserve"> </w:t>
      </w:r>
      <w:r w:rsidRPr="003617BE" w:rsidR="000F4C91">
        <w:rPr>
          <w:rFonts w:ascii="Aptos" w:hAnsi="Aptos"/>
          <w:sz w:val="22"/>
          <w:szCs w:val="22"/>
        </w:rPr>
        <w:t>I</w:t>
      </w:r>
      <w:r w:rsidRPr="003617BE" w:rsidR="00EF16F5">
        <w:rPr>
          <w:rFonts w:ascii="Aptos" w:hAnsi="Aptos"/>
          <w:sz w:val="22"/>
          <w:szCs w:val="22"/>
        </w:rPr>
        <w:t xml:space="preserve">n </w:t>
      </w:r>
      <w:r w:rsidRPr="003617BE" w:rsidR="00E207CF">
        <w:rPr>
          <w:rFonts w:ascii="Aptos" w:hAnsi="Aptos"/>
          <w:sz w:val="22"/>
          <w:szCs w:val="22"/>
        </w:rPr>
        <w:t>the context of SBCE</w:t>
      </w:r>
      <w:r w:rsidRPr="003617BE" w:rsidR="00EF16F5">
        <w:rPr>
          <w:rFonts w:ascii="Aptos" w:hAnsi="Aptos"/>
          <w:sz w:val="22"/>
          <w:szCs w:val="22"/>
        </w:rPr>
        <w:t>,</w:t>
      </w:r>
      <w:r w:rsidRPr="003617BE" w:rsidR="000F4C91">
        <w:rPr>
          <w:rFonts w:ascii="Aptos" w:hAnsi="Aptos"/>
          <w:sz w:val="22"/>
          <w:szCs w:val="22"/>
        </w:rPr>
        <w:t xml:space="preserve"> having clarity on </w:t>
      </w:r>
      <w:r w:rsidRPr="003617BE" w:rsidR="00457296">
        <w:rPr>
          <w:rFonts w:ascii="Aptos" w:hAnsi="Aptos"/>
          <w:sz w:val="22"/>
          <w:szCs w:val="22"/>
        </w:rPr>
        <w:t>activities</w:t>
      </w:r>
      <w:r w:rsidRPr="003617BE" w:rsidR="00E725F4">
        <w:rPr>
          <w:rFonts w:ascii="Aptos" w:hAnsi="Aptos"/>
          <w:sz w:val="22"/>
          <w:szCs w:val="22"/>
        </w:rPr>
        <w:t xml:space="preserve"> and </w:t>
      </w:r>
      <w:r w:rsidRPr="003617BE" w:rsidR="00457296">
        <w:rPr>
          <w:rFonts w:ascii="Aptos" w:hAnsi="Aptos"/>
          <w:sz w:val="22"/>
          <w:szCs w:val="22"/>
        </w:rPr>
        <w:t xml:space="preserve">methodologies </w:t>
      </w:r>
      <w:r w:rsidRPr="003617BE" w:rsidR="00CD03C3">
        <w:rPr>
          <w:rFonts w:ascii="Aptos" w:hAnsi="Aptos"/>
          <w:sz w:val="22"/>
          <w:szCs w:val="22"/>
        </w:rPr>
        <w:t>for ge</w:t>
      </w:r>
      <w:r w:rsidRPr="003617BE" w:rsidR="0078523D">
        <w:rPr>
          <w:rFonts w:ascii="Aptos" w:hAnsi="Aptos"/>
          <w:sz w:val="22"/>
          <w:szCs w:val="22"/>
        </w:rPr>
        <w:t>nerating CRVEs</w:t>
      </w:r>
      <w:r w:rsidRPr="003617BE" w:rsidR="00CD03C3">
        <w:rPr>
          <w:rFonts w:ascii="Aptos" w:hAnsi="Aptos"/>
          <w:sz w:val="22"/>
          <w:szCs w:val="22"/>
        </w:rPr>
        <w:t xml:space="preserve">, as well as </w:t>
      </w:r>
      <w:r w:rsidRPr="003617BE" w:rsidR="00457296">
        <w:rPr>
          <w:rFonts w:ascii="Aptos" w:hAnsi="Aptos"/>
          <w:sz w:val="22"/>
          <w:szCs w:val="22"/>
        </w:rPr>
        <w:t>the percentage of emissions that will be allowed to be covered by them</w:t>
      </w:r>
      <w:r w:rsidRPr="003617BE" w:rsidR="003F0358">
        <w:rPr>
          <w:rFonts w:ascii="Aptos" w:hAnsi="Aptos"/>
          <w:sz w:val="22"/>
          <w:szCs w:val="22"/>
        </w:rPr>
        <w:t>,</w:t>
      </w:r>
      <w:r w:rsidRPr="003617BE" w:rsidR="004369C1">
        <w:rPr>
          <w:rFonts w:ascii="Aptos" w:hAnsi="Aptos"/>
          <w:sz w:val="22"/>
          <w:szCs w:val="22"/>
        </w:rPr>
        <w:t xml:space="preserve"> </w:t>
      </w:r>
      <w:r w:rsidRPr="003617BE" w:rsidR="00B039EE">
        <w:rPr>
          <w:rFonts w:ascii="Aptos" w:hAnsi="Aptos"/>
          <w:sz w:val="22"/>
          <w:szCs w:val="22"/>
        </w:rPr>
        <w:t>is</w:t>
      </w:r>
      <w:r w:rsidRPr="003617BE" w:rsidR="001E46EF">
        <w:rPr>
          <w:rFonts w:ascii="Aptos" w:hAnsi="Aptos"/>
          <w:sz w:val="22"/>
          <w:szCs w:val="22"/>
        </w:rPr>
        <w:t xml:space="preserve"> a key example of such a process</w:t>
      </w:r>
      <w:r w:rsidRPr="003617BE" w:rsidR="0091471B">
        <w:rPr>
          <w:rFonts w:ascii="Aptos" w:hAnsi="Aptos"/>
          <w:sz w:val="22"/>
          <w:szCs w:val="22"/>
        </w:rPr>
        <w:t xml:space="preserve"> and </w:t>
      </w:r>
      <w:r w:rsidRPr="003617BE" w:rsidR="007B0337">
        <w:rPr>
          <w:rFonts w:ascii="Aptos" w:hAnsi="Aptos"/>
          <w:sz w:val="22"/>
          <w:szCs w:val="22"/>
        </w:rPr>
        <w:t xml:space="preserve">is </w:t>
      </w:r>
      <w:r w:rsidRPr="003617BE" w:rsidR="000F4C91">
        <w:rPr>
          <w:rFonts w:ascii="Aptos" w:hAnsi="Aptos"/>
          <w:sz w:val="22"/>
          <w:szCs w:val="22"/>
        </w:rPr>
        <w:t>particularly important</w:t>
      </w:r>
      <w:r w:rsidRPr="003617BE" w:rsidR="001E46EF">
        <w:rPr>
          <w:rFonts w:ascii="Aptos" w:hAnsi="Aptos"/>
          <w:sz w:val="22"/>
          <w:szCs w:val="22"/>
        </w:rPr>
        <w:t xml:space="preserve"> for </w:t>
      </w:r>
      <w:r w:rsidRPr="003617BE" w:rsidR="00365300">
        <w:rPr>
          <w:rFonts w:ascii="Aptos" w:hAnsi="Aptos"/>
          <w:sz w:val="22"/>
          <w:szCs w:val="22"/>
        </w:rPr>
        <w:t>Brazil</w:t>
      </w:r>
      <w:r w:rsidRPr="003617BE" w:rsidR="0091471B">
        <w:rPr>
          <w:rFonts w:ascii="Aptos" w:hAnsi="Aptos"/>
          <w:sz w:val="22"/>
          <w:szCs w:val="22"/>
        </w:rPr>
        <w:t xml:space="preserve">’s </w:t>
      </w:r>
      <w:r w:rsidRPr="003617BE" w:rsidR="000D69CA">
        <w:rPr>
          <w:rFonts w:ascii="Aptos" w:hAnsi="Aptos"/>
          <w:sz w:val="22"/>
          <w:szCs w:val="22"/>
        </w:rPr>
        <w:t>climate commitments</w:t>
      </w:r>
      <w:r w:rsidRPr="003617BE" w:rsidR="00D90D79">
        <w:rPr>
          <w:rFonts w:ascii="Aptos" w:hAnsi="Aptos"/>
          <w:sz w:val="22"/>
          <w:szCs w:val="22"/>
        </w:rPr>
        <w:t>.</w:t>
      </w:r>
      <w:r w:rsidRPr="003617BE" w:rsidR="000F4C91">
        <w:rPr>
          <w:rFonts w:ascii="Aptos" w:hAnsi="Aptos"/>
          <w:sz w:val="22"/>
          <w:szCs w:val="22"/>
        </w:rPr>
        <w:t xml:space="preserve"> </w:t>
      </w:r>
    </w:p>
    <w:p w:rsidRPr="003617BE" w:rsidR="00D666A6" w:rsidP="00E565C5" w:rsidRDefault="007B0337" w14:paraId="437BCDE7" w14:textId="7C404460">
      <w:pPr>
        <w:spacing w:before="144" w:beforeLines="60" w:after="60" w:line="276" w:lineRule="auto"/>
        <w:ind w:right="567"/>
        <w:jc w:val="both"/>
        <w:rPr>
          <w:rFonts w:ascii="Aptos" w:hAnsi="Aptos"/>
          <w:sz w:val="22"/>
          <w:szCs w:val="22"/>
        </w:rPr>
      </w:pPr>
      <w:r w:rsidRPr="00880EA4">
        <w:rPr>
          <w:rFonts w:ascii="Aptos" w:hAnsi="Aptos"/>
          <w:sz w:val="22"/>
          <w:szCs w:val="22"/>
        </w:rPr>
        <w:t>W</w:t>
      </w:r>
      <w:r w:rsidRPr="00880EA4" w:rsidR="005D24C9">
        <w:rPr>
          <w:rFonts w:ascii="Aptos" w:hAnsi="Aptos"/>
          <w:sz w:val="22"/>
          <w:szCs w:val="22"/>
        </w:rPr>
        <w:t>hile</w:t>
      </w:r>
      <w:r w:rsidRPr="00880EA4" w:rsidR="009135F7">
        <w:rPr>
          <w:rFonts w:ascii="Aptos" w:hAnsi="Aptos"/>
          <w:sz w:val="22"/>
          <w:szCs w:val="22"/>
        </w:rPr>
        <w:t xml:space="preserve"> the full implementation of the SBCE will take several years</w:t>
      </w:r>
      <w:r w:rsidRPr="00880EA4" w:rsidR="00A32666">
        <w:rPr>
          <w:rFonts w:ascii="Aptos" w:hAnsi="Aptos"/>
          <w:sz w:val="22"/>
          <w:szCs w:val="22"/>
        </w:rPr>
        <w:t>,</w:t>
      </w:r>
      <w:r w:rsidRPr="00880EA4" w:rsidR="00EA1859">
        <w:rPr>
          <w:rFonts w:ascii="Aptos" w:hAnsi="Aptos"/>
          <w:sz w:val="22"/>
          <w:szCs w:val="22"/>
        </w:rPr>
        <w:t xml:space="preserve"> about</w:t>
      </w:r>
      <w:r w:rsidR="005E08C2">
        <w:rPr>
          <w:rFonts w:ascii="Aptos" w:hAnsi="Aptos"/>
          <w:sz w:val="22"/>
          <w:szCs w:val="22"/>
        </w:rPr>
        <w:t xml:space="preserve"> three quarters</w:t>
      </w:r>
      <w:r w:rsidRPr="00880EA4" w:rsidR="00EA1859">
        <w:rPr>
          <w:rFonts w:ascii="Aptos" w:hAnsi="Aptos"/>
          <w:sz w:val="22"/>
          <w:szCs w:val="22"/>
        </w:rPr>
        <w:t xml:space="preserve"> of the country’s emissions comes from sectors not covered by the </w:t>
      </w:r>
      <w:r w:rsidRPr="00880EA4" w:rsidR="007674C7">
        <w:rPr>
          <w:rFonts w:ascii="Aptos" w:hAnsi="Aptos"/>
          <w:sz w:val="22"/>
          <w:szCs w:val="22"/>
        </w:rPr>
        <w:t>compliance system</w:t>
      </w:r>
      <w:r w:rsidR="00187EF6">
        <w:rPr>
          <w:rFonts w:ascii="Aptos" w:hAnsi="Aptos"/>
          <w:sz w:val="22"/>
          <w:szCs w:val="22"/>
        </w:rPr>
        <w:t xml:space="preserve">, 60% alone from </w:t>
      </w:r>
      <w:r w:rsidR="00E61E87">
        <w:rPr>
          <w:rFonts w:ascii="Aptos" w:hAnsi="Aptos"/>
          <w:sz w:val="22"/>
          <w:szCs w:val="22"/>
        </w:rPr>
        <w:t xml:space="preserve">Agriculture, </w:t>
      </w:r>
      <w:r w:rsidR="00E61E87">
        <w:rPr>
          <w:rFonts w:ascii="Aptos" w:hAnsi="Aptos"/>
          <w:sz w:val="22"/>
          <w:szCs w:val="22"/>
        </w:rPr>
        <w:lastRenderedPageBreak/>
        <w:t>Land-use Change and Forestry sectors</w:t>
      </w:r>
      <w:r w:rsidR="00E61E87">
        <w:rPr>
          <w:rStyle w:val="EndnoteReference"/>
          <w:rFonts w:ascii="Aptos" w:hAnsi="Aptos"/>
          <w:sz w:val="22"/>
          <w:szCs w:val="22"/>
        </w:rPr>
        <w:endnoteReference w:id="2"/>
      </w:r>
      <w:r w:rsidRPr="00880EA4" w:rsidR="000720BE">
        <w:rPr>
          <w:rFonts w:ascii="Aptos" w:hAnsi="Aptos"/>
          <w:sz w:val="22"/>
          <w:szCs w:val="22"/>
        </w:rPr>
        <w:t>.</w:t>
      </w:r>
      <w:r w:rsidRPr="003617BE" w:rsidR="00603CB1">
        <w:rPr>
          <w:rFonts w:ascii="Aptos" w:hAnsi="Aptos"/>
          <w:sz w:val="22"/>
          <w:szCs w:val="22"/>
        </w:rPr>
        <w:t xml:space="preserve"> Thus,</w:t>
      </w:r>
      <w:r w:rsidRPr="003617BE" w:rsidR="00A140A8">
        <w:rPr>
          <w:rFonts w:ascii="Aptos" w:hAnsi="Aptos"/>
          <w:sz w:val="22"/>
          <w:szCs w:val="22"/>
        </w:rPr>
        <w:t xml:space="preserve"> establishing </w:t>
      </w:r>
      <w:r w:rsidRPr="003617BE" w:rsidR="0000350A">
        <w:rPr>
          <w:rFonts w:ascii="Aptos" w:hAnsi="Aptos"/>
          <w:sz w:val="22"/>
          <w:szCs w:val="22"/>
        </w:rPr>
        <w:t>in advance</w:t>
      </w:r>
      <w:r w:rsidRPr="003617BE" w:rsidR="0090133F">
        <w:rPr>
          <w:rFonts w:ascii="Aptos" w:hAnsi="Aptos"/>
          <w:sz w:val="22"/>
          <w:szCs w:val="22"/>
        </w:rPr>
        <w:t xml:space="preserve"> </w:t>
      </w:r>
      <w:r w:rsidRPr="003617BE" w:rsidR="00603CB1">
        <w:rPr>
          <w:rFonts w:ascii="Aptos" w:hAnsi="Aptos"/>
          <w:sz w:val="22"/>
          <w:szCs w:val="22"/>
        </w:rPr>
        <w:t>c</w:t>
      </w:r>
      <w:r w:rsidRPr="003617BE" w:rsidR="00147430">
        <w:rPr>
          <w:rFonts w:ascii="Aptos" w:hAnsi="Aptos"/>
          <w:sz w:val="22"/>
          <w:szCs w:val="22"/>
        </w:rPr>
        <w:t>lear guid</w:t>
      </w:r>
      <w:r w:rsidRPr="003617BE" w:rsidR="0090133F">
        <w:rPr>
          <w:rFonts w:ascii="Aptos" w:hAnsi="Aptos"/>
          <w:sz w:val="22"/>
          <w:szCs w:val="22"/>
        </w:rPr>
        <w:t>elines</w:t>
      </w:r>
      <w:r w:rsidRPr="003617BE" w:rsidR="00147430">
        <w:rPr>
          <w:rFonts w:ascii="Aptos" w:hAnsi="Aptos"/>
          <w:sz w:val="22"/>
          <w:szCs w:val="22"/>
        </w:rPr>
        <w:t xml:space="preserve"> </w:t>
      </w:r>
      <w:r w:rsidRPr="003617BE" w:rsidR="004369C1">
        <w:rPr>
          <w:rFonts w:ascii="Aptos" w:hAnsi="Aptos"/>
          <w:sz w:val="22"/>
          <w:szCs w:val="22"/>
        </w:rPr>
        <w:t>on</w:t>
      </w:r>
      <w:r w:rsidRPr="003617BE" w:rsidR="0090133F">
        <w:rPr>
          <w:rFonts w:ascii="Aptos" w:hAnsi="Aptos"/>
          <w:sz w:val="22"/>
          <w:szCs w:val="22"/>
        </w:rPr>
        <w:t xml:space="preserve"> </w:t>
      </w:r>
      <w:r w:rsidRPr="003617BE" w:rsidR="0000350A">
        <w:rPr>
          <w:rFonts w:ascii="Aptos" w:hAnsi="Aptos"/>
          <w:sz w:val="22"/>
          <w:szCs w:val="22"/>
        </w:rPr>
        <w:t>how the</w:t>
      </w:r>
      <w:r w:rsidRPr="003617BE" w:rsidR="0090133F">
        <w:rPr>
          <w:rFonts w:ascii="Aptos" w:hAnsi="Aptos"/>
          <w:sz w:val="22"/>
          <w:szCs w:val="22"/>
        </w:rPr>
        <w:t xml:space="preserve"> connection between compliance </w:t>
      </w:r>
      <w:r w:rsidRPr="003617BE" w:rsidR="00B310AD">
        <w:rPr>
          <w:rFonts w:ascii="Aptos" w:hAnsi="Aptos"/>
          <w:sz w:val="22"/>
          <w:szCs w:val="22"/>
        </w:rPr>
        <w:t xml:space="preserve">system </w:t>
      </w:r>
      <w:r w:rsidRPr="003617BE" w:rsidR="0090133F">
        <w:rPr>
          <w:rFonts w:ascii="Aptos" w:hAnsi="Aptos"/>
          <w:sz w:val="22"/>
          <w:szCs w:val="22"/>
        </w:rPr>
        <w:t xml:space="preserve">and </w:t>
      </w:r>
      <w:r w:rsidRPr="003617BE" w:rsidR="00B310AD">
        <w:rPr>
          <w:rFonts w:ascii="Aptos" w:hAnsi="Aptos"/>
          <w:sz w:val="22"/>
          <w:szCs w:val="22"/>
        </w:rPr>
        <w:t xml:space="preserve">the </w:t>
      </w:r>
      <w:r w:rsidRPr="003617BE" w:rsidR="0090133F">
        <w:rPr>
          <w:rFonts w:ascii="Aptos" w:hAnsi="Aptos"/>
          <w:sz w:val="22"/>
          <w:szCs w:val="22"/>
        </w:rPr>
        <w:t>voluntary</w:t>
      </w:r>
      <w:r w:rsidRPr="003617BE" w:rsidR="00B310AD">
        <w:rPr>
          <w:rFonts w:ascii="Aptos" w:hAnsi="Aptos"/>
          <w:sz w:val="22"/>
          <w:szCs w:val="22"/>
        </w:rPr>
        <w:t xml:space="preserve"> crediting</w:t>
      </w:r>
      <w:r w:rsidRPr="003617BE" w:rsidR="0090133F">
        <w:rPr>
          <w:rFonts w:ascii="Aptos" w:hAnsi="Aptos"/>
          <w:sz w:val="22"/>
          <w:szCs w:val="22"/>
        </w:rPr>
        <w:t xml:space="preserve"> </w:t>
      </w:r>
      <w:r w:rsidRPr="003617BE" w:rsidR="003A49C4">
        <w:rPr>
          <w:rFonts w:ascii="Aptos" w:hAnsi="Aptos"/>
          <w:sz w:val="22"/>
          <w:szCs w:val="22"/>
        </w:rPr>
        <w:t xml:space="preserve">environment </w:t>
      </w:r>
      <w:r w:rsidRPr="003617BE" w:rsidR="0000350A">
        <w:rPr>
          <w:rFonts w:ascii="Aptos" w:hAnsi="Aptos"/>
          <w:sz w:val="22"/>
          <w:szCs w:val="22"/>
        </w:rPr>
        <w:t>will work is</w:t>
      </w:r>
      <w:r w:rsidRPr="003617BE" w:rsidR="00603CB1">
        <w:rPr>
          <w:rFonts w:ascii="Aptos" w:hAnsi="Aptos"/>
          <w:sz w:val="22"/>
          <w:szCs w:val="22"/>
        </w:rPr>
        <w:t xml:space="preserve"> vital </w:t>
      </w:r>
      <w:r w:rsidRPr="003617BE" w:rsidR="00147430">
        <w:rPr>
          <w:rFonts w:ascii="Aptos" w:hAnsi="Aptos"/>
          <w:sz w:val="22"/>
          <w:szCs w:val="22"/>
        </w:rPr>
        <w:t xml:space="preserve">to </w:t>
      </w:r>
      <w:r w:rsidRPr="003617BE" w:rsidR="00844858">
        <w:rPr>
          <w:rFonts w:ascii="Aptos" w:hAnsi="Aptos"/>
          <w:sz w:val="22"/>
          <w:szCs w:val="22"/>
        </w:rPr>
        <w:t>unlock</w:t>
      </w:r>
      <w:r w:rsidRPr="003617BE" w:rsidR="00AD20EC">
        <w:rPr>
          <w:rFonts w:ascii="Aptos" w:hAnsi="Aptos"/>
          <w:sz w:val="22"/>
          <w:szCs w:val="22"/>
        </w:rPr>
        <w:t xml:space="preserve"> in advance long-term</w:t>
      </w:r>
      <w:r w:rsidRPr="003617BE" w:rsidR="00844858">
        <w:rPr>
          <w:rFonts w:ascii="Aptos" w:hAnsi="Aptos"/>
          <w:sz w:val="22"/>
          <w:szCs w:val="22"/>
        </w:rPr>
        <w:t xml:space="preserve"> </w:t>
      </w:r>
      <w:r w:rsidRPr="003617BE" w:rsidR="00585E1B">
        <w:rPr>
          <w:rFonts w:ascii="Aptos" w:hAnsi="Aptos"/>
          <w:sz w:val="22"/>
          <w:szCs w:val="22"/>
        </w:rPr>
        <w:t>investments</w:t>
      </w:r>
      <w:r w:rsidRPr="003617BE" w:rsidR="00844858">
        <w:rPr>
          <w:rFonts w:ascii="Aptos" w:hAnsi="Aptos"/>
          <w:sz w:val="22"/>
          <w:szCs w:val="22"/>
        </w:rPr>
        <w:t xml:space="preserve"> from the private sector into </w:t>
      </w:r>
      <w:r w:rsidRPr="003617BE" w:rsidR="00AD20EC">
        <w:rPr>
          <w:rFonts w:ascii="Aptos" w:hAnsi="Aptos"/>
          <w:sz w:val="22"/>
          <w:szCs w:val="22"/>
        </w:rPr>
        <w:t>key</w:t>
      </w:r>
      <w:r w:rsidRPr="003617BE" w:rsidR="00844858">
        <w:rPr>
          <w:rFonts w:ascii="Aptos" w:hAnsi="Aptos"/>
          <w:sz w:val="22"/>
          <w:szCs w:val="22"/>
        </w:rPr>
        <w:t xml:space="preserve"> mitigation areas</w:t>
      </w:r>
      <w:r w:rsidRPr="003617BE" w:rsidR="00585E1B">
        <w:rPr>
          <w:rFonts w:ascii="Aptos" w:hAnsi="Aptos"/>
          <w:sz w:val="22"/>
          <w:szCs w:val="22"/>
        </w:rPr>
        <w:t xml:space="preserve"> for the </w:t>
      </w:r>
      <w:r w:rsidRPr="003617BE" w:rsidR="009F7CAE">
        <w:rPr>
          <w:rFonts w:ascii="Aptos" w:hAnsi="Aptos"/>
          <w:sz w:val="22"/>
          <w:szCs w:val="22"/>
        </w:rPr>
        <w:t xml:space="preserve">achievement of the </w:t>
      </w:r>
      <w:r w:rsidRPr="003617BE" w:rsidR="00881415">
        <w:rPr>
          <w:rFonts w:ascii="Aptos" w:hAnsi="Aptos"/>
          <w:sz w:val="22"/>
          <w:szCs w:val="22"/>
        </w:rPr>
        <w:t>near-term</w:t>
      </w:r>
      <w:r w:rsidRPr="003617BE" w:rsidR="009F7CAE">
        <w:rPr>
          <w:rFonts w:ascii="Aptos" w:hAnsi="Aptos"/>
          <w:sz w:val="22"/>
          <w:szCs w:val="22"/>
        </w:rPr>
        <w:t xml:space="preserve"> goals of the </w:t>
      </w:r>
      <w:r w:rsidRPr="003617BE" w:rsidR="00585E1B">
        <w:rPr>
          <w:rFonts w:ascii="Aptos" w:hAnsi="Aptos"/>
          <w:sz w:val="22"/>
          <w:szCs w:val="22"/>
        </w:rPr>
        <w:t>countr</w:t>
      </w:r>
      <w:r w:rsidRPr="003617BE" w:rsidR="009F7CAE">
        <w:rPr>
          <w:rFonts w:ascii="Aptos" w:hAnsi="Aptos"/>
          <w:sz w:val="22"/>
          <w:szCs w:val="22"/>
        </w:rPr>
        <w:t>y’s</w:t>
      </w:r>
      <w:r w:rsidRPr="003617BE" w:rsidR="00585E1B">
        <w:rPr>
          <w:rFonts w:ascii="Aptos" w:hAnsi="Aptos"/>
          <w:sz w:val="22"/>
          <w:szCs w:val="22"/>
        </w:rPr>
        <w:t xml:space="preserve"> NDC</w:t>
      </w:r>
      <w:r w:rsidRPr="003617BE" w:rsidR="007978AC">
        <w:rPr>
          <w:rFonts w:ascii="Aptos" w:hAnsi="Aptos"/>
          <w:sz w:val="22"/>
          <w:szCs w:val="22"/>
        </w:rPr>
        <w:t>.</w:t>
      </w:r>
    </w:p>
    <w:p w:rsidRPr="003617BE" w:rsidR="0099649E" w:rsidP="00E565C5" w:rsidRDefault="00B7656C" w14:paraId="3C1CBE6D" w14:textId="1ED34C0E">
      <w:pPr>
        <w:spacing w:before="144" w:beforeLines="60" w:after="60" w:line="276" w:lineRule="auto"/>
        <w:ind w:right="567"/>
        <w:jc w:val="both"/>
        <w:rPr>
          <w:rFonts w:ascii="Aptos" w:hAnsi="Aptos"/>
          <w:sz w:val="22"/>
          <w:szCs w:val="22"/>
        </w:rPr>
      </w:pPr>
      <w:r w:rsidRPr="003617BE">
        <w:rPr>
          <w:rFonts w:ascii="Aptos" w:hAnsi="Aptos"/>
          <w:sz w:val="22"/>
          <w:szCs w:val="22"/>
        </w:rPr>
        <w:t>Delays</w:t>
      </w:r>
      <w:r w:rsidRPr="003617BE" w:rsidR="00D73AE7">
        <w:rPr>
          <w:rFonts w:ascii="Aptos" w:hAnsi="Aptos"/>
          <w:sz w:val="22"/>
          <w:szCs w:val="22"/>
        </w:rPr>
        <w:t xml:space="preserve"> </w:t>
      </w:r>
      <w:r w:rsidRPr="003617BE" w:rsidR="00956692">
        <w:rPr>
          <w:rFonts w:ascii="Aptos" w:hAnsi="Aptos"/>
          <w:sz w:val="22"/>
          <w:szCs w:val="22"/>
        </w:rPr>
        <w:t xml:space="preserve">in </w:t>
      </w:r>
      <w:r w:rsidRPr="003617BE">
        <w:rPr>
          <w:rFonts w:ascii="Aptos" w:hAnsi="Aptos"/>
          <w:sz w:val="22"/>
          <w:szCs w:val="22"/>
        </w:rPr>
        <w:t>providing</w:t>
      </w:r>
      <w:r w:rsidRPr="003617BE" w:rsidR="006F7841">
        <w:rPr>
          <w:rFonts w:ascii="Aptos" w:hAnsi="Aptos"/>
          <w:sz w:val="22"/>
          <w:szCs w:val="22"/>
        </w:rPr>
        <w:t xml:space="preserve"> </w:t>
      </w:r>
      <w:r w:rsidRPr="003617BE" w:rsidR="003A49C4">
        <w:rPr>
          <w:rFonts w:ascii="Aptos" w:hAnsi="Aptos"/>
          <w:sz w:val="22"/>
          <w:szCs w:val="22"/>
        </w:rPr>
        <w:t xml:space="preserve">such </w:t>
      </w:r>
      <w:r w:rsidRPr="003617BE">
        <w:rPr>
          <w:rFonts w:ascii="Aptos" w:hAnsi="Aptos"/>
          <w:sz w:val="22"/>
          <w:szCs w:val="22"/>
        </w:rPr>
        <w:t>clarity, however,</w:t>
      </w:r>
      <w:r w:rsidRPr="003617BE" w:rsidR="00DB10DA">
        <w:rPr>
          <w:rFonts w:ascii="Aptos" w:hAnsi="Aptos"/>
          <w:sz w:val="22"/>
          <w:szCs w:val="22"/>
        </w:rPr>
        <w:t xml:space="preserve"> can also</w:t>
      </w:r>
      <w:r w:rsidRPr="003617BE" w:rsidR="0002487D">
        <w:rPr>
          <w:rFonts w:ascii="Aptos" w:hAnsi="Aptos"/>
          <w:sz w:val="22"/>
          <w:szCs w:val="22"/>
        </w:rPr>
        <w:t xml:space="preserve"> generate</w:t>
      </w:r>
      <w:r w:rsidRPr="003617BE" w:rsidR="00DB10DA">
        <w:rPr>
          <w:rFonts w:ascii="Aptos" w:hAnsi="Aptos"/>
          <w:sz w:val="22"/>
          <w:szCs w:val="22"/>
        </w:rPr>
        <w:t xml:space="preserve"> </w:t>
      </w:r>
      <w:r w:rsidRPr="003617BE" w:rsidR="00586FB3">
        <w:rPr>
          <w:rFonts w:ascii="Aptos" w:hAnsi="Aptos"/>
          <w:sz w:val="22"/>
          <w:szCs w:val="22"/>
        </w:rPr>
        <w:t>counterproductive</w:t>
      </w:r>
      <w:r w:rsidRPr="003617BE" w:rsidR="0002487D">
        <w:rPr>
          <w:rFonts w:ascii="Aptos" w:hAnsi="Aptos"/>
          <w:sz w:val="22"/>
          <w:szCs w:val="22"/>
        </w:rPr>
        <w:t xml:space="preserve"> impacts</w:t>
      </w:r>
      <w:r w:rsidRPr="003617BE" w:rsidR="004434AD">
        <w:rPr>
          <w:rFonts w:ascii="Aptos" w:hAnsi="Aptos"/>
          <w:sz w:val="22"/>
          <w:szCs w:val="22"/>
        </w:rPr>
        <w:t xml:space="preserve">, </w:t>
      </w:r>
      <w:r w:rsidRPr="003617BE" w:rsidR="008E58DA">
        <w:rPr>
          <w:rFonts w:ascii="Aptos" w:hAnsi="Aptos"/>
          <w:sz w:val="22"/>
          <w:szCs w:val="22"/>
        </w:rPr>
        <w:t xml:space="preserve">with </w:t>
      </w:r>
      <w:r w:rsidRPr="003617BE" w:rsidR="00586FB3">
        <w:rPr>
          <w:rFonts w:ascii="Aptos" w:hAnsi="Aptos"/>
          <w:sz w:val="22"/>
          <w:szCs w:val="22"/>
        </w:rPr>
        <w:t>private sector stakeholders</w:t>
      </w:r>
      <w:r w:rsidRPr="003617BE" w:rsidR="008E58DA">
        <w:rPr>
          <w:rFonts w:ascii="Aptos" w:hAnsi="Aptos"/>
          <w:sz w:val="22"/>
          <w:szCs w:val="22"/>
        </w:rPr>
        <w:t xml:space="preserve"> putting</w:t>
      </w:r>
      <w:r w:rsidRPr="003617BE" w:rsidR="004434AD">
        <w:rPr>
          <w:rFonts w:ascii="Aptos" w:hAnsi="Aptos"/>
          <w:sz w:val="22"/>
          <w:szCs w:val="22"/>
        </w:rPr>
        <w:t xml:space="preserve"> </w:t>
      </w:r>
      <w:r w:rsidRPr="003617BE" w:rsidR="008471AF">
        <w:rPr>
          <w:rFonts w:ascii="Aptos" w:hAnsi="Aptos"/>
          <w:sz w:val="22"/>
          <w:szCs w:val="22"/>
        </w:rPr>
        <w:t xml:space="preserve">new </w:t>
      </w:r>
      <w:r w:rsidRPr="003617BE" w:rsidR="004434AD">
        <w:rPr>
          <w:rFonts w:ascii="Aptos" w:hAnsi="Aptos"/>
          <w:sz w:val="22"/>
          <w:szCs w:val="22"/>
        </w:rPr>
        <w:t xml:space="preserve">investments </w:t>
      </w:r>
      <w:r w:rsidRPr="003617BE" w:rsidR="008471AF">
        <w:rPr>
          <w:rFonts w:ascii="Aptos" w:hAnsi="Aptos"/>
          <w:sz w:val="22"/>
          <w:szCs w:val="22"/>
        </w:rPr>
        <w:t>in emission reduction and removal projects</w:t>
      </w:r>
      <w:r w:rsidRPr="003617BE" w:rsidR="008E58DA">
        <w:rPr>
          <w:rFonts w:ascii="Aptos" w:hAnsi="Aptos"/>
          <w:sz w:val="22"/>
          <w:szCs w:val="22"/>
        </w:rPr>
        <w:t xml:space="preserve"> on hold</w:t>
      </w:r>
      <w:r w:rsidRPr="003617BE" w:rsidR="008471AF">
        <w:rPr>
          <w:rFonts w:ascii="Aptos" w:hAnsi="Aptos"/>
          <w:sz w:val="22"/>
          <w:szCs w:val="22"/>
        </w:rPr>
        <w:t xml:space="preserve"> </w:t>
      </w:r>
      <w:r w:rsidRPr="003617BE" w:rsidR="0009665F">
        <w:rPr>
          <w:rFonts w:ascii="Aptos" w:hAnsi="Aptos"/>
          <w:sz w:val="22"/>
          <w:szCs w:val="22"/>
        </w:rPr>
        <w:t xml:space="preserve">until </w:t>
      </w:r>
      <w:r w:rsidRPr="003617BE" w:rsidR="00032D13">
        <w:rPr>
          <w:rFonts w:ascii="Aptos" w:hAnsi="Aptos"/>
          <w:sz w:val="22"/>
          <w:szCs w:val="22"/>
        </w:rPr>
        <w:t>they have more</w:t>
      </w:r>
      <w:r w:rsidRPr="003617BE" w:rsidR="00D94444">
        <w:rPr>
          <w:rFonts w:ascii="Aptos" w:hAnsi="Aptos"/>
          <w:sz w:val="22"/>
          <w:szCs w:val="22"/>
        </w:rPr>
        <w:t xml:space="preserve"> </w:t>
      </w:r>
      <w:r w:rsidRPr="003617BE" w:rsidR="00AD51FA">
        <w:rPr>
          <w:rFonts w:ascii="Aptos" w:hAnsi="Aptos"/>
          <w:sz w:val="22"/>
          <w:szCs w:val="22"/>
        </w:rPr>
        <w:t>clarity on</w:t>
      </w:r>
      <w:r w:rsidRPr="003617BE" w:rsidR="00586FB3">
        <w:rPr>
          <w:rFonts w:ascii="Aptos" w:hAnsi="Aptos"/>
          <w:sz w:val="22"/>
          <w:szCs w:val="22"/>
        </w:rPr>
        <w:t xml:space="preserve"> how</w:t>
      </w:r>
      <w:r w:rsidRPr="003617BE" w:rsidR="00AD51FA">
        <w:rPr>
          <w:rFonts w:ascii="Aptos" w:hAnsi="Aptos"/>
          <w:sz w:val="22"/>
          <w:szCs w:val="22"/>
        </w:rPr>
        <w:t xml:space="preserve"> </w:t>
      </w:r>
      <w:r w:rsidRPr="003617BE">
        <w:rPr>
          <w:rFonts w:ascii="Aptos" w:hAnsi="Aptos"/>
          <w:sz w:val="22"/>
          <w:szCs w:val="22"/>
        </w:rPr>
        <w:t>the</w:t>
      </w:r>
      <w:r w:rsidRPr="003617BE" w:rsidR="008E58DA">
        <w:rPr>
          <w:rFonts w:ascii="Aptos" w:hAnsi="Aptos"/>
          <w:sz w:val="22"/>
          <w:szCs w:val="22"/>
        </w:rPr>
        <w:t xml:space="preserve"> interplay will take place</w:t>
      </w:r>
      <w:r w:rsidRPr="003617BE" w:rsidR="009C45E5">
        <w:rPr>
          <w:rFonts w:ascii="Aptos" w:hAnsi="Aptos"/>
          <w:sz w:val="22"/>
          <w:szCs w:val="22"/>
        </w:rPr>
        <w:t>, compromising ongoing climate action</w:t>
      </w:r>
      <w:r w:rsidRPr="003617BE" w:rsidR="00DB3A2B">
        <w:rPr>
          <w:rFonts w:ascii="Aptos" w:hAnsi="Aptos"/>
          <w:sz w:val="22"/>
          <w:szCs w:val="22"/>
        </w:rPr>
        <w:t xml:space="preserve"> in the country. </w:t>
      </w:r>
      <w:r w:rsidRPr="003617BE" w:rsidR="006F5CA1">
        <w:rPr>
          <w:rFonts w:ascii="Aptos" w:hAnsi="Aptos"/>
          <w:sz w:val="22"/>
          <w:szCs w:val="22"/>
        </w:rPr>
        <w:t>To avoid such a scenario</w:t>
      </w:r>
      <w:r w:rsidRPr="003617BE" w:rsidR="00D92194">
        <w:rPr>
          <w:rFonts w:ascii="Aptos" w:hAnsi="Aptos"/>
          <w:sz w:val="22"/>
          <w:szCs w:val="22"/>
        </w:rPr>
        <w:t>,</w:t>
      </w:r>
      <w:r w:rsidRPr="003617BE" w:rsidR="007C386A">
        <w:rPr>
          <w:rFonts w:ascii="Aptos" w:hAnsi="Aptos"/>
          <w:sz w:val="22"/>
          <w:szCs w:val="22"/>
        </w:rPr>
        <w:t xml:space="preserve"> it would be crucial to</w:t>
      </w:r>
      <w:r w:rsidRPr="003617BE" w:rsidR="00D92194">
        <w:rPr>
          <w:rFonts w:ascii="Aptos" w:hAnsi="Aptos"/>
          <w:sz w:val="22"/>
          <w:szCs w:val="22"/>
        </w:rPr>
        <w:t xml:space="preserve"> </w:t>
      </w:r>
      <w:r w:rsidRPr="003617BE" w:rsidR="007266A1">
        <w:rPr>
          <w:rFonts w:ascii="Aptos" w:hAnsi="Aptos"/>
          <w:sz w:val="22"/>
          <w:szCs w:val="22"/>
        </w:rPr>
        <w:t xml:space="preserve">at least </w:t>
      </w:r>
      <w:r w:rsidRPr="003617BE" w:rsidR="007C386A">
        <w:rPr>
          <w:rFonts w:ascii="Aptos" w:hAnsi="Aptos"/>
          <w:sz w:val="22"/>
          <w:szCs w:val="22"/>
        </w:rPr>
        <w:t>define</w:t>
      </w:r>
      <w:r w:rsidRPr="003617BE" w:rsidR="003A49C4">
        <w:rPr>
          <w:rFonts w:ascii="Aptos" w:hAnsi="Aptos"/>
          <w:sz w:val="22"/>
          <w:szCs w:val="22"/>
        </w:rPr>
        <w:t xml:space="preserve"> which </w:t>
      </w:r>
      <w:r w:rsidRPr="003617BE" w:rsidR="007266A1">
        <w:rPr>
          <w:rFonts w:ascii="Aptos" w:hAnsi="Aptos"/>
          <w:sz w:val="22"/>
          <w:szCs w:val="22"/>
        </w:rPr>
        <w:t xml:space="preserve">integrity principles </w:t>
      </w:r>
      <w:r w:rsidRPr="003617BE" w:rsidR="00503BBA">
        <w:rPr>
          <w:rFonts w:ascii="Aptos" w:hAnsi="Aptos"/>
          <w:sz w:val="22"/>
          <w:szCs w:val="22"/>
        </w:rPr>
        <w:t xml:space="preserve">will </w:t>
      </w:r>
      <w:r w:rsidRPr="003617BE" w:rsidR="00F1308D">
        <w:rPr>
          <w:rFonts w:ascii="Aptos" w:hAnsi="Aptos"/>
          <w:sz w:val="22"/>
          <w:szCs w:val="22"/>
        </w:rPr>
        <w:t>serve as</w:t>
      </w:r>
      <w:r w:rsidRPr="003617BE" w:rsidR="00E02A4C">
        <w:rPr>
          <w:rFonts w:ascii="Aptos" w:hAnsi="Aptos"/>
          <w:sz w:val="22"/>
          <w:szCs w:val="22"/>
        </w:rPr>
        <w:t xml:space="preserve"> basis for assessing</w:t>
      </w:r>
      <w:r w:rsidR="005C786F">
        <w:rPr>
          <w:rFonts w:ascii="Aptos" w:hAnsi="Aptos"/>
          <w:sz w:val="22"/>
          <w:szCs w:val="22"/>
        </w:rPr>
        <w:t xml:space="preserve"> Crediting Programs and</w:t>
      </w:r>
      <w:r w:rsidRPr="003617BE" w:rsidR="00E02A4C">
        <w:rPr>
          <w:rFonts w:ascii="Aptos" w:hAnsi="Aptos"/>
          <w:sz w:val="22"/>
          <w:szCs w:val="22"/>
        </w:rPr>
        <w:t xml:space="preserve"> methodologies</w:t>
      </w:r>
      <w:r w:rsidRPr="003617BE" w:rsidR="00CD2494">
        <w:rPr>
          <w:rFonts w:ascii="Aptos" w:hAnsi="Aptos"/>
          <w:sz w:val="22"/>
          <w:szCs w:val="22"/>
        </w:rPr>
        <w:t xml:space="preserve"> considered</w:t>
      </w:r>
      <w:r w:rsidRPr="003617BE" w:rsidR="00E02A4C">
        <w:rPr>
          <w:rFonts w:ascii="Aptos" w:hAnsi="Aptos"/>
          <w:sz w:val="22"/>
          <w:szCs w:val="22"/>
        </w:rPr>
        <w:t xml:space="preserve"> for</w:t>
      </w:r>
      <w:r w:rsidRPr="003617BE" w:rsidR="00F1308D">
        <w:rPr>
          <w:rFonts w:ascii="Aptos" w:hAnsi="Aptos"/>
          <w:sz w:val="22"/>
          <w:szCs w:val="22"/>
        </w:rPr>
        <w:t xml:space="preserve"> SBCE </w:t>
      </w:r>
      <w:r w:rsidRPr="003617BE" w:rsidR="007C386A">
        <w:rPr>
          <w:rFonts w:ascii="Aptos" w:hAnsi="Aptos"/>
          <w:sz w:val="22"/>
          <w:szCs w:val="22"/>
        </w:rPr>
        <w:t xml:space="preserve">in a timely manner. </w:t>
      </w:r>
      <w:r w:rsidRPr="003617BE" w:rsidR="007344A9">
        <w:rPr>
          <w:rFonts w:ascii="Aptos" w:hAnsi="Aptos"/>
          <w:sz w:val="22"/>
          <w:szCs w:val="22"/>
        </w:rPr>
        <w:t xml:space="preserve"> </w:t>
      </w:r>
    </w:p>
    <w:p w:rsidRPr="003617BE" w:rsidR="00B85578" w:rsidP="00E565C5" w:rsidRDefault="00635EC7" w14:paraId="3BEF1F11" w14:textId="3A15FCC2">
      <w:pPr>
        <w:spacing w:before="144" w:beforeLines="60" w:after="60" w:line="276" w:lineRule="auto"/>
        <w:ind w:right="567"/>
        <w:jc w:val="both"/>
        <w:rPr>
          <w:rFonts w:ascii="Aptos" w:hAnsi="Aptos"/>
          <w:sz w:val="22"/>
          <w:szCs w:val="22"/>
        </w:rPr>
      </w:pPr>
      <w:r w:rsidRPr="003617BE">
        <w:rPr>
          <w:rFonts w:ascii="Aptos" w:hAnsi="Aptos"/>
          <w:sz w:val="22"/>
          <w:szCs w:val="22"/>
        </w:rPr>
        <w:t>It</w:t>
      </w:r>
      <w:r w:rsidR="00962A90">
        <w:rPr>
          <w:rFonts w:ascii="Aptos" w:hAnsi="Aptos"/>
          <w:sz w:val="22"/>
          <w:szCs w:val="22"/>
        </w:rPr>
        <w:t xml:space="preserve"> is</w:t>
      </w:r>
      <w:r w:rsidRPr="003617BE">
        <w:rPr>
          <w:rFonts w:ascii="Aptos" w:hAnsi="Aptos"/>
          <w:sz w:val="22"/>
          <w:szCs w:val="22"/>
        </w:rPr>
        <w:t xml:space="preserve"> worth not</w:t>
      </w:r>
      <w:r w:rsidR="00962A90">
        <w:rPr>
          <w:rFonts w:ascii="Aptos" w:hAnsi="Aptos"/>
          <w:sz w:val="22"/>
          <w:szCs w:val="22"/>
        </w:rPr>
        <w:t>ing</w:t>
      </w:r>
      <w:r w:rsidRPr="003617BE">
        <w:rPr>
          <w:rFonts w:ascii="Aptos" w:hAnsi="Aptos"/>
          <w:sz w:val="22"/>
          <w:szCs w:val="22"/>
        </w:rPr>
        <w:t xml:space="preserve">, that </w:t>
      </w:r>
      <w:r w:rsidRPr="003617BE" w:rsidR="00622D8D">
        <w:rPr>
          <w:rFonts w:ascii="Aptos" w:hAnsi="Aptos"/>
          <w:sz w:val="22"/>
          <w:szCs w:val="22"/>
        </w:rPr>
        <w:t xml:space="preserve">COP30 </w:t>
      </w:r>
      <w:r w:rsidRPr="003617BE" w:rsidR="00867E73">
        <w:rPr>
          <w:rFonts w:ascii="Aptos" w:hAnsi="Aptos"/>
          <w:sz w:val="22"/>
          <w:szCs w:val="22"/>
        </w:rPr>
        <w:t xml:space="preserve">in Belém </w:t>
      </w:r>
      <w:r w:rsidRPr="003617BE" w:rsidR="004A3731">
        <w:rPr>
          <w:rFonts w:ascii="Aptos" w:hAnsi="Aptos"/>
          <w:sz w:val="22"/>
          <w:szCs w:val="22"/>
        </w:rPr>
        <w:t>raises the interest of</w:t>
      </w:r>
      <w:r w:rsidRPr="003617BE" w:rsidR="000F4F21">
        <w:rPr>
          <w:rFonts w:ascii="Aptos" w:hAnsi="Aptos"/>
          <w:sz w:val="22"/>
          <w:szCs w:val="22"/>
        </w:rPr>
        <w:t xml:space="preserve"> </w:t>
      </w:r>
      <w:r w:rsidRPr="003617BE" w:rsidR="00C14640">
        <w:rPr>
          <w:rFonts w:ascii="Aptos" w:hAnsi="Aptos"/>
          <w:sz w:val="22"/>
          <w:szCs w:val="22"/>
        </w:rPr>
        <w:t>international</w:t>
      </w:r>
      <w:r w:rsidRPr="003617BE" w:rsidR="00622D8D">
        <w:rPr>
          <w:rFonts w:ascii="Aptos" w:hAnsi="Aptos"/>
          <w:sz w:val="22"/>
          <w:szCs w:val="22"/>
        </w:rPr>
        <w:t xml:space="preserve"> </w:t>
      </w:r>
      <w:r w:rsidRPr="003617BE" w:rsidR="000F4F21">
        <w:rPr>
          <w:rFonts w:ascii="Aptos" w:hAnsi="Aptos"/>
          <w:sz w:val="22"/>
          <w:szCs w:val="22"/>
        </w:rPr>
        <w:t xml:space="preserve">stakeholders </w:t>
      </w:r>
      <w:r w:rsidRPr="003617BE" w:rsidR="00622D8D">
        <w:rPr>
          <w:rFonts w:ascii="Aptos" w:hAnsi="Aptos"/>
          <w:sz w:val="22"/>
          <w:szCs w:val="22"/>
        </w:rPr>
        <w:t>in</w:t>
      </w:r>
      <w:r w:rsidRPr="003617BE" w:rsidR="00386675">
        <w:rPr>
          <w:rFonts w:ascii="Aptos" w:hAnsi="Aptos"/>
          <w:sz w:val="22"/>
          <w:szCs w:val="22"/>
        </w:rPr>
        <w:t xml:space="preserve"> high-integrity</w:t>
      </w:r>
      <w:r w:rsidRPr="003617BE" w:rsidR="00622D8D">
        <w:rPr>
          <w:rFonts w:ascii="Aptos" w:hAnsi="Aptos"/>
          <w:sz w:val="22"/>
          <w:szCs w:val="22"/>
        </w:rPr>
        <w:t xml:space="preserve"> </w:t>
      </w:r>
      <w:r w:rsidRPr="003617BE" w:rsidR="008D6729">
        <w:rPr>
          <w:rFonts w:ascii="Aptos" w:hAnsi="Aptos"/>
          <w:sz w:val="22"/>
          <w:szCs w:val="22"/>
        </w:rPr>
        <w:t xml:space="preserve">carbon </w:t>
      </w:r>
      <w:r w:rsidRPr="003617BE" w:rsidR="00C14640">
        <w:rPr>
          <w:rFonts w:ascii="Aptos" w:hAnsi="Aptos"/>
          <w:sz w:val="22"/>
          <w:szCs w:val="22"/>
        </w:rPr>
        <w:t xml:space="preserve">projects </w:t>
      </w:r>
      <w:r w:rsidRPr="003617BE" w:rsidR="00107860">
        <w:rPr>
          <w:rFonts w:ascii="Aptos" w:hAnsi="Aptos"/>
          <w:sz w:val="22"/>
          <w:szCs w:val="22"/>
        </w:rPr>
        <w:t>in the country</w:t>
      </w:r>
      <w:r w:rsidRPr="003617BE" w:rsidR="00EC69DE">
        <w:rPr>
          <w:rFonts w:ascii="Aptos" w:hAnsi="Aptos"/>
          <w:sz w:val="22"/>
          <w:szCs w:val="22"/>
        </w:rPr>
        <w:t>. H</w:t>
      </w:r>
      <w:r w:rsidRPr="003617BE" w:rsidR="00AB65D4">
        <w:rPr>
          <w:rFonts w:ascii="Aptos" w:hAnsi="Aptos"/>
          <w:sz w:val="22"/>
          <w:szCs w:val="22"/>
        </w:rPr>
        <w:t xml:space="preserve">aving such guiding principles in place would help </w:t>
      </w:r>
      <w:r w:rsidRPr="003617BE" w:rsidR="00B85AAE">
        <w:rPr>
          <w:rFonts w:ascii="Aptos" w:hAnsi="Aptos"/>
          <w:sz w:val="22"/>
          <w:szCs w:val="22"/>
        </w:rPr>
        <w:t xml:space="preserve">the country to reach its full </w:t>
      </w:r>
      <w:r w:rsidRPr="003617BE" w:rsidR="00C24C71">
        <w:rPr>
          <w:rFonts w:ascii="Aptos" w:hAnsi="Aptos"/>
          <w:sz w:val="22"/>
          <w:szCs w:val="22"/>
        </w:rPr>
        <w:t xml:space="preserve">climate </w:t>
      </w:r>
      <w:r w:rsidRPr="003617BE" w:rsidR="00B85AAE">
        <w:rPr>
          <w:rFonts w:ascii="Aptos" w:hAnsi="Aptos"/>
          <w:sz w:val="22"/>
          <w:szCs w:val="22"/>
        </w:rPr>
        <w:t>investment attraction potential</w:t>
      </w:r>
      <w:r w:rsidRPr="003617BE" w:rsidR="00107860">
        <w:rPr>
          <w:rFonts w:ascii="Aptos" w:hAnsi="Aptos"/>
          <w:sz w:val="22"/>
          <w:szCs w:val="22"/>
        </w:rPr>
        <w:t xml:space="preserve">. </w:t>
      </w:r>
      <w:r w:rsidRPr="003617BE" w:rsidR="00645851">
        <w:rPr>
          <w:rFonts w:ascii="Aptos" w:hAnsi="Aptos"/>
          <w:sz w:val="22"/>
          <w:szCs w:val="22"/>
        </w:rPr>
        <w:t>In this process, t</w:t>
      </w:r>
      <w:r w:rsidRPr="003617BE" w:rsidR="00A16E62">
        <w:rPr>
          <w:rFonts w:ascii="Aptos" w:hAnsi="Aptos"/>
          <w:sz w:val="22"/>
          <w:szCs w:val="22"/>
        </w:rPr>
        <w:t xml:space="preserve">o ensure environmental credibility and facilitate international cooperation, </w:t>
      </w:r>
      <w:r w:rsidRPr="003617BE" w:rsidR="008014ED">
        <w:rPr>
          <w:rFonts w:ascii="Aptos" w:hAnsi="Aptos"/>
          <w:sz w:val="22"/>
          <w:szCs w:val="22"/>
        </w:rPr>
        <w:t xml:space="preserve">it </w:t>
      </w:r>
      <w:r w:rsidRPr="003617BE" w:rsidR="00F437A2">
        <w:rPr>
          <w:rFonts w:ascii="Aptos" w:hAnsi="Aptos"/>
          <w:sz w:val="22"/>
          <w:szCs w:val="22"/>
        </w:rPr>
        <w:t>would</w:t>
      </w:r>
      <w:r w:rsidRPr="003617BE" w:rsidR="008014ED">
        <w:rPr>
          <w:rFonts w:ascii="Aptos" w:hAnsi="Aptos"/>
          <w:sz w:val="22"/>
          <w:szCs w:val="22"/>
        </w:rPr>
        <w:t xml:space="preserve"> </w:t>
      </w:r>
      <w:r w:rsidRPr="003617BE" w:rsidR="00F437A2">
        <w:rPr>
          <w:rFonts w:ascii="Aptos" w:hAnsi="Aptos"/>
          <w:sz w:val="22"/>
          <w:szCs w:val="22"/>
        </w:rPr>
        <w:t>be important</w:t>
      </w:r>
      <w:r w:rsidRPr="003617BE" w:rsidR="008014ED">
        <w:rPr>
          <w:rFonts w:ascii="Aptos" w:hAnsi="Aptos"/>
          <w:sz w:val="22"/>
          <w:szCs w:val="22"/>
        </w:rPr>
        <w:t xml:space="preserve"> </w:t>
      </w:r>
      <w:r w:rsidRPr="003617BE" w:rsidR="00F437A2">
        <w:rPr>
          <w:rFonts w:ascii="Aptos" w:hAnsi="Aptos"/>
          <w:sz w:val="22"/>
          <w:szCs w:val="22"/>
        </w:rPr>
        <w:t>t</w:t>
      </w:r>
      <w:r w:rsidR="00215843">
        <w:rPr>
          <w:rFonts w:ascii="Aptos" w:hAnsi="Aptos"/>
          <w:sz w:val="22"/>
          <w:szCs w:val="22"/>
        </w:rPr>
        <w:t xml:space="preserve">hat </w:t>
      </w:r>
      <w:r w:rsidRPr="003617BE" w:rsidR="007D11E7">
        <w:rPr>
          <w:rFonts w:ascii="Aptos" w:hAnsi="Aptos"/>
          <w:sz w:val="22"/>
          <w:szCs w:val="22"/>
        </w:rPr>
        <w:t>SBCE’s</w:t>
      </w:r>
      <w:r w:rsidRPr="003617BE" w:rsidR="00837492">
        <w:rPr>
          <w:rFonts w:ascii="Aptos" w:hAnsi="Aptos"/>
          <w:sz w:val="22"/>
          <w:szCs w:val="22"/>
        </w:rPr>
        <w:t xml:space="preserve"> </w:t>
      </w:r>
      <w:r w:rsidRPr="003617BE" w:rsidR="007964AB">
        <w:rPr>
          <w:rFonts w:ascii="Aptos" w:hAnsi="Aptos"/>
          <w:sz w:val="22"/>
          <w:szCs w:val="22"/>
        </w:rPr>
        <w:t>integrity</w:t>
      </w:r>
      <w:r w:rsidRPr="003617BE" w:rsidR="00837492">
        <w:rPr>
          <w:rFonts w:ascii="Aptos" w:hAnsi="Aptos"/>
          <w:sz w:val="22"/>
          <w:szCs w:val="22"/>
        </w:rPr>
        <w:t xml:space="preserve"> principles</w:t>
      </w:r>
      <w:r w:rsidR="00215843">
        <w:rPr>
          <w:rFonts w:ascii="Aptos" w:hAnsi="Aptos"/>
          <w:sz w:val="22"/>
          <w:szCs w:val="22"/>
        </w:rPr>
        <w:t xml:space="preserve"> </w:t>
      </w:r>
      <w:r w:rsidR="000A4C4B">
        <w:rPr>
          <w:rFonts w:ascii="Aptos" w:hAnsi="Aptos"/>
          <w:sz w:val="22"/>
          <w:szCs w:val="22"/>
        </w:rPr>
        <w:t xml:space="preserve">draw on </w:t>
      </w:r>
      <w:r w:rsidRPr="003617BE" w:rsidR="00645851">
        <w:rPr>
          <w:rFonts w:ascii="Aptos" w:hAnsi="Aptos"/>
          <w:sz w:val="22"/>
          <w:szCs w:val="22"/>
        </w:rPr>
        <w:t>internationally recognized</w:t>
      </w:r>
      <w:r w:rsidRPr="003617BE" w:rsidR="00A16E62">
        <w:rPr>
          <w:rFonts w:ascii="Aptos" w:hAnsi="Aptos"/>
          <w:sz w:val="22"/>
          <w:szCs w:val="22"/>
        </w:rPr>
        <w:t xml:space="preserve"> integrity standards</w:t>
      </w:r>
      <w:r w:rsidRPr="003617BE" w:rsidR="00837492">
        <w:rPr>
          <w:rFonts w:ascii="Aptos" w:hAnsi="Aptos"/>
          <w:sz w:val="22"/>
          <w:szCs w:val="22"/>
        </w:rPr>
        <w:t>, such as</w:t>
      </w:r>
      <w:r w:rsidRPr="003617BE" w:rsidR="00A16E62">
        <w:rPr>
          <w:rFonts w:ascii="Aptos" w:hAnsi="Aptos"/>
          <w:sz w:val="22"/>
          <w:szCs w:val="22"/>
        </w:rPr>
        <w:t xml:space="preserve"> th</w:t>
      </w:r>
      <w:r w:rsidR="0054250B">
        <w:rPr>
          <w:rFonts w:ascii="Aptos" w:hAnsi="Aptos"/>
          <w:sz w:val="22"/>
          <w:szCs w:val="22"/>
        </w:rPr>
        <w:t xml:space="preserve">ose endorsed by CORSIA, </w:t>
      </w:r>
      <w:r w:rsidRPr="003617BE" w:rsidR="00A16E62">
        <w:rPr>
          <w:rFonts w:ascii="Aptos" w:hAnsi="Aptos"/>
          <w:sz w:val="22"/>
          <w:szCs w:val="22"/>
        </w:rPr>
        <w:t xml:space="preserve"> </w:t>
      </w:r>
      <w:r w:rsidR="00B4695D">
        <w:rPr>
          <w:rFonts w:ascii="Aptos" w:hAnsi="Aptos"/>
          <w:sz w:val="22"/>
          <w:szCs w:val="22"/>
        </w:rPr>
        <w:t xml:space="preserve">principles agreed under the </w:t>
      </w:r>
      <w:r w:rsidRPr="00B4695D" w:rsidR="00B4695D">
        <w:rPr>
          <w:rFonts w:ascii="Aptos" w:hAnsi="Aptos"/>
          <w:sz w:val="22"/>
          <w:szCs w:val="22"/>
        </w:rPr>
        <w:t>Paris Agreement Crediting Mechanism (PACM)</w:t>
      </w:r>
      <w:r w:rsidR="00CF6653">
        <w:rPr>
          <w:rStyle w:val="EndnoteReference"/>
          <w:rFonts w:ascii="Aptos" w:hAnsi="Aptos"/>
          <w:sz w:val="22"/>
          <w:szCs w:val="22"/>
        </w:rPr>
        <w:endnoteReference w:id="3"/>
      </w:r>
      <w:r w:rsidR="00CF6653">
        <w:rPr>
          <w:rFonts w:ascii="Aptos" w:hAnsi="Aptos"/>
          <w:sz w:val="22"/>
          <w:szCs w:val="22"/>
        </w:rPr>
        <w:t xml:space="preserve"> and even </w:t>
      </w:r>
      <w:r w:rsidR="005F7B0E">
        <w:rPr>
          <w:rFonts w:ascii="Aptos" w:hAnsi="Aptos"/>
          <w:sz w:val="22"/>
          <w:szCs w:val="22"/>
        </w:rPr>
        <w:t xml:space="preserve">policies </w:t>
      </w:r>
      <w:r w:rsidR="00A73E1D">
        <w:rPr>
          <w:rFonts w:ascii="Aptos" w:hAnsi="Aptos"/>
          <w:sz w:val="22"/>
          <w:szCs w:val="22"/>
        </w:rPr>
        <w:t>and</w:t>
      </w:r>
      <w:r w:rsidR="00B84E64">
        <w:rPr>
          <w:rFonts w:ascii="Aptos" w:hAnsi="Aptos"/>
          <w:sz w:val="22"/>
          <w:szCs w:val="22"/>
        </w:rPr>
        <w:t xml:space="preserve"> integrity</w:t>
      </w:r>
      <w:r w:rsidR="00A73E1D">
        <w:rPr>
          <w:rFonts w:ascii="Aptos" w:hAnsi="Aptos"/>
          <w:sz w:val="22"/>
          <w:szCs w:val="22"/>
        </w:rPr>
        <w:t xml:space="preserve"> principles designed by other countries</w:t>
      </w:r>
      <w:r w:rsidR="00727FA7">
        <w:rPr>
          <w:rFonts w:ascii="Aptos" w:hAnsi="Aptos"/>
          <w:sz w:val="22"/>
          <w:szCs w:val="22"/>
        </w:rPr>
        <w:t>,</w:t>
      </w:r>
      <w:r w:rsidR="005B1E1A">
        <w:rPr>
          <w:rFonts w:ascii="Aptos" w:hAnsi="Aptos"/>
          <w:sz w:val="22"/>
          <w:szCs w:val="22"/>
        </w:rPr>
        <w:t xml:space="preserve"> and </w:t>
      </w:r>
      <w:r w:rsidR="000A4C4B">
        <w:rPr>
          <w:rFonts w:ascii="Aptos" w:hAnsi="Aptos"/>
          <w:sz w:val="22"/>
          <w:szCs w:val="22"/>
        </w:rPr>
        <w:t>initiatives</w:t>
      </w:r>
      <w:r w:rsidR="00A73E1D">
        <w:rPr>
          <w:rFonts w:ascii="Aptos" w:hAnsi="Aptos"/>
          <w:sz w:val="22"/>
          <w:szCs w:val="22"/>
        </w:rPr>
        <w:t xml:space="preserve">, as is the case </w:t>
      </w:r>
      <w:r w:rsidR="00B315DB">
        <w:rPr>
          <w:rFonts w:ascii="Aptos" w:hAnsi="Aptos"/>
          <w:sz w:val="22"/>
          <w:szCs w:val="22"/>
        </w:rPr>
        <w:t>of</w:t>
      </w:r>
      <w:r w:rsidR="00A73E1D">
        <w:rPr>
          <w:rFonts w:ascii="Aptos" w:hAnsi="Aptos"/>
          <w:sz w:val="22"/>
          <w:szCs w:val="22"/>
        </w:rPr>
        <w:t xml:space="preserve"> Singapore</w:t>
      </w:r>
      <w:r w:rsidR="00CD319A">
        <w:rPr>
          <w:rStyle w:val="EndnoteReference"/>
          <w:rFonts w:ascii="Aptos" w:hAnsi="Aptos"/>
          <w:sz w:val="22"/>
          <w:szCs w:val="22"/>
        </w:rPr>
        <w:endnoteReference w:id="4"/>
      </w:r>
      <w:r w:rsidR="00E46ABB">
        <w:rPr>
          <w:rFonts w:ascii="Aptos" w:hAnsi="Aptos"/>
          <w:sz w:val="22"/>
          <w:szCs w:val="22"/>
        </w:rPr>
        <w:t xml:space="preserve"> and </w:t>
      </w:r>
      <w:r w:rsidR="00C7027B">
        <w:rPr>
          <w:rFonts w:ascii="Aptos" w:hAnsi="Aptos"/>
          <w:sz w:val="22"/>
          <w:szCs w:val="22"/>
        </w:rPr>
        <w:t>those</w:t>
      </w:r>
      <w:r w:rsidRPr="003617BE" w:rsidR="00A16E62">
        <w:rPr>
          <w:rFonts w:ascii="Aptos" w:hAnsi="Aptos"/>
          <w:sz w:val="22"/>
          <w:szCs w:val="22"/>
        </w:rPr>
        <w:t xml:space="preserve"> established by the Integrity Council for the Voluntary Carbon Market (ICVCM)</w:t>
      </w:r>
      <w:r w:rsidRPr="003617BE" w:rsidR="00153015">
        <w:rPr>
          <w:rFonts w:ascii="Aptos" w:hAnsi="Aptos"/>
          <w:sz w:val="22"/>
          <w:szCs w:val="22"/>
        </w:rPr>
        <w:t xml:space="preserve">. </w:t>
      </w:r>
    </w:p>
    <w:p w:rsidR="00A16E62" w:rsidP="00E565C5" w:rsidRDefault="00A16E62" w14:paraId="2C381A03" w14:textId="5FD50A9C">
      <w:pPr>
        <w:spacing w:before="144" w:beforeLines="60" w:after="60" w:line="276" w:lineRule="auto"/>
        <w:ind w:right="567"/>
        <w:jc w:val="both"/>
        <w:rPr>
          <w:rFonts w:ascii="Aptos" w:hAnsi="Aptos"/>
          <w:sz w:val="22"/>
          <w:szCs w:val="22"/>
        </w:rPr>
      </w:pPr>
      <w:r w:rsidRPr="003617BE">
        <w:rPr>
          <w:rFonts w:ascii="Aptos" w:hAnsi="Aptos"/>
          <w:sz w:val="22"/>
          <w:szCs w:val="22"/>
        </w:rPr>
        <w:t xml:space="preserve">Such alignment </w:t>
      </w:r>
      <w:r w:rsidRPr="003617BE" w:rsidR="00666671">
        <w:rPr>
          <w:rFonts w:ascii="Aptos" w:hAnsi="Aptos"/>
          <w:sz w:val="22"/>
          <w:szCs w:val="22"/>
        </w:rPr>
        <w:t xml:space="preserve">would </w:t>
      </w:r>
      <w:r w:rsidRPr="003617BE" w:rsidR="003F5BF9">
        <w:rPr>
          <w:rFonts w:ascii="Aptos" w:hAnsi="Aptos"/>
          <w:sz w:val="22"/>
          <w:szCs w:val="22"/>
        </w:rPr>
        <w:t xml:space="preserve">ensure the robustness of SBCE, </w:t>
      </w:r>
      <w:r w:rsidRPr="003617BE" w:rsidR="00666671">
        <w:rPr>
          <w:rFonts w:ascii="Aptos" w:hAnsi="Aptos"/>
          <w:sz w:val="22"/>
          <w:szCs w:val="22"/>
        </w:rPr>
        <w:t>strengthen</w:t>
      </w:r>
      <w:r w:rsidRPr="003617BE">
        <w:rPr>
          <w:rFonts w:ascii="Aptos" w:hAnsi="Aptos"/>
          <w:sz w:val="22"/>
          <w:szCs w:val="22"/>
        </w:rPr>
        <w:t xml:space="preserve"> the</w:t>
      </w:r>
      <w:r w:rsidRPr="003617BE" w:rsidR="003F5BF9">
        <w:rPr>
          <w:rFonts w:ascii="Aptos" w:hAnsi="Aptos"/>
          <w:sz w:val="22"/>
          <w:szCs w:val="22"/>
        </w:rPr>
        <w:t xml:space="preserve"> </w:t>
      </w:r>
      <w:r w:rsidRPr="003617BE" w:rsidR="00D939AC">
        <w:rPr>
          <w:rFonts w:ascii="Aptos" w:hAnsi="Aptos"/>
          <w:sz w:val="22"/>
          <w:szCs w:val="22"/>
        </w:rPr>
        <w:t>liquidity and fungibility of</w:t>
      </w:r>
      <w:r w:rsidRPr="003617BE" w:rsidR="006E5DB9">
        <w:rPr>
          <w:rFonts w:ascii="Aptos" w:hAnsi="Aptos"/>
          <w:sz w:val="22"/>
          <w:szCs w:val="22"/>
        </w:rPr>
        <w:t xml:space="preserve"> CRVEs, </w:t>
      </w:r>
      <w:r w:rsidRPr="003617BE" w:rsidR="00D939AC">
        <w:rPr>
          <w:rFonts w:ascii="Aptos" w:hAnsi="Aptos"/>
          <w:sz w:val="22"/>
          <w:szCs w:val="22"/>
        </w:rPr>
        <w:t xml:space="preserve">and </w:t>
      </w:r>
      <w:r w:rsidRPr="003617BE" w:rsidR="006E5DB9">
        <w:rPr>
          <w:rFonts w:ascii="Aptos" w:hAnsi="Aptos"/>
          <w:sz w:val="22"/>
          <w:szCs w:val="22"/>
        </w:rPr>
        <w:t>support the convergence of markets</w:t>
      </w:r>
      <w:r w:rsidRPr="003617BE" w:rsidR="00715DD9">
        <w:rPr>
          <w:rFonts w:ascii="Aptos" w:hAnsi="Aptos"/>
          <w:sz w:val="22"/>
          <w:szCs w:val="22"/>
        </w:rPr>
        <w:t xml:space="preserve"> towards a more efficient global market</w:t>
      </w:r>
      <w:r w:rsidRPr="003617BE" w:rsidR="00D939AC">
        <w:rPr>
          <w:rFonts w:ascii="Aptos" w:hAnsi="Aptos"/>
          <w:sz w:val="22"/>
          <w:szCs w:val="22"/>
        </w:rPr>
        <w:t xml:space="preserve">. </w:t>
      </w:r>
      <w:r w:rsidR="00D34709">
        <w:rPr>
          <w:rFonts w:ascii="Aptos" w:hAnsi="Aptos"/>
          <w:sz w:val="22"/>
          <w:szCs w:val="22"/>
        </w:rPr>
        <w:t>The alignment of integrity principles shaping SBCE</w:t>
      </w:r>
      <w:r w:rsidR="00732B09">
        <w:rPr>
          <w:rFonts w:ascii="Aptos" w:hAnsi="Aptos"/>
          <w:sz w:val="22"/>
          <w:szCs w:val="22"/>
        </w:rPr>
        <w:t xml:space="preserve"> </w:t>
      </w:r>
      <w:r w:rsidR="00D34709">
        <w:rPr>
          <w:rFonts w:ascii="Aptos" w:hAnsi="Aptos"/>
          <w:sz w:val="22"/>
          <w:szCs w:val="22"/>
        </w:rPr>
        <w:t xml:space="preserve">with international </w:t>
      </w:r>
      <w:r w:rsidR="00732B09">
        <w:rPr>
          <w:rFonts w:ascii="Aptos" w:hAnsi="Aptos"/>
          <w:sz w:val="22"/>
          <w:szCs w:val="22"/>
        </w:rPr>
        <w:t xml:space="preserve">demand-channelling mechanisms such as </w:t>
      </w:r>
      <w:r w:rsidRPr="003617BE" w:rsidR="00D51350">
        <w:rPr>
          <w:rFonts w:ascii="Aptos" w:hAnsi="Aptos"/>
          <w:sz w:val="22"/>
          <w:szCs w:val="22"/>
        </w:rPr>
        <w:t>CORSIA and Article 6.4</w:t>
      </w:r>
      <w:r w:rsidRPr="003617BE">
        <w:rPr>
          <w:rFonts w:ascii="Aptos" w:hAnsi="Aptos"/>
          <w:sz w:val="22"/>
          <w:szCs w:val="22"/>
        </w:rPr>
        <w:t xml:space="preserve"> </w:t>
      </w:r>
      <w:r w:rsidRPr="003617BE" w:rsidR="004D35C1">
        <w:rPr>
          <w:rFonts w:ascii="Aptos" w:hAnsi="Aptos"/>
          <w:sz w:val="22"/>
          <w:szCs w:val="22"/>
        </w:rPr>
        <w:t xml:space="preserve">could </w:t>
      </w:r>
      <w:r w:rsidRPr="003617BE" w:rsidR="00D51350">
        <w:rPr>
          <w:rFonts w:ascii="Aptos" w:hAnsi="Aptos"/>
          <w:sz w:val="22"/>
          <w:szCs w:val="22"/>
        </w:rPr>
        <w:t xml:space="preserve">also </w:t>
      </w:r>
      <w:r w:rsidRPr="003617BE" w:rsidR="00E7026E">
        <w:rPr>
          <w:rFonts w:ascii="Aptos" w:hAnsi="Aptos"/>
          <w:sz w:val="22"/>
          <w:szCs w:val="22"/>
        </w:rPr>
        <w:t>facilitate</w:t>
      </w:r>
      <w:r w:rsidRPr="003617BE" w:rsidR="00D51350">
        <w:rPr>
          <w:rFonts w:ascii="Aptos" w:hAnsi="Aptos"/>
          <w:sz w:val="22"/>
          <w:szCs w:val="22"/>
        </w:rPr>
        <w:t xml:space="preserve"> the</w:t>
      </w:r>
      <w:r w:rsidRPr="003617BE">
        <w:rPr>
          <w:rFonts w:ascii="Aptos" w:hAnsi="Aptos"/>
          <w:sz w:val="22"/>
          <w:szCs w:val="22"/>
        </w:rPr>
        <w:t xml:space="preserve"> </w:t>
      </w:r>
      <w:r w:rsidRPr="003617BE" w:rsidR="00E7026E">
        <w:rPr>
          <w:rFonts w:ascii="Aptos" w:hAnsi="Aptos"/>
          <w:sz w:val="22"/>
          <w:szCs w:val="22"/>
        </w:rPr>
        <w:t xml:space="preserve">future </w:t>
      </w:r>
      <w:r w:rsidRPr="003617BE">
        <w:rPr>
          <w:rFonts w:ascii="Aptos" w:hAnsi="Aptos"/>
          <w:sz w:val="22"/>
          <w:szCs w:val="22"/>
        </w:rPr>
        <w:t>engage</w:t>
      </w:r>
      <w:r w:rsidRPr="003617BE" w:rsidR="00E7026E">
        <w:rPr>
          <w:rFonts w:ascii="Aptos" w:hAnsi="Aptos"/>
          <w:sz w:val="22"/>
          <w:szCs w:val="22"/>
        </w:rPr>
        <w:t xml:space="preserve">ment </w:t>
      </w:r>
      <w:r w:rsidRPr="003617BE" w:rsidR="00D51350">
        <w:rPr>
          <w:rFonts w:ascii="Aptos" w:hAnsi="Aptos"/>
          <w:sz w:val="22"/>
          <w:szCs w:val="22"/>
        </w:rPr>
        <w:t xml:space="preserve">of the country </w:t>
      </w:r>
      <w:r w:rsidRPr="003617BE" w:rsidR="00E7026E">
        <w:rPr>
          <w:rFonts w:ascii="Aptos" w:hAnsi="Aptos"/>
          <w:sz w:val="22"/>
          <w:szCs w:val="22"/>
        </w:rPr>
        <w:t>with</w:t>
      </w:r>
      <w:r w:rsidRPr="003617BE">
        <w:rPr>
          <w:rFonts w:ascii="Aptos" w:hAnsi="Aptos"/>
          <w:sz w:val="22"/>
          <w:szCs w:val="22"/>
        </w:rPr>
        <w:t xml:space="preserve"> </w:t>
      </w:r>
      <w:r w:rsidRPr="003617BE" w:rsidR="00746304">
        <w:rPr>
          <w:rFonts w:ascii="Aptos" w:hAnsi="Aptos"/>
          <w:sz w:val="22"/>
          <w:szCs w:val="22"/>
        </w:rPr>
        <w:t>international</w:t>
      </w:r>
      <w:r w:rsidRPr="003617BE">
        <w:rPr>
          <w:rFonts w:ascii="Aptos" w:hAnsi="Aptos"/>
          <w:sz w:val="22"/>
          <w:szCs w:val="22"/>
        </w:rPr>
        <w:t xml:space="preserve"> carbon</w:t>
      </w:r>
      <w:r w:rsidRPr="003617BE" w:rsidR="00746304">
        <w:rPr>
          <w:rFonts w:ascii="Aptos" w:hAnsi="Aptos"/>
          <w:sz w:val="22"/>
          <w:szCs w:val="22"/>
        </w:rPr>
        <w:t xml:space="preserve"> markets</w:t>
      </w:r>
      <w:r w:rsidRPr="003617BE" w:rsidR="008D5999">
        <w:rPr>
          <w:rFonts w:ascii="Aptos" w:hAnsi="Aptos"/>
          <w:sz w:val="22"/>
          <w:szCs w:val="22"/>
        </w:rPr>
        <w:t xml:space="preserve"> and </w:t>
      </w:r>
      <w:r w:rsidRPr="003617BE">
        <w:rPr>
          <w:rFonts w:ascii="Aptos" w:hAnsi="Aptos"/>
          <w:sz w:val="22"/>
          <w:szCs w:val="22"/>
        </w:rPr>
        <w:t xml:space="preserve">unlock significant </w:t>
      </w:r>
      <w:r w:rsidRPr="003617BE" w:rsidR="00112DE3">
        <w:rPr>
          <w:rFonts w:ascii="Aptos" w:hAnsi="Aptos"/>
          <w:sz w:val="22"/>
          <w:szCs w:val="22"/>
        </w:rPr>
        <w:t xml:space="preserve">climate-related </w:t>
      </w:r>
      <w:r w:rsidRPr="003617BE" w:rsidR="00B726AA">
        <w:rPr>
          <w:rFonts w:ascii="Aptos" w:hAnsi="Aptos"/>
          <w:sz w:val="22"/>
          <w:szCs w:val="22"/>
        </w:rPr>
        <w:t xml:space="preserve">investment </w:t>
      </w:r>
      <w:r w:rsidRPr="003617BE">
        <w:rPr>
          <w:rFonts w:ascii="Aptos" w:hAnsi="Aptos"/>
          <w:sz w:val="22"/>
          <w:szCs w:val="22"/>
        </w:rPr>
        <w:t xml:space="preserve">opportunities </w:t>
      </w:r>
      <w:r w:rsidRPr="003617BE" w:rsidR="008D5999">
        <w:rPr>
          <w:rFonts w:ascii="Aptos" w:hAnsi="Aptos"/>
          <w:sz w:val="22"/>
          <w:szCs w:val="22"/>
        </w:rPr>
        <w:t>for</w:t>
      </w:r>
      <w:r w:rsidRPr="003617BE">
        <w:rPr>
          <w:rFonts w:ascii="Aptos" w:hAnsi="Aptos"/>
          <w:sz w:val="22"/>
          <w:szCs w:val="22"/>
        </w:rPr>
        <w:t xml:space="preserve"> Brazil</w:t>
      </w:r>
      <w:r w:rsidRPr="003617BE" w:rsidR="008D5999">
        <w:rPr>
          <w:rFonts w:ascii="Aptos" w:hAnsi="Aptos"/>
          <w:sz w:val="22"/>
          <w:szCs w:val="22"/>
        </w:rPr>
        <w:t xml:space="preserve"> in the short-term</w:t>
      </w:r>
      <w:r w:rsidRPr="003617BE" w:rsidR="00F54D67">
        <w:rPr>
          <w:rFonts w:ascii="Aptos" w:hAnsi="Aptos"/>
          <w:sz w:val="22"/>
          <w:szCs w:val="22"/>
        </w:rPr>
        <w:t xml:space="preserve">, helping the country </w:t>
      </w:r>
      <w:r w:rsidRPr="003617BE" w:rsidR="00E97592">
        <w:rPr>
          <w:rFonts w:ascii="Aptos" w:hAnsi="Aptos"/>
          <w:sz w:val="22"/>
          <w:szCs w:val="22"/>
        </w:rPr>
        <w:t xml:space="preserve">achieve its NDC </w:t>
      </w:r>
      <w:r w:rsidRPr="003617BE" w:rsidR="00C36E55">
        <w:rPr>
          <w:rFonts w:ascii="Aptos" w:hAnsi="Aptos"/>
          <w:sz w:val="22"/>
          <w:szCs w:val="22"/>
        </w:rPr>
        <w:t>and generating co-benefits on the way</w:t>
      </w:r>
      <w:r w:rsidRPr="003617BE" w:rsidR="00E52037">
        <w:rPr>
          <w:rFonts w:ascii="Aptos" w:hAnsi="Aptos"/>
          <w:sz w:val="22"/>
          <w:szCs w:val="22"/>
        </w:rPr>
        <w:t xml:space="preserve">. </w:t>
      </w:r>
    </w:p>
    <w:p w:rsidRPr="003617BE" w:rsidR="00A16E62" w:rsidP="00E565C5" w:rsidRDefault="00A00A91" w14:paraId="0A2B135D" w14:textId="706A42CF">
      <w:pPr>
        <w:spacing w:before="144" w:beforeLines="60" w:after="60" w:line="276" w:lineRule="auto"/>
        <w:ind w:right="567"/>
        <w:jc w:val="both"/>
        <w:rPr>
          <w:rFonts w:ascii="Aptos" w:hAnsi="Aptos"/>
          <w:sz w:val="22"/>
          <w:szCs w:val="22"/>
        </w:rPr>
      </w:pPr>
      <w:r w:rsidRPr="003617BE">
        <w:rPr>
          <w:rFonts w:ascii="Aptos" w:hAnsi="Aptos"/>
          <w:sz w:val="22"/>
          <w:szCs w:val="22"/>
        </w:rPr>
        <w:t>Beyond providing clarity on the high-integrity principles that will be considered for CRVEs</w:t>
      </w:r>
      <w:r w:rsidRPr="003617BE" w:rsidR="00AD0F58">
        <w:rPr>
          <w:rFonts w:ascii="Aptos" w:hAnsi="Aptos"/>
          <w:sz w:val="22"/>
          <w:szCs w:val="22"/>
        </w:rPr>
        <w:t xml:space="preserve">, </w:t>
      </w:r>
      <w:r w:rsidRPr="003617BE" w:rsidR="00772CFA">
        <w:rPr>
          <w:rFonts w:ascii="Aptos" w:hAnsi="Aptos"/>
          <w:sz w:val="22"/>
          <w:szCs w:val="22"/>
        </w:rPr>
        <w:t xml:space="preserve">defining  which methodologies, vintages, types of activities and offsets percentages will be allowed within the SBCE shall be one of the key priorities once the SBCE Managing Body is in place </w:t>
      </w:r>
      <w:r w:rsidRPr="003617BE" w:rsidR="00694A2D">
        <w:rPr>
          <w:rFonts w:ascii="Aptos" w:hAnsi="Aptos"/>
          <w:sz w:val="22"/>
          <w:szCs w:val="22"/>
        </w:rPr>
        <w:t xml:space="preserve">to channel private sector investments to where they are most needed </w:t>
      </w:r>
      <w:r w:rsidRPr="003617BE" w:rsidR="002C336B">
        <w:rPr>
          <w:rFonts w:ascii="Aptos" w:hAnsi="Aptos"/>
          <w:sz w:val="22"/>
          <w:szCs w:val="22"/>
        </w:rPr>
        <w:t>while the SBCE is still under operationalization</w:t>
      </w:r>
      <w:r w:rsidRPr="003617BE" w:rsidR="00772CFA">
        <w:rPr>
          <w:rFonts w:ascii="Aptos" w:hAnsi="Aptos"/>
          <w:sz w:val="22"/>
          <w:szCs w:val="22"/>
        </w:rPr>
        <w:t>.</w:t>
      </w:r>
      <w:r w:rsidRPr="003617BE" w:rsidR="00AD45FE">
        <w:rPr>
          <w:rFonts w:ascii="Aptos" w:hAnsi="Aptos"/>
          <w:sz w:val="22"/>
          <w:szCs w:val="22"/>
        </w:rPr>
        <w:t xml:space="preserve"> </w:t>
      </w:r>
    </w:p>
    <w:p w:rsidRPr="003617BE" w:rsidR="00A16E62" w:rsidP="00E565C5" w:rsidRDefault="00A16E62" w14:paraId="7983A972" w14:textId="77777777">
      <w:pPr>
        <w:spacing w:line="276" w:lineRule="auto"/>
        <w:ind w:right="566"/>
        <w:jc w:val="both"/>
        <w:rPr>
          <w:rFonts w:ascii="Aptos" w:hAnsi="Aptos"/>
          <w:b/>
          <w:bCs/>
          <w:sz w:val="22"/>
          <w:szCs w:val="22"/>
        </w:rPr>
      </w:pPr>
      <w:r w:rsidRPr="003617BE">
        <w:rPr>
          <w:rFonts w:ascii="Aptos" w:hAnsi="Aptos"/>
          <w:b/>
          <w:bCs/>
          <w:sz w:val="22"/>
          <w:szCs w:val="22"/>
        </w:rPr>
        <w:t>Article 6</w:t>
      </w:r>
    </w:p>
    <w:p w:rsidRPr="003617BE" w:rsidR="00EE33DF" w:rsidP="00E565C5" w:rsidRDefault="00F26926" w14:paraId="18268B58" w14:textId="0CD07073">
      <w:pPr>
        <w:spacing w:before="120" w:after="120" w:line="276" w:lineRule="auto"/>
        <w:ind w:right="567"/>
        <w:jc w:val="both"/>
        <w:rPr>
          <w:rFonts w:ascii="Aptos" w:hAnsi="Aptos"/>
          <w:sz w:val="22"/>
          <w:szCs w:val="22"/>
        </w:rPr>
      </w:pPr>
      <w:r w:rsidRPr="003617BE">
        <w:rPr>
          <w:rFonts w:ascii="Aptos" w:hAnsi="Aptos"/>
          <w:sz w:val="22"/>
          <w:szCs w:val="22"/>
        </w:rPr>
        <w:t>T</w:t>
      </w:r>
      <w:r w:rsidRPr="003617BE" w:rsidR="00452E5D">
        <w:rPr>
          <w:rFonts w:ascii="Aptos" w:hAnsi="Aptos"/>
          <w:sz w:val="22"/>
          <w:szCs w:val="22"/>
        </w:rPr>
        <w:t xml:space="preserve">he SBCE law </w:t>
      </w:r>
      <w:r w:rsidRPr="003617BE" w:rsidR="00EF43E3">
        <w:rPr>
          <w:rFonts w:ascii="Aptos" w:hAnsi="Aptos"/>
          <w:sz w:val="22"/>
          <w:szCs w:val="22"/>
        </w:rPr>
        <w:t xml:space="preserve">establishes </w:t>
      </w:r>
      <w:r w:rsidRPr="003617BE" w:rsidR="009C4B7F">
        <w:rPr>
          <w:rFonts w:ascii="Aptos" w:hAnsi="Aptos"/>
          <w:sz w:val="22"/>
          <w:szCs w:val="22"/>
        </w:rPr>
        <w:t xml:space="preserve">broader </w:t>
      </w:r>
      <w:r w:rsidRPr="003617BE">
        <w:rPr>
          <w:rFonts w:ascii="Aptos" w:hAnsi="Aptos"/>
          <w:sz w:val="22"/>
          <w:szCs w:val="22"/>
        </w:rPr>
        <w:t>guidelines</w:t>
      </w:r>
      <w:r w:rsidRPr="003617BE" w:rsidR="009C4B7F">
        <w:rPr>
          <w:rFonts w:ascii="Aptos" w:hAnsi="Aptos"/>
          <w:sz w:val="22"/>
          <w:szCs w:val="22"/>
        </w:rPr>
        <w:t xml:space="preserve"> to </w:t>
      </w:r>
      <w:r w:rsidRPr="003617BE" w:rsidR="00A47297">
        <w:rPr>
          <w:rFonts w:ascii="Aptos" w:hAnsi="Aptos"/>
          <w:sz w:val="22"/>
          <w:szCs w:val="22"/>
        </w:rPr>
        <w:t xml:space="preserve">start </w:t>
      </w:r>
      <w:r w:rsidRPr="003617BE" w:rsidR="009C4B7F">
        <w:rPr>
          <w:rFonts w:ascii="Aptos" w:hAnsi="Aptos"/>
          <w:sz w:val="22"/>
          <w:szCs w:val="22"/>
        </w:rPr>
        <w:t>structur</w:t>
      </w:r>
      <w:r w:rsidRPr="003617BE" w:rsidR="00A47297">
        <w:rPr>
          <w:rFonts w:ascii="Aptos" w:hAnsi="Aptos"/>
          <w:sz w:val="22"/>
          <w:szCs w:val="22"/>
        </w:rPr>
        <w:t>ing</w:t>
      </w:r>
      <w:r w:rsidRPr="003617BE" w:rsidR="009C4B7F">
        <w:rPr>
          <w:rFonts w:ascii="Aptos" w:hAnsi="Aptos"/>
          <w:sz w:val="22"/>
          <w:szCs w:val="22"/>
        </w:rPr>
        <w:t xml:space="preserve"> </w:t>
      </w:r>
      <w:r w:rsidRPr="003617BE" w:rsidR="0077546D">
        <w:rPr>
          <w:rFonts w:ascii="Aptos" w:hAnsi="Aptos"/>
          <w:sz w:val="22"/>
          <w:szCs w:val="22"/>
        </w:rPr>
        <w:t xml:space="preserve">the authorization of ITMOs and </w:t>
      </w:r>
      <w:r w:rsidRPr="003617BE" w:rsidR="009C4B7F">
        <w:rPr>
          <w:rFonts w:ascii="Aptos" w:hAnsi="Aptos"/>
          <w:sz w:val="22"/>
          <w:szCs w:val="22"/>
        </w:rPr>
        <w:t>the</w:t>
      </w:r>
      <w:r w:rsidRPr="003617BE" w:rsidR="00BD6C15">
        <w:rPr>
          <w:rFonts w:ascii="Aptos" w:hAnsi="Aptos"/>
          <w:sz w:val="22"/>
          <w:szCs w:val="22"/>
        </w:rPr>
        <w:t xml:space="preserve"> operationalization of the</w:t>
      </w:r>
      <w:r w:rsidRPr="003617BE" w:rsidR="009C4B7F">
        <w:rPr>
          <w:rFonts w:ascii="Aptos" w:hAnsi="Aptos"/>
          <w:sz w:val="22"/>
          <w:szCs w:val="22"/>
        </w:rPr>
        <w:t xml:space="preserve"> </w:t>
      </w:r>
      <w:r w:rsidRPr="003617BE" w:rsidR="0077546D">
        <w:rPr>
          <w:rFonts w:ascii="Aptos" w:hAnsi="Aptos"/>
          <w:sz w:val="22"/>
          <w:szCs w:val="22"/>
        </w:rPr>
        <w:t xml:space="preserve">future </w:t>
      </w:r>
      <w:r w:rsidRPr="003617BE" w:rsidR="00803801">
        <w:rPr>
          <w:rFonts w:ascii="Aptos" w:hAnsi="Aptos"/>
          <w:sz w:val="22"/>
          <w:szCs w:val="22"/>
        </w:rPr>
        <w:t xml:space="preserve">engagement </w:t>
      </w:r>
      <w:r w:rsidRPr="003617BE" w:rsidR="0077546D">
        <w:rPr>
          <w:rFonts w:ascii="Aptos" w:hAnsi="Aptos"/>
          <w:sz w:val="22"/>
          <w:szCs w:val="22"/>
        </w:rPr>
        <w:t xml:space="preserve">of </w:t>
      </w:r>
      <w:r w:rsidRPr="003617BE" w:rsidR="00BD6C15">
        <w:rPr>
          <w:rFonts w:ascii="Aptos" w:hAnsi="Aptos"/>
          <w:sz w:val="22"/>
          <w:szCs w:val="22"/>
        </w:rPr>
        <w:t>Brazil</w:t>
      </w:r>
      <w:r w:rsidRPr="003617BE" w:rsidR="0077546D">
        <w:rPr>
          <w:rFonts w:ascii="Aptos" w:hAnsi="Aptos"/>
          <w:sz w:val="22"/>
          <w:szCs w:val="22"/>
        </w:rPr>
        <w:t xml:space="preserve"> </w:t>
      </w:r>
      <w:r w:rsidRPr="003617BE" w:rsidR="00803801">
        <w:rPr>
          <w:rFonts w:ascii="Aptos" w:hAnsi="Aptos"/>
          <w:sz w:val="22"/>
          <w:szCs w:val="22"/>
        </w:rPr>
        <w:t>with Article 6</w:t>
      </w:r>
      <w:r w:rsidRPr="003617BE" w:rsidR="0077546D">
        <w:rPr>
          <w:rFonts w:ascii="Aptos" w:hAnsi="Aptos"/>
          <w:sz w:val="22"/>
          <w:szCs w:val="22"/>
        </w:rPr>
        <w:t xml:space="preserve"> </w:t>
      </w:r>
      <w:r w:rsidR="00C0481A">
        <w:rPr>
          <w:rFonts w:ascii="Aptos" w:hAnsi="Aptos"/>
          <w:sz w:val="22"/>
          <w:szCs w:val="22"/>
        </w:rPr>
        <w:t xml:space="preserve">mechanism </w:t>
      </w:r>
      <w:r w:rsidRPr="003617BE" w:rsidR="0077546D">
        <w:rPr>
          <w:rFonts w:ascii="Aptos" w:hAnsi="Aptos"/>
          <w:sz w:val="22"/>
          <w:szCs w:val="22"/>
        </w:rPr>
        <w:t xml:space="preserve">of </w:t>
      </w:r>
      <w:r w:rsidR="00C0481A">
        <w:rPr>
          <w:rFonts w:ascii="Aptos" w:hAnsi="Aptos"/>
          <w:sz w:val="22"/>
          <w:szCs w:val="22"/>
        </w:rPr>
        <w:t>t</w:t>
      </w:r>
      <w:r w:rsidRPr="003617BE" w:rsidR="0077546D">
        <w:rPr>
          <w:rFonts w:ascii="Aptos" w:hAnsi="Aptos"/>
          <w:sz w:val="22"/>
          <w:szCs w:val="22"/>
        </w:rPr>
        <w:t>he Paris Agreement</w:t>
      </w:r>
      <w:r w:rsidRPr="003617BE" w:rsidR="00803801">
        <w:rPr>
          <w:rFonts w:ascii="Aptos" w:hAnsi="Aptos"/>
          <w:sz w:val="22"/>
          <w:szCs w:val="22"/>
        </w:rPr>
        <w:t>.</w:t>
      </w:r>
      <w:r w:rsidRPr="003617BE" w:rsidR="0077546D">
        <w:rPr>
          <w:rFonts w:ascii="Aptos" w:hAnsi="Aptos"/>
          <w:sz w:val="22"/>
          <w:szCs w:val="22"/>
        </w:rPr>
        <w:t xml:space="preserve"> </w:t>
      </w:r>
      <w:r w:rsidRPr="003617BE" w:rsidR="007B23DB">
        <w:rPr>
          <w:rFonts w:ascii="Aptos" w:hAnsi="Aptos"/>
          <w:sz w:val="22"/>
          <w:szCs w:val="22"/>
        </w:rPr>
        <w:t>S</w:t>
      </w:r>
      <w:r w:rsidRPr="003617BE" w:rsidR="00BE35F2">
        <w:rPr>
          <w:rFonts w:ascii="Aptos" w:hAnsi="Aptos"/>
          <w:sz w:val="22"/>
          <w:szCs w:val="22"/>
        </w:rPr>
        <w:t xml:space="preserve">uch provisions </w:t>
      </w:r>
      <w:r w:rsidRPr="003617BE" w:rsidR="007B23DB">
        <w:rPr>
          <w:rFonts w:ascii="Aptos" w:hAnsi="Aptos"/>
          <w:sz w:val="22"/>
          <w:szCs w:val="22"/>
        </w:rPr>
        <w:t>can help the country</w:t>
      </w:r>
      <w:r w:rsidRPr="003617BE" w:rsidR="0047634F">
        <w:rPr>
          <w:rFonts w:ascii="Aptos" w:hAnsi="Aptos"/>
          <w:sz w:val="22"/>
          <w:szCs w:val="22"/>
        </w:rPr>
        <w:t xml:space="preserve"> </w:t>
      </w:r>
      <w:r w:rsidRPr="003617BE" w:rsidR="003E002E">
        <w:rPr>
          <w:rFonts w:ascii="Aptos" w:hAnsi="Aptos"/>
          <w:sz w:val="22"/>
          <w:szCs w:val="22"/>
        </w:rPr>
        <w:t>build its framework to</w:t>
      </w:r>
      <w:r w:rsidRPr="003617BE" w:rsidR="008910B6">
        <w:rPr>
          <w:rFonts w:ascii="Aptos" w:hAnsi="Aptos"/>
          <w:sz w:val="22"/>
          <w:szCs w:val="22"/>
        </w:rPr>
        <w:t xml:space="preserve"> engag</w:t>
      </w:r>
      <w:r w:rsidRPr="003617BE" w:rsidR="007B23DB">
        <w:rPr>
          <w:rFonts w:ascii="Aptos" w:hAnsi="Aptos"/>
          <w:sz w:val="22"/>
          <w:szCs w:val="22"/>
        </w:rPr>
        <w:t>e</w:t>
      </w:r>
      <w:r w:rsidRPr="003617BE" w:rsidR="008910B6">
        <w:rPr>
          <w:rFonts w:ascii="Aptos" w:hAnsi="Aptos"/>
          <w:sz w:val="22"/>
          <w:szCs w:val="22"/>
        </w:rPr>
        <w:t xml:space="preserve"> with Article 6</w:t>
      </w:r>
      <w:r w:rsidRPr="003617BE" w:rsidR="007D4B8B">
        <w:rPr>
          <w:rFonts w:ascii="Aptos" w:hAnsi="Aptos"/>
          <w:sz w:val="22"/>
          <w:szCs w:val="22"/>
        </w:rPr>
        <w:t xml:space="preserve">, </w:t>
      </w:r>
      <w:r w:rsidRPr="003617BE" w:rsidR="003D4D78">
        <w:rPr>
          <w:rFonts w:ascii="Aptos" w:hAnsi="Aptos"/>
          <w:sz w:val="22"/>
          <w:szCs w:val="22"/>
        </w:rPr>
        <w:t>ensuring</w:t>
      </w:r>
      <w:r w:rsidRPr="003617BE" w:rsidR="00F63297">
        <w:rPr>
          <w:rFonts w:ascii="Aptos" w:hAnsi="Aptos"/>
          <w:sz w:val="22"/>
          <w:szCs w:val="22"/>
        </w:rPr>
        <w:t xml:space="preserve"> robust and centralized</w:t>
      </w:r>
      <w:r w:rsidRPr="003617BE" w:rsidR="007718CB">
        <w:rPr>
          <w:rFonts w:ascii="Aptos" w:hAnsi="Aptos"/>
          <w:sz w:val="22"/>
          <w:szCs w:val="22"/>
        </w:rPr>
        <w:t xml:space="preserve"> ITMOs </w:t>
      </w:r>
      <w:r w:rsidRPr="003617BE" w:rsidR="00F63297">
        <w:rPr>
          <w:rFonts w:ascii="Aptos" w:hAnsi="Aptos"/>
          <w:sz w:val="22"/>
          <w:szCs w:val="22"/>
        </w:rPr>
        <w:t xml:space="preserve">tracking </w:t>
      </w:r>
      <w:r w:rsidRPr="003617BE" w:rsidR="007718CB">
        <w:rPr>
          <w:rFonts w:ascii="Aptos" w:hAnsi="Aptos"/>
          <w:sz w:val="22"/>
          <w:szCs w:val="22"/>
        </w:rPr>
        <w:t>and</w:t>
      </w:r>
      <w:r w:rsidRPr="003617BE" w:rsidR="00F63297">
        <w:rPr>
          <w:rFonts w:ascii="Aptos" w:hAnsi="Aptos"/>
          <w:sz w:val="22"/>
          <w:szCs w:val="22"/>
        </w:rPr>
        <w:t xml:space="preserve"> </w:t>
      </w:r>
      <w:r w:rsidRPr="003617BE" w:rsidR="006A221D">
        <w:rPr>
          <w:rFonts w:ascii="Aptos" w:hAnsi="Aptos"/>
          <w:sz w:val="22"/>
          <w:szCs w:val="22"/>
        </w:rPr>
        <w:t>coheren</w:t>
      </w:r>
      <w:r w:rsidRPr="003617BE" w:rsidR="00F63297">
        <w:rPr>
          <w:rFonts w:ascii="Aptos" w:hAnsi="Aptos"/>
          <w:sz w:val="22"/>
          <w:szCs w:val="22"/>
        </w:rPr>
        <w:t>ce</w:t>
      </w:r>
      <w:r w:rsidRPr="003617BE" w:rsidR="00047D2A">
        <w:rPr>
          <w:rFonts w:ascii="Aptos" w:hAnsi="Aptos"/>
          <w:sz w:val="22"/>
          <w:szCs w:val="22"/>
        </w:rPr>
        <w:t xml:space="preserve"> with</w:t>
      </w:r>
      <w:r w:rsidRPr="003617BE" w:rsidR="006A221D">
        <w:rPr>
          <w:rFonts w:ascii="Aptos" w:hAnsi="Aptos"/>
          <w:sz w:val="22"/>
          <w:szCs w:val="22"/>
        </w:rPr>
        <w:t xml:space="preserve"> the</w:t>
      </w:r>
      <w:r w:rsidRPr="003617BE" w:rsidR="00047D2A">
        <w:rPr>
          <w:rFonts w:ascii="Aptos" w:hAnsi="Aptos"/>
          <w:sz w:val="22"/>
          <w:szCs w:val="22"/>
        </w:rPr>
        <w:t xml:space="preserve"> </w:t>
      </w:r>
      <w:r w:rsidRPr="003617BE" w:rsidR="008B392D">
        <w:rPr>
          <w:rFonts w:ascii="Aptos" w:hAnsi="Aptos"/>
          <w:sz w:val="22"/>
          <w:szCs w:val="22"/>
        </w:rPr>
        <w:t xml:space="preserve">country’s </w:t>
      </w:r>
      <w:r w:rsidRPr="003617BE" w:rsidR="00645FD5">
        <w:rPr>
          <w:rFonts w:ascii="Aptos" w:hAnsi="Aptos"/>
          <w:sz w:val="22"/>
          <w:szCs w:val="22"/>
        </w:rPr>
        <w:t>international climate commitments.</w:t>
      </w:r>
      <w:r w:rsidRPr="003617BE" w:rsidR="00A46CD4">
        <w:rPr>
          <w:rFonts w:ascii="Aptos" w:hAnsi="Aptos"/>
          <w:sz w:val="22"/>
          <w:szCs w:val="22"/>
        </w:rPr>
        <w:t xml:space="preserve"> </w:t>
      </w:r>
      <w:r w:rsidRPr="003617BE" w:rsidR="00A3308A">
        <w:rPr>
          <w:rFonts w:ascii="Aptos" w:hAnsi="Aptos"/>
          <w:sz w:val="22"/>
          <w:szCs w:val="22"/>
        </w:rPr>
        <w:t xml:space="preserve">To </w:t>
      </w:r>
      <w:r w:rsidRPr="003617BE" w:rsidR="00A3308A">
        <w:rPr>
          <w:rFonts w:ascii="Aptos" w:hAnsi="Aptos"/>
          <w:sz w:val="22"/>
          <w:szCs w:val="22"/>
        </w:rPr>
        <w:lastRenderedPageBreak/>
        <w:t xml:space="preserve">advance in this process, </w:t>
      </w:r>
      <w:r w:rsidRPr="003617BE" w:rsidR="0088750E">
        <w:rPr>
          <w:rFonts w:ascii="Aptos" w:hAnsi="Aptos"/>
          <w:sz w:val="22"/>
          <w:szCs w:val="22"/>
        </w:rPr>
        <w:t xml:space="preserve">further regulations </w:t>
      </w:r>
      <w:r w:rsidRPr="003617BE" w:rsidR="00A3308A">
        <w:rPr>
          <w:rFonts w:ascii="Aptos" w:hAnsi="Aptos"/>
          <w:sz w:val="22"/>
          <w:szCs w:val="22"/>
        </w:rPr>
        <w:t>should</w:t>
      </w:r>
      <w:r w:rsidRPr="003617BE" w:rsidR="0088750E">
        <w:rPr>
          <w:rFonts w:ascii="Aptos" w:hAnsi="Aptos"/>
          <w:sz w:val="22"/>
          <w:szCs w:val="22"/>
        </w:rPr>
        <w:t xml:space="preserve"> </w:t>
      </w:r>
      <w:r w:rsidRPr="003617BE" w:rsidR="00901D19">
        <w:rPr>
          <w:rFonts w:ascii="Aptos" w:hAnsi="Aptos"/>
          <w:sz w:val="22"/>
          <w:szCs w:val="22"/>
        </w:rPr>
        <w:t>establish a</w:t>
      </w:r>
      <w:r w:rsidRPr="003617BE" w:rsidR="00C65F36">
        <w:rPr>
          <w:rFonts w:ascii="Aptos" w:hAnsi="Aptos"/>
          <w:sz w:val="22"/>
          <w:szCs w:val="22"/>
        </w:rPr>
        <w:t xml:space="preserve"> straightforward</w:t>
      </w:r>
      <w:r w:rsidRPr="003617BE" w:rsidR="00BC4908">
        <w:rPr>
          <w:rFonts w:ascii="Aptos" w:hAnsi="Aptos"/>
          <w:sz w:val="22"/>
          <w:szCs w:val="22"/>
        </w:rPr>
        <w:t xml:space="preserve"> strategy</w:t>
      </w:r>
      <w:r w:rsidRPr="003617BE" w:rsidR="002A6CE9">
        <w:rPr>
          <w:rFonts w:ascii="Aptos" w:hAnsi="Aptos"/>
          <w:sz w:val="22"/>
          <w:szCs w:val="22"/>
        </w:rPr>
        <w:t xml:space="preserve"> and</w:t>
      </w:r>
      <w:r w:rsidRPr="003617BE" w:rsidR="00C65F36">
        <w:rPr>
          <w:rFonts w:ascii="Aptos" w:hAnsi="Aptos"/>
          <w:sz w:val="22"/>
          <w:szCs w:val="22"/>
        </w:rPr>
        <w:t xml:space="preserve"> define the</w:t>
      </w:r>
      <w:r w:rsidRPr="003617BE" w:rsidR="002A6CE9">
        <w:rPr>
          <w:rFonts w:ascii="Aptos" w:hAnsi="Aptos"/>
          <w:sz w:val="22"/>
          <w:szCs w:val="22"/>
        </w:rPr>
        <w:t xml:space="preserve"> </w:t>
      </w:r>
      <w:r w:rsidRPr="003617BE" w:rsidR="0088750E">
        <w:rPr>
          <w:rFonts w:ascii="Aptos" w:hAnsi="Aptos"/>
          <w:sz w:val="22"/>
          <w:szCs w:val="22"/>
        </w:rPr>
        <w:t xml:space="preserve">roles and responsibilities </w:t>
      </w:r>
      <w:r w:rsidRPr="003617BE" w:rsidR="00CB4A75">
        <w:rPr>
          <w:rFonts w:ascii="Aptos" w:hAnsi="Aptos"/>
          <w:sz w:val="22"/>
          <w:szCs w:val="22"/>
        </w:rPr>
        <w:t>to avoid</w:t>
      </w:r>
      <w:r w:rsidRPr="003617BE" w:rsidR="005C6C07">
        <w:rPr>
          <w:rFonts w:ascii="Aptos" w:hAnsi="Aptos"/>
          <w:sz w:val="22"/>
          <w:szCs w:val="22"/>
        </w:rPr>
        <w:t xml:space="preserve"> creating </w:t>
      </w:r>
      <w:r w:rsidRPr="003617BE" w:rsidR="003F7B7D">
        <w:rPr>
          <w:rFonts w:ascii="Aptos" w:hAnsi="Aptos"/>
          <w:sz w:val="22"/>
          <w:szCs w:val="22"/>
        </w:rPr>
        <w:t>overwhelming bureaucratic procedures</w:t>
      </w:r>
      <w:r w:rsidRPr="003617BE" w:rsidR="005C6C07">
        <w:rPr>
          <w:rFonts w:ascii="Aptos" w:hAnsi="Aptos"/>
          <w:sz w:val="22"/>
          <w:szCs w:val="22"/>
        </w:rPr>
        <w:t xml:space="preserve"> </w:t>
      </w:r>
      <w:r w:rsidRPr="003617BE" w:rsidR="00C351D0">
        <w:rPr>
          <w:rFonts w:ascii="Aptos" w:hAnsi="Aptos"/>
          <w:sz w:val="22"/>
          <w:szCs w:val="22"/>
        </w:rPr>
        <w:t>that</w:t>
      </w:r>
      <w:r w:rsidRPr="003617BE" w:rsidR="00F6304F">
        <w:t xml:space="preserve"> deter investors.</w:t>
      </w:r>
      <w:r w:rsidRPr="003617BE" w:rsidR="00FA2CF7">
        <w:rPr>
          <w:rFonts w:ascii="Aptos" w:hAnsi="Aptos"/>
          <w:sz w:val="22"/>
          <w:szCs w:val="22"/>
        </w:rPr>
        <w:t xml:space="preserve"> </w:t>
      </w:r>
    </w:p>
    <w:p w:rsidRPr="003617BE" w:rsidR="00B3148C" w:rsidP="00E565C5" w:rsidRDefault="00327EBF" w14:paraId="5AB7C387" w14:textId="070AE214">
      <w:pPr>
        <w:spacing w:before="120" w:after="120" w:line="276" w:lineRule="auto"/>
        <w:ind w:right="567"/>
        <w:jc w:val="both"/>
        <w:rPr>
          <w:rFonts w:ascii="Aptos" w:hAnsi="Aptos"/>
          <w:sz w:val="22"/>
          <w:szCs w:val="22"/>
        </w:rPr>
      </w:pPr>
      <w:r w:rsidRPr="003617BE">
        <w:rPr>
          <w:rFonts w:ascii="Aptos" w:hAnsi="Aptos"/>
          <w:sz w:val="22"/>
          <w:szCs w:val="22"/>
        </w:rPr>
        <w:t xml:space="preserve">Cooperative implementation of Nationally Determined Contributions (NDCs) through Article 6 can significantly lower the costs of achieving global emissions reductions by leveraging differences in marginal abatement costs and attracting private sector investment. Economic modelling suggests that Article 6 carbon markets could reduce mitigation costs by over $250 billion annually by 2030, potentially increasing emissions reductions by around 5 </w:t>
      </w:r>
      <w:proofErr w:type="spellStart"/>
      <w:r w:rsidRPr="003617BE">
        <w:rPr>
          <w:rFonts w:ascii="Aptos" w:hAnsi="Aptos"/>
          <w:sz w:val="22"/>
          <w:szCs w:val="22"/>
        </w:rPr>
        <w:t>GtCO₂</w:t>
      </w:r>
      <w:r w:rsidRPr="003617BE" w:rsidR="00A547D1">
        <w:rPr>
          <w:rFonts w:ascii="Aptos" w:hAnsi="Aptos"/>
          <w:sz w:val="22"/>
          <w:szCs w:val="22"/>
        </w:rPr>
        <w:t>e</w:t>
      </w:r>
      <w:proofErr w:type="spellEnd"/>
      <w:r w:rsidRPr="003617BE">
        <w:rPr>
          <w:rFonts w:ascii="Aptos" w:hAnsi="Aptos"/>
          <w:sz w:val="22"/>
          <w:szCs w:val="22"/>
        </w:rPr>
        <w:t xml:space="preserve"> per year by 2030</w:t>
      </w:r>
      <w:r w:rsidRPr="003617BE" w:rsidR="00343121">
        <w:rPr>
          <w:rFonts w:ascii="Aptos" w:hAnsi="Aptos"/>
          <w:sz w:val="22"/>
          <w:szCs w:val="22"/>
        </w:rPr>
        <w:t>,</w:t>
      </w:r>
      <w:r w:rsidR="00DA335F">
        <w:rPr>
          <w:rStyle w:val="EndnoteReference"/>
          <w:rFonts w:ascii="Aptos" w:hAnsi="Aptos"/>
          <w:sz w:val="22"/>
          <w:szCs w:val="22"/>
        </w:rPr>
        <w:endnoteReference w:id="5"/>
      </w:r>
      <w:r w:rsidRPr="003617BE" w:rsidR="00343121">
        <w:rPr>
          <w:rFonts w:ascii="Aptos" w:hAnsi="Aptos"/>
          <w:sz w:val="22"/>
          <w:szCs w:val="22"/>
        </w:rPr>
        <w:t xml:space="preserve"> </w:t>
      </w:r>
      <w:r w:rsidRPr="003617BE">
        <w:rPr>
          <w:rFonts w:ascii="Aptos" w:hAnsi="Aptos"/>
          <w:sz w:val="22"/>
          <w:szCs w:val="22"/>
        </w:rPr>
        <w:t>redirect</w:t>
      </w:r>
      <w:r w:rsidRPr="003617BE" w:rsidR="00343121">
        <w:rPr>
          <w:rFonts w:ascii="Aptos" w:hAnsi="Aptos"/>
          <w:sz w:val="22"/>
          <w:szCs w:val="22"/>
        </w:rPr>
        <w:t>ing</w:t>
      </w:r>
      <w:r w:rsidRPr="003617BE">
        <w:rPr>
          <w:rFonts w:ascii="Aptos" w:hAnsi="Aptos"/>
          <w:sz w:val="22"/>
          <w:szCs w:val="22"/>
        </w:rPr>
        <w:t xml:space="preserve"> capital from developed to developing countries, </w:t>
      </w:r>
      <w:r w:rsidRPr="003617BE" w:rsidR="00343121">
        <w:rPr>
          <w:rFonts w:ascii="Aptos" w:hAnsi="Aptos"/>
          <w:sz w:val="22"/>
          <w:szCs w:val="22"/>
        </w:rPr>
        <w:t xml:space="preserve">and </w:t>
      </w:r>
      <w:r w:rsidRPr="003617BE">
        <w:rPr>
          <w:rFonts w:ascii="Aptos" w:hAnsi="Aptos"/>
          <w:sz w:val="22"/>
          <w:szCs w:val="22"/>
        </w:rPr>
        <w:t xml:space="preserve">generating </w:t>
      </w:r>
      <w:r w:rsidRPr="003617BE" w:rsidR="00343121">
        <w:rPr>
          <w:rFonts w:ascii="Aptos" w:hAnsi="Aptos"/>
          <w:sz w:val="22"/>
          <w:szCs w:val="22"/>
        </w:rPr>
        <w:t xml:space="preserve">multiple </w:t>
      </w:r>
      <w:r w:rsidRPr="003617BE">
        <w:rPr>
          <w:rFonts w:ascii="Aptos" w:hAnsi="Aptos"/>
          <w:sz w:val="22"/>
          <w:szCs w:val="22"/>
        </w:rPr>
        <w:t xml:space="preserve">co-benefits </w:t>
      </w:r>
      <w:r w:rsidRPr="00DA335F" w:rsidR="00343121">
        <w:rPr>
          <w:rFonts w:ascii="Aptos" w:hAnsi="Aptos"/>
          <w:sz w:val="22"/>
          <w:szCs w:val="22"/>
        </w:rPr>
        <w:t>for host countries</w:t>
      </w:r>
      <w:r w:rsidRPr="00DA335F">
        <w:rPr>
          <w:rFonts w:ascii="Aptos" w:hAnsi="Aptos"/>
          <w:sz w:val="22"/>
          <w:szCs w:val="22"/>
        </w:rPr>
        <w:t>.</w:t>
      </w:r>
      <w:r w:rsidR="008C1395">
        <w:rPr>
          <w:rFonts w:ascii="Aptos" w:hAnsi="Aptos"/>
          <w:sz w:val="22"/>
          <w:szCs w:val="22"/>
        </w:rPr>
        <w:t xml:space="preserve"> In addition to that</w:t>
      </w:r>
      <w:r w:rsidR="00B54F36">
        <w:rPr>
          <w:rFonts w:ascii="Aptos" w:hAnsi="Aptos"/>
          <w:sz w:val="22"/>
          <w:szCs w:val="22"/>
        </w:rPr>
        <w:t xml:space="preserve">, it is worth highlighting multiple domestic advantages </w:t>
      </w:r>
      <w:r w:rsidRPr="00B3148C" w:rsidR="00B3148C">
        <w:rPr>
          <w:rFonts w:ascii="Aptos" w:hAnsi="Aptos"/>
          <w:sz w:val="22"/>
          <w:szCs w:val="22"/>
        </w:rPr>
        <w:t>for Brazil that could arise from attracting foreign investment, such as increased funding for sustainable projects, job creation, technology transfer, and economic diversification</w:t>
      </w:r>
      <w:r w:rsidR="00B8011B">
        <w:rPr>
          <w:rFonts w:ascii="Aptos" w:hAnsi="Aptos"/>
          <w:sz w:val="22"/>
          <w:szCs w:val="22"/>
        </w:rPr>
        <w:t>.</w:t>
      </w:r>
    </w:p>
    <w:p w:rsidRPr="003617BE" w:rsidR="00C56433" w:rsidP="00171AD4" w:rsidRDefault="006C3640" w14:paraId="06BF20EC" w14:textId="4971166C">
      <w:pPr>
        <w:spacing w:before="144" w:beforeLines="60" w:after="60" w:line="276" w:lineRule="auto"/>
        <w:ind w:right="567"/>
        <w:jc w:val="both"/>
        <w:rPr>
          <w:rFonts w:ascii="Aptos" w:hAnsi="Aptos"/>
          <w:sz w:val="22"/>
          <w:szCs w:val="22"/>
        </w:rPr>
      </w:pPr>
      <w:r w:rsidRPr="003617BE">
        <w:rPr>
          <w:rFonts w:ascii="Aptos" w:hAnsi="Aptos"/>
          <w:sz w:val="22"/>
          <w:szCs w:val="22"/>
        </w:rPr>
        <w:t xml:space="preserve">To </w:t>
      </w:r>
      <w:r w:rsidRPr="003617BE" w:rsidR="00E61003">
        <w:rPr>
          <w:rFonts w:ascii="Aptos" w:hAnsi="Aptos"/>
          <w:sz w:val="22"/>
          <w:szCs w:val="22"/>
        </w:rPr>
        <w:t>efficiently engage with Article 6</w:t>
      </w:r>
      <w:r w:rsidRPr="003617BE" w:rsidR="007540CC">
        <w:rPr>
          <w:rFonts w:ascii="Aptos" w:hAnsi="Aptos"/>
          <w:sz w:val="22"/>
          <w:szCs w:val="22"/>
        </w:rPr>
        <w:t>,</w:t>
      </w:r>
      <w:r w:rsidRPr="003617BE" w:rsidR="00E61003">
        <w:rPr>
          <w:rFonts w:ascii="Aptos" w:hAnsi="Aptos"/>
          <w:sz w:val="22"/>
          <w:szCs w:val="22"/>
        </w:rPr>
        <w:t xml:space="preserve"> </w:t>
      </w:r>
      <w:r w:rsidRPr="003617BE" w:rsidR="007540CC">
        <w:rPr>
          <w:rFonts w:ascii="Aptos" w:hAnsi="Aptos"/>
          <w:sz w:val="22"/>
          <w:szCs w:val="22"/>
        </w:rPr>
        <w:t>authorize ITMOs and reduce corresponding adjustment concerns</w:t>
      </w:r>
      <w:r w:rsidRPr="003617BE" w:rsidR="00A32518">
        <w:rPr>
          <w:rFonts w:ascii="Aptos" w:hAnsi="Aptos"/>
          <w:sz w:val="22"/>
          <w:szCs w:val="22"/>
        </w:rPr>
        <w:t>,</w:t>
      </w:r>
      <w:r w:rsidRPr="003617BE" w:rsidR="00E61003">
        <w:rPr>
          <w:rFonts w:ascii="Aptos" w:hAnsi="Aptos"/>
          <w:sz w:val="22"/>
          <w:szCs w:val="22"/>
        </w:rPr>
        <w:t xml:space="preserve"> </w:t>
      </w:r>
      <w:r w:rsidRPr="003617BE" w:rsidR="00BF7B4F">
        <w:rPr>
          <w:rFonts w:ascii="Aptos" w:hAnsi="Aptos"/>
          <w:sz w:val="22"/>
          <w:szCs w:val="22"/>
        </w:rPr>
        <w:t>potential host countries</w:t>
      </w:r>
      <w:r w:rsidRPr="003617BE" w:rsidR="007540CC">
        <w:rPr>
          <w:rFonts w:ascii="Aptos" w:hAnsi="Aptos"/>
          <w:sz w:val="22"/>
          <w:szCs w:val="22"/>
        </w:rPr>
        <w:t>,</w:t>
      </w:r>
      <w:r w:rsidRPr="003617BE" w:rsidR="00BF7B4F">
        <w:rPr>
          <w:rFonts w:ascii="Aptos" w:hAnsi="Aptos"/>
          <w:sz w:val="22"/>
          <w:szCs w:val="22"/>
        </w:rPr>
        <w:t xml:space="preserve"> </w:t>
      </w:r>
      <w:r w:rsidRPr="003617BE" w:rsidR="00F179D2">
        <w:rPr>
          <w:rFonts w:ascii="Aptos" w:hAnsi="Aptos"/>
          <w:sz w:val="22"/>
          <w:szCs w:val="22"/>
        </w:rPr>
        <w:t xml:space="preserve">as </w:t>
      </w:r>
      <w:r w:rsidRPr="003617BE" w:rsidR="00E61003">
        <w:rPr>
          <w:rFonts w:ascii="Aptos" w:hAnsi="Aptos"/>
          <w:sz w:val="22"/>
          <w:szCs w:val="22"/>
        </w:rPr>
        <w:t>Brazil</w:t>
      </w:r>
      <w:r w:rsidRPr="003617BE" w:rsidR="007540CC">
        <w:rPr>
          <w:rFonts w:ascii="Aptos" w:hAnsi="Aptos"/>
          <w:sz w:val="22"/>
          <w:szCs w:val="22"/>
        </w:rPr>
        <w:t>,</w:t>
      </w:r>
      <w:r w:rsidRPr="003617BE" w:rsidR="00E61003">
        <w:rPr>
          <w:rFonts w:ascii="Aptos" w:hAnsi="Aptos"/>
          <w:sz w:val="22"/>
          <w:szCs w:val="22"/>
        </w:rPr>
        <w:t xml:space="preserve"> could</w:t>
      </w:r>
      <w:r w:rsidRPr="003617BE" w:rsidR="003151B8">
        <w:rPr>
          <w:rFonts w:ascii="Aptos" w:hAnsi="Aptos"/>
          <w:sz w:val="22"/>
          <w:szCs w:val="22"/>
        </w:rPr>
        <w:t xml:space="preserve"> implement </w:t>
      </w:r>
      <w:r w:rsidRPr="003617BE" w:rsidR="007540CC">
        <w:rPr>
          <w:rFonts w:ascii="Aptos" w:hAnsi="Aptos"/>
          <w:sz w:val="22"/>
          <w:szCs w:val="22"/>
        </w:rPr>
        <w:t xml:space="preserve">multiple </w:t>
      </w:r>
      <w:r w:rsidRPr="003617BE" w:rsidR="003151B8">
        <w:rPr>
          <w:rFonts w:ascii="Aptos" w:hAnsi="Aptos"/>
          <w:sz w:val="22"/>
          <w:szCs w:val="22"/>
        </w:rPr>
        <w:t>early design features</w:t>
      </w:r>
      <w:r w:rsidR="00326995">
        <w:rPr>
          <w:rFonts w:ascii="Aptos" w:hAnsi="Aptos"/>
          <w:sz w:val="22"/>
          <w:szCs w:val="22"/>
        </w:rPr>
        <w:t xml:space="preserve"> to</w:t>
      </w:r>
      <w:r w:rsidRPr="00326995" w:rsidR="00326995">
        <w:rPr>
          <w:rFonts w:ascii="Aptos" w:hAnsi="Aptos"/>
          <w:sz w:val="22"/>
          <w:szCs w:val="22"/>
        </w:rPr>
        <w:t xml:space="preserve"> equip authorities with tools that ensure international cooperation engagements under Article 6 will preserve the trajectory of achieving Nationally Determined Contributions (NDCs) while maximizing the cost-effectiveness of carbon projects</w:t>
      </w:r>
      <w:r w:rsidR="00326995">
        <w:rPr>
          <w:rFonts w:ascii="Aptos" w:hAnsi="Aptos"/>
          <w:sz w:val="22"/>
          <w:szCs w:val="22"/>
        </w:rPr>
        <w:t xml:space="preserve">, </w:t>
      </w:r>
      <w:r w:rsidRPr="003617BE" w:rsidR="003151B8">
        <w:rPr>
          <w:rFonts w:ascii="Aptos" w:hAnsi="Aptos"/>
          <w:sz w:val="22"/>
          <w:szCs w:val="22"/>
        </w:rPr>
        <w:t>such as setting crediting period limits, applying corresponding adjustment fee</w:t>
      </w:r>
      <w:r w:rsidR="002F1880">
        <w:rPr>
          <w:rFonts w:ascii="Aptos" w:hAnsi="Aptos"/>
          <w:sz w:val="22"/>
          <w:szCs w:val="22"/>
        </w:rPr>
        <w:t>s</w:t>
      </w:r>
      <w:r w:rsidRPr="003617BE" w:rsidR="00D24F95">
        <w:rPr>
          <w:rFonts w:ascii="Aptos" w:hAnsi="Aptos"/>
          <w:sz w:val="22"/>
          <w:szCs w:val="22"/>
        </w:rPr>
        <w:t xml:space="preserve">, </w:t>
      </w:r>
      <w:r w:rsidRPr="003617BE" w:rsidR="003151B8">
        <w:rPr>
          <w:rFonts w:ascii="Aptos" w:hAnsi="Aptos"/>
          <w:sz w:val="22"/>
          <w:szCs w:val="22"/>
        </w:rPr>
        <w:t xml:space="preserve">or defining eligibility criteria for </w:t>
      </w:r>
      <w:r w:rsidRPr="003617BE" w:rsidR="00316ACE">
        <w:rPr>
          <w:rFonts w:ascii="Aptos" w:hAnsi="Aptos"/>
          <w:sz w:val="22"/>
          <w:szCs w:val="22"/>
        </w:rPr>
        <w:t xml:space="preserve">specific </w:t>
      </w:r>
      <w:r w:rsidRPr="003617BE" w:rsidR="003251DF">
        <w:rPr>
          <w:rFonts w:ascii="Aptos" w:hAnsi="Aptos"/>
          <w:sz w:val="22"/>
          <w:szCs w:val="22"/>
        </w:rPr>
        <w:t>metho</w:t>
      </w:r>
      <w:r w:rsidRPr="003617BE" w:rsidR="00872F17">
        <w:rPr>
          <w:rFonts w:ascii="Aptos" w:hAnsi="Aptos"/>
          <w:sz w:val="22"/>
          <w:szCs w:val="22"/>
        </w:rPr>
        <w:t>do</w:t>
      </w:r>
      <w:r w:rsidRPr="003617BE" w:rsidR="003251DF">
        <w:rPr>
          <w:rFonts w:ascii="Aptos" w:hAnsi="Aptos"/>
          <w:sz w:val="22"/>
          <w:szCs w:val="22"/>
        </w:rPr>
        <w:t>logies</w:t>
      </w:r>
      <w:r w:rsidRPr="003617BE" w:rsidR="003151B8">
        <w:rPr>
          <w:rFonts w:ascii="Aptos" w:hAnsi="Aptos"/>
          <w:sz w:val="22"/>
          <w:szCs w:val="22"/>
        </w:rPr>
        <w:t xml:space="preserve">, </w:t>
      </w:r>
      <w:r w:rsidRPr="003617BE" w:rsidR="00E80923">
        <w:rPr>
          <w:rFonts w:ascii="Aptos" w:hAnsi="Aptos"/>
          <w:sz w:val="22"/>
          <w:szCs w:val="22"/>
        </w:rPr>
        <w:t>among others</w:t>
      </w:r>
      <w:r w:rsidRPr="003617BE" w:rsidR="00D14F31">
        <w:rPr>
          <w:rFonts w:ascii="Aptos" w:hAnsi="Aptos"/>
          <w:sz w:val="22"/>
          <w:szCs w:val="22"/>
        </w:rPr>
        <w:t>.</w:t>
      </w:r>
      <w:r w:rsidR="00D70177">
        <w:rPr>
          <w:rFonts w:ascii="Aptos" w:hAnsi="Aptos"/>
          <w:sz w:val="22"/>
          <w:szCs w:val="22"/>
        </w:rPr>
        <w:t xml:space="preserve"> </w:t>
      </w:r>
      <w:r w:rsidRPr="003617BE" w:rsidR="00626DB9">
        <w:rPr>
          <w:rFonts w:ascii="Aptos" w:hAnsi="Aptos"/>
          <w:sz w:val="22"/>
          <w:szCs w:val="22"/>
        </w:rPr>
        <w:t xml:space="preserve"> </w:t>
      </w:r>
      <w:r w:rsidRPr="003617BE" w:rsidR="008D0A29">
        <w:rPr>
          <w:rFonts w:ascii="Aptos" w:hAnsi="Aptos"/>
          <w:sz w:val="22"/>
          <w:szCs w:val="22"/>
        </w:rPr>
        <w:t>In this process, t</w:t>
      </w:r>
      <w:r w:rsidRPr="003617BE" w:rsidR="00C56433">
        <w:rPr>
          <w:rFonts w:ascii="Aptos" w:hAnsi="Aptos"/>
          <w:sz w:val="22"/>
          <w:szCs w:val="22"/>
        </w:rPr>
        <w:t xml:space="preserve">he establishment of </w:t>
      </w:r>
      <w:r w:rsidRPr="003617BE" w:rsidR="008D0A29">
        <w:rPr>
          <w:rFonts w:ascii="Aptos" w:hAnsi="Aptos"/>
          <w:sz w:val="22"/>
          <w:szCs w:val="22"/>
        </w:rPr>
        <w:t>the SBCE</w:t>
      </w:r>
      <w:r w:rsidRPr="003617BE" w:rsidR="00C56433">
        <w:rPr>
          <w:rFonts w:ascii="Aptos" w:hAnsi="Aptos"/>
          <w:sz w:val="22"/>
          <w:szCs w:val="22"/>
        </w:rPr>
        <w:t xml:space="preserve"> </w:t>
      </w:r>
      <w:r w:rsidR="00A50773">
        <w:rPr>
          <w:rFonts w:ascii="Aptos" w:hAnsi="Aptos"/>
          <w:sz w:val="22"/>
          <w:szCs w:val="22"/>
        </w:rPr>
        <w:t xml:space="preserve">central </w:t>
      </w:r>
      <w:r w:rsidRPr="003617BE" w:rsidR="00C56433">
        <w:rPr>
          <w:rFonts w:ascii="Aptos" w:hAnsi="Aptos"/>
          <w:sz w:val="22"/>
          <w:szCs w:val="22"/>
        </w:rPr>
        <w:t>registry</w:t>
      </w:r>
      <w:r w:rsidR="00FA512B">
        <w:rPr>
          <w:rFonts w:ascii="Aptos" w:hAnsi="Aptos"/>
          <w:sz w:val="22"/>
          <w:szCs w:val="22"/>
        </w:rPr>
        <w:t xml:space="preserve"> </w:t>
      </w:r>
      <w:r w:rsidRPr="00171AD4" w:rsidR="00FA512B">
        <w:rPr>
          <w:rFonts w:ascii="Aptos" w:hAnsi="Aptos"/>
          <w:sz w:val="22"/>
          <w:szCs w:val="22"/>
        </w:rPr>
        <w:t>and the Brazilian regulated market infrastructure to track and control ownership, characteristics and transactions involving</w:t>
      </w:r>
      <w:r w:rsidR="00FA512B">
        <w:rPr>
          <w:rFonts w:ascii="Aptos" w:hAnsi="Aptos"/>
          <w:sz w:val="22"/>
          <w:szCs w:val="22"/>
        </w:rPr>
        <w:t xml:space="preserve"> “</w:t>
      </w:r>
      <w:r w:rsidRPr="00171AD4" w:rsidR="00FA512B">
        <w:rPr>
          <w:rFonts w:ascii="Aptos" w:hAnsi="Aptos"/>
          <w:i/>
          <w:iCs/>
          <w:sz w:val="22"/>
          <w:szCs w:val="22"/>
        </w:rPr>
        <w:t xml:space="preserve">Cota Brasileira de </w:t>
      </w:r>
      <w:proofErr w:type="spellStart"/>
      <w:r w:rsidRPr="00171AD4" w:rsidR="00FA512B">
        <w:rPr>
          <w:rFonts w:ascii="Aptos" w:hAnsi="Aptos"/>
          <w:i/>
          <w:iCs/>
          <w:sz w:val="22"/>
          <w:szCs w:val="22"/>
        </w:rPr>
        <w:t>Emissões</w:t>
      </w:r>
      <w:proofErr w:type="spellEnd"/>
      <w:r w:rsidR="00FA512B">
        <w:rPr>
          <w:rFonts w:ascii="Aptos" w:hAnsi="Aptos"/>
          <w:sz w:val="22"/>
          <w:szCs w:val="22"/>
        </w:rPr>
        <w:t>”</w:t>
      </w:r>
      <w:r w:rsidRPr="00171AD4" w:rsidR="00FA512B">
        <w:rPr>
          <w:rFonts w:ascii="Aptos" w:hAnsi="Aptos"/>
          <w:sz w:val="22"/>
          <w:szCs w:val="22"/>
        </w:rPr>
        <w:t xml:space="preserve"> </w:t>
      </w:r>
      <w:r w:rsidR="00FA512B">
        <w:rPr>
          <w:rFonts w:ascii="Aptos" w:hAnsi="Aptos"/>
          <w:sz w:val="22"/>
          <w:szCs w:val="22"/>
        </w:rPr>
        <w:t>(</w:t>
      </w:r>
      <w:r w:rsidRPr="00171AD4" w:rsidR="00FA512B">
        <w:rPr>
          <w:rFonts w:ascii="Aptos" w:hAnsi="Aptos"/>
          <w:sz w:val="22"/>
          <w:szCs w:val="22"/>
        </w:rPr>
        <w:t>CBEs</w:t>
      </w:r>
      <w:r w:rsidR="00FA512B">
        <w:rPr>
          <w:rFonts w:ascii="Aptos" w:hAnsi="Aptos"/>
          <w:sz w:val="22"/>
          <w:szCs w:val="22"/>
        </w:rPr>
        <w:t>)</w:t>
      </w:r>
      <w:r w:rsidRPr="00171AD4" w:rsidR="00FA512B">
        <w:rPr>
          <w:rFonts w:ascii="Aptos" w:hAnsi="Aptos"/>
          <w:sz w:val="22"/>
          <w:szCs w:val="22"/>
        </w:rPr>
        <w:t>,</w:t>
      </w:r>
      <w:r w:rsidR="00FA512B">
        <w:rPr>
          <w:rFonts w:ascii="Aptos" w:hAnsi="Aptos"/>
          <w:sz w:val="22"/>
          <w:szCs w:val="22"/>
        </w:rPr>
        <w:t xml:space="preserve"> </w:t>
      </w:r>
      <w:r w:rsidRPr="003617BE" w:rsidR="00C56433">
        <w:rPr>
          <w:rFonts w:ascii="Aptos" w:hAnsi="Aptos"/>
          <w:sz w:val="22"/>
          <w:szCs w:val="22"/>
        </w:rPr>
        <w:t>CRVEs and ITMO</w:t>
      </w:r>
      <w:r w:rsidRPr="003617BE" w:rsidR="00644E88">
        <w:rPr>
          <w:rFonts w:ascii="Aptos" w:hAnsi="Aptos"/>
          <w:sz w:val="22"/>
          <w:szCs w:val="22"/>
        </w:rPr>
        <w:t>s and</w:t>
      </w:r>
      <w:r w:rsidRPr="003617BE" w:rsidR="00C56433">
        <w:rPr>
          <w:rFonts w:ascii="Aptos" w:hAnsi="Aptos"/>
          <w:sz w:val="22"/>
          <w:szCs w:val="22"/>
        </w:rPr>
        <w:t xml:space="preserve"> </w:t>
      </w:r>
      <w:r w:rsidRPr="003617BE" w:rsidR="00644E88">
        <w:rPr>
          <w:rFonts w:ascii="Aptos" w:hAnsi="Aptos"/>
          <w:sz w:val="22"/>
          <w:szCs w:val="22"/>
        </w:rPr>
        <w:t>of</w:t>
      </w:r>
      <w:r w:rsidRPr="003617BE" w:rsidR="00C56433">
        <w:rPr>
          <w:rFonts w:ascii="Aptos" w:hAnsi="Aptos"/>
          <w:sz w:val="22"/>
          <w:szCs w:val="22"/>
        </w:rPr>
        <w:t xml:space="preserve"> principles for authorizing ITMOs, particularly around the eligibility criteria for methodologies, activities, and technologies that may be converted into ITMOs, </w:t>
      </w:r>
      <w:r w:rsidRPr="003617BE" w:rsidR="00644E88">
        <w:rPr>
          <w:rFonts w:ascii="Aptos" w:hAnsi="Aptos"/>
          <w:sz w:val="22"/>
          <w:szCs w:val="22"/>
        </w:rPr>
        <w:t>would be key</w:t>
      </w:r>
      <w:r w:rsidRPr="003617BE" w:rsidR="00481306">
        <w:rPr>
          <w:rFonts w:ascii="Aptos" w:hAnsi="Aptos"/>
          <w:sz w:val="22"/>
          <w:szCs w:val="22"/>
        </w:rPr>
        <w:t xml:space="preserve"> elements for</w:t>
      </w:r>
      <w:r w:rsidRPr="003617BE" w:rsidR="00C56433">
        <w:rPr>
          <w:rFonts w:ascii="Aptos" w:hAnsi="Aptos"/>
          <w:sz w:val="22"/>
          <w:szCs w:val="22"/>
        </w:rPr>
        <w:t xml:space="preserve"> </w:t>
      </w:r>
      <w:r w:rsidRPr="003617BE" w:rsidR="00481306">
        <w:rPr>
          <w:rFonts w:ascii="Aptos" w:hAnsi="Aptos"/>
          <w:sz w:val="22"/>
          <w:szCs w:val="22"/>
        </w:rPr>
        <w:t xml:space="preserve">making the </w:t>
      </w:r>
      <w:r w:rsidRPr="003617BE" w:rsidR="00C56433">
        <w:rPr>
          <w:rFonts w:ascii="Aptos" w:hAnsi="Aptos"/>
          <w:sz w:val="22"/>
          <w:szCs w:val="22"/>
        </w:rPr>
        <w:t>private sector investment flow</w:t>
      </w:r>
      <w:r w:rsidRPr="003617BE" w:rsidR="00481306">
        <w:rPr>
          <w:rFonts w:ascii="Aptos" w:hAnsi="Aptos"/>
          <w:sz w:val="22"/>
          <w:szCs w:val="22"/>
        </w:rPr>
        <w:t>s</w:t>
      </w:r>
      <w:r w:rsidR="00FA512B">
        <w:rPr>
          <w:rFonts w:ascii="Aptos" w:hAnsi="Aptos"/>
          <w:sz w:val="22"/>
          <w:szCs w:val="22"/>
        </w:rPr>
        <w:t xml:space="preserve"> and scales</w:t>
      </w:r>
      <w:r w:rsidRPr="003617BE" w:rsidR="00C56433">
        <w:rPr>
          <w:rFonts w:ascii="Aptos" w:hAnsi="Aptos"/>
          <w:sz w:val="22"/>
          <w:szCs w:val="22"/>
        </w:rPr>
        <w:t xml:space="preserve"> to where it is needed</w:t>
      </w:r>
      <w:r w:rsidRPr="003617BE" w:rsidR="00481306">
        <w:rPr>
          <w:rFonts w:ascii="Aptos" w:hAnsi="Aptos"/>
          <w:sz w:val="22"/>
          <w:szCs w:val="22"/>
        </w:rPr>
        <w:t xml:space="preserve">. </w:t>
      </w:r>
      <w:r w:rsidRPr="00C7027B" w:rsidR="007C382A">
        <w:rPr>
          <w:rFonts w:ascii="Aptos" w:hAnsi="Aptos"/>
          <w:sz w:val="22"/>
          <w:szCs w:val="22"/>
        </w:rPr>
        <w:t>To ensure credibility and functionality of the SBCE in both the voluntary and compliance markets</w:t>
      </w:r>
      <w:r w:rsidR="007C382A">
        <w:rPr>
          <w:rFonts w:ascii="Aptos" w:hAnsi="Aptos"/>
          <w:sz w:val="22"/>
          <w:szCs w:val="22"/>
        </w:rPr>
        <w:t xml:space="preserve">, it is also worth highlighting the relevance of having publicly disclosed, reliable technical information about projects through the SBCE registry. </w:t>
      </w:r>
      <w:r w:rsidRPr="007A7D2B" w:rsidR="007A7D2B">
        <w:rPr>
          <w:rFonts w:ascii="Aptos" w:hAnsi="Aptos"/>
          <w:sz w:val="22"/>
          <w:szCs w:val="22"/>
        </w:rPr>
        <w:t>Increasingly, leveraging Article 6 to align with industrial, regional, and social policies</w:t>
      </w:r>
      <w:r w:rsidR="007A7D2B">
        <w:rPr>
          <w:rFonts w:ascii="Aptos" w:hAnsi="Aptos"/>
          <w:sz w:val="22"/>
          <w:szCs w:val="22"/>
        </w:rPr>
        <w:t xml:space="preserve">, </w:t>
      </w:r>
      <w:r w:rsidRPr="007A7D2B" w:rsidR="007A7D2B">
        <w:rPr>
          <w:rFonts w:ascii="Aptos" w:hAnsi="Aptos"/>
          <w:sz w:val="22"/>
          <w:szCs w:val="22"/>
        </w:rPr>
        <w:t>and involving multiple ministries beyond just those responsible for climate</w:t>
      </w:r>
      <w:r w:rsidR="007A7D2B">
        <w:rPr>
          <w:rFonts w:ascii="Aptos" w:hAnsi="Aptos"/>
          <w:sz w:val="22"/>
          <w:szCs w:val="22"/>
        </w:rPr>
        <w:t xml:space="preserve">, </w:t>
      </w:r>
      <w:r w:rsidRPr="007A7D2B" w:rsidR="007A7D2B">
        <w:rPr>
          <w:rFonts w:ascii="Aptos" w:hAnsi="Aptos"/>
          <w:sz w:val="22"/>
          <w:szCs w:val="22"/>
        </w:rPr>
        <w:t>is essential for maximizing its impact.</w:t>
      </w:r>
      <w:r w:rsidRPr="007C382A" w:rsidR="007C382A">
        <w:rPr>
          <w:rFonts w:ascii="Aptos" w:hAnsi="Aptos"/>
          <w:sz w:val="22"/>
          <w:szCs w:val="22"/>
        </w:rPr>
        <w:t xml:space="preserve"> </w:t>
      </w:r>
    </w:p>
    <w:p w:rsidRPr="003617BE" w:rsidR="0024427B" w:rsidP="00E565C5" w:rsidRDefault="00481306" w14:paraId="28D79792" w14:textId="555071B2">
      <w:pPr>
        <w:spacing w:before="60" w:after="60" w:line="276" w:lineRule="auto"/>
        <w:ind w:right="567"/>
        <w:jc w:val="both"/>
        <w:rPr>
          <w:rFonts w:ascii="Aptos" w:hAnsi="Aptos"/>
          <w:sz w:val="22"/>
          <w:szCs w:val="22"/>
        </w:rPr>
      </w:pPr>
      <w:r w:rsidRPr="003617BE">
        <w:rPr>
          <w:rFonts w:ascii="Aptos" w:hAnsi="Aptos"/>
          <w:sz w:val="22"/>
          <w:szCs w:val="22"/>
        </w:rPr>
        <w:t xml:space="preserve">Currently, </w:t>
      </w:r>
      <w:r w:rsidRPr="003617BE" w:rsidR="002A4792">
        <w:rPr>
          <w:rFonts w:ascii="Aptos" w:hAnsi="Aptos"/>
          <w:sz w:val="22"/>
          <w:szCs w:val="22"/>
        </w:rPr>
        <w:t>a</w:t>
      </w:r>
      <w:r w:rsidRPr="003617BE" w:rsidR="00A16E62">
        <w:rPr>
          <w:rFonts w:ascii="Aptos" w:hAnsi="Aptos"/>
          <w:sz w:val="22"/>
          <w:szCs w:val="22"/>
        </w:rPr>
        <w:t xml:space="preserve">s per </w:t>
      </w:r>
      <w:r w:rsidRPr="00823B80" w:rsidR="00A16E62">
        <w:rPr>
          <w:rFonts w:ascii="Aptos" w:hAnsi="Aptos"/>
          <w:sz w:val="22"/>
          <w:szCs w:val="22"/>
        </w:rPr>
        <w:t>SBCE</w:t>
      </w:r>
      <w:r w:rsidRPr="00823B80" w:rsidR="009173B3">
        <w:rPr>
          <w:rFonts w:ascii="Aptos" w:hAnsi="Aptos"/>
          <w:sz w:val="22"/>
          <w:szCs w:val="22"/>
        </w:rPr>
        <w:t xml:space="preserve"> law </w:t>
      </w:r>
      <w:r w:rsidR="00823B80">
        <w:rPr>
          <w:rFonts w:ascii="Aptos" w:hAnsi="Aptos"/>
          <w:sz w:val="22"/>
          <w:szCs w:val="22"/>
        </w:rPr>
        <w:t xml:space="preserve">(Art. </w:t>
      </w:r>
      <w:r w:rsidR="00950C2C">
        <w:rPr>
          <w:rFonts w:ascii="Aptos" w:hAnsi="Aptos"/>
          <w:sz w:val="22"/>
          <w:szCs w:val="22"/>
        </w:rPr>
        <w:t xml:space="preserve">8º) </w:t>
      </w:r>
      <w:r w:rsidRPr="00823B80" w:rsidR="009173B3">
        <w:rPr>
          <w:rFonts w:ascii="Aptos" w:hAnsi="Aptos"/>
          <w:sz w:val="22"/>
          <w:szCs w:val="22"/>
        </w:rPr>
        <w:t>provisions,</w:t>
      </w:r>
      <w:r w:rsidRPr="003617BE" w:rsidR="009173B3">
        <w:rPr>
          <w:rFonts w:ascii="Aptos" w:hAnsi="Aptos"/>
          <w:sz w:val="22"/>
          <w:szCs w:val="22"/>
        </w:rPr>
        <w:t xml:space="preserve"> while the Interministerial Committee on Climate Change is responsible for defining the </w:t>
      </w:r>
      <w:r w:rsidRPr="003617BE" w:rsidR="00EC06F8">
        <w:rPr>
          <w:rFonts w:ascii="Aptos" w:hAnsi="Aptos"/>
          <w:sz w:val="22"/>
          <w:szCs w:val="22"/>
        </w:rPr>
        <w:t>conditions</w:t>
      </w:r>
      <w:r w:rsidRPr="003617BE" w:rsidR="009173B3">
        <w:rPr>
          <w:rFonts w:ascii="Aptos" w:hAnsi="Aptos"/>
          <w:sz w:val="22"/>
          <w:szCs w:val="22"/>
        </w:rPr>
        <w:t xml:space="preserve"> for authorization,</w:t>
      </w:r>
      <w:r w:rsidRPr="003617BE" w:rsidR="00A16E62">
        <w:rPr>
          <w:rFonts w:ascii="Aptos" w:hAnsi="Aptos"/>
          <w:sz w:val="22"/>
          <w:szCs w:val="22"/>
        </w:rPr>
        <w:t xml:space="preserve"> </w:t>
      </w:r>
      <w:r w:rsidRPr="003617BE" w:rsidR="00286783">
        <w:rPr>
          <w:rFonts w:ascii="Aptos" w:hAnsi="Aptos"/>
          <w:sz w:val="22"/>
          <w:szCs w:val="22"/>
        </w:rPr>
        <w:t xml:space="preserve">it is </w:t>
      </w:r>
      <w:r w:rsidRPr="003617BE" w:rsidR="00A32AFC">
        <w:rPr>
          <w:rFonts w:ascii="Aptos" w:hAnsi="Aptos"/>
          <w:sz w:val="22"/>
          <w:szCs w:val="22"/>
        </w:rPr>
        <w:t xml:space="preserve">the SBCE Managing Body </w:t>
      </w:r>
      <w:r w:rsidR="00B618F9">
        <w:rPr>
          <w:rFonts w:ascii="Aptos" w:hAnsi="Aptos"/>
          <w:sz w:val="22"/>
          <w:szCs w:val="22"/>
        </w:rPr>
        <w:t>wh</w:t>
      </w:r>
      <w:r w:rsidR="00951257">
        <w:rPr>
          <w:rFonts w:ascii="Aptos" w:hAnsi="Aptos"/>
          <w:sz w:val="22"/>
          <w:szCs w:val="22"/>
        </w:rPr>
        <w:t xml:space="preserve">ich </w:t>
      </w:r>
      <w:r w:rsidR="00B618F9">
        <w:rPr>
          <w:rFonts w:ascii="Aptos" w:hAnsi="Aptos"/>
          <w:sz w:val="22"/>
          <w:szCs w:val="22"/>
        </w:rPr>
        <w:t xml:space="preserve">is </w:t>
      </w:r>
      <w:r w:rsidRPr="003617BE" w:rsidR="00A32AFC">
        <w:rPr>
          <w:rFonts w:ascii="Aptos" w:hAnsi="Aptos"/>
          <w:sz w:val="22"/>
          <w:szCs w:val="22"/>
        </w:rPr>
        <w:t>the responsible for</w:t>
      </w:r>
      <w:r w:rsidRPr="003617BE" w:rsidR="007462BC">
        <w:rPr>
          <w:rFonts w:ascii="Aptos" w:hAnsi="Aptos"/>
          <w:sz w:val="22"/>
          <w:szCs w:val="22"/>
        </w:rPr>
        <w:t xml:space="preserve"> defining methodologies allowed to generate CRVEs</w:t>
      </w:r>
      <w:r w:rsidRPr="003617BE" w:rsidR="003B7241">
        <w:rPr>
          <w:rFonts w:ascii="Aptos" w:hAnsi="Aptos"/>
          <w:sz w:val="22"/>
          <w:szCs w:val="22"/>
        </w:rPr>
        <w:t xml:space="preserve">, </w:t>
      </w:r>
      <w:r w:rsidRPr="003617BE" w:rsidR="00C922F8">
        <w:rPr>
          <w:rFonts w:ascii="Aptos" w:hAnsi="Aptos"/>
          <w:sz w:val="22"/>
          <w:szCs w:val="22"/>
        </w:rPr>
        <w:t>mak</w:t>
      </w:r>
      <w:r w:rsidRPr="003617BE" w:rsidR="003B7241">
        <w:rPr>
          <w:rFonts w:ascii="Aptos" w:hAnsi="Aptos"/>
          <w:sz w:val="22"/>
          <w:szCs w:val="22"/>
        </w:rPr>
        <w:t>ing</w:t>
      </w:r>
      <w:r w:rsidRPr="003617BE" w:rsidR="00C922F8">
        <w:rPr>
          <w:rFonts w:ascii="Aptos" w:hAnsi="Aptos"/>
          <w:sz w:val="22"/>
          <w:szCs w:val="22"/>
        </w:rPr>
        <w:t xml:space="preserve"> unclear whether</w:t>
      </w:r>
      <w:r w:rsidRPr="003617BE" w:rsidR="00A32AFC">
        <w:rPr>
          <w:rFonts w:ascii="Aptos" w:hAnsi="Aptos"/>
          <w:sz w:val="22"/>
          <w:szCs w:val="22"/>
        </w:rPr>
        <w:t xml:space="preserve"> </w:t>
      </w:r>
      <w:r w:rsidRPr="003617BE" w:rsidR="00D67A99">
        <w:rPr>
          <w:rFonts w:ascii="Aptos" w:hAnsi="Aptos"/>
          <w:sz w:val="22"/>
          <w:szCs w:val="22"/>
        </w:rPr>
        <w:t xml:space="preserve">the SBCE </w:t>
      </w:r>
      <w:r w:rsidRPr="003617BE" w:rsidR="00A16E62">
        <w:rPr>
          <w:rFonts w:ascii="Aptos" w:hAnsi="Aptos"/>
          <w:sz w:val="22"/>
          <w:szCs w:val="22"/>
        </w:rPr>
        <w:t xml:space="preserve">Managing Body </w:t>
      </w:r>
      <w:r w:rsidRPr="003617BE" w:rsidR="00873BEC">
        <w:rPr>
          <w:rFonts w:ascii="Aptos" w:hAnsi="Aptos"/>
          <w:sz w:val="22"/>
          <w:szCs w:val="22"/>
        </w:rPr>
        <w:t xml:space="preserve">would </w:t>
      </w:r>
      <w:r w:rsidRPr="003617BE" w:rsidR="00D67A99">
        <w:rPr>
          <w:rFonts w:ascii="Aptos" w:hAnsi="Aptos"/>
          <w:sz w:val="22"/>
          <w:szCs w:val="22"/>
        </w:rPr>
        <w:t>act only</w:t>
      </w:r>
      <w:r w:rsidRPr="003617BE" w:rsidR="00A16E62">
        <w:rPr>
          <w:rFonts w:ascii="Aptos" w:hAnsi="Aptos"/>
          <w:sz w:val="22"/>
          <w:szCs w:val="22"/>
        </w:rPr>
        <w:t xml:space="preserve"> </w:t>
      </w:r>
      <w:r w:rsidRPr="003617BE" w:rsidR="00873BEC">
        <w:rPr>
          <w:rFonts w:ascii="Aptos" w:hAnsi="Aptos"/>
          <w:sz w:val="22"/>
          <w:szCs w:val="22"/>
        </w:rPr>
        <w:t xml:space="preserve">as </w:t>
      </w:r>
      <w:r w:rsidRPr="003617BE" w:rsidR="00D67A99">
        <w:rPr>
          <w:rFonts w:ascii="Aptos" w:hAnsi="Aptos"/>
          <w:sz w:val="22"/>
          <w:szCs w:val="22"/>
        </w:rPr>
        <w:t>a</w:t>
      </w:r>
      <w:r w:rsidRPr="003617BE" w:rsidR="00A16E62">
        <w:rPr>
          <w:rFonts w:ascii="Aptos" w:hAnsi="Aptos"/>
          <w:sz w:val="22"/>
          <w:szCs w:val="22"/>
        </w:rPr>
        <w:t xml:space="preserve"> gatekeeper</w:t>
      </w:r>
      <w:r w:rsidRPr="003617BE" w:rsidR="003F2AA7">
        <w:rPr>
          <w:rFonts w:ascii="Aptos" w:hAnsi="Aptos"/>
          <w:sz w:val="22"/>
          <w:szCs w:val="22"/>
        </w:rPr>
        <w:t xml:space="preserve"> or </w:t>
      </w:r>
      <w:r w:rsidRPr="003617BE" w:rsidR="00873BEC">
        <w:rPr>
          <w:rFonts w:ascii="Aptos" w:hAnsi="Aptos"/>
          <w:sz w:val="22"/>
          <w:szCs w:val="22"/>
        </w:rPr>
        <w:t>as</w:t>
      </w:r>
      <w:r w:rsidRPr="003617BE" w:rsidR="003F2AA7">
        <w:rPr>
          <w:rFonts w:ascii="Aptos" w:hAnsi="Aptos"/>
          <w:sz w:val="22"/>
          <w:szCs w:val="22"/>
        </w:rPr>
        <w:t xml:space="preserve"> another </w:t>
      </w:r>
      <w:r w:rsidRPr="00BE000F" w:rsidR="003F2AA7">
        <w:rPr>
          <w:rFonts w:ascii="Aptos" w:hAnsi="Aptos"/>
          <w:sz w:val="22"/>
          <w:szCs w:val="22"/>
        </w:rPr>
        <w:t>authorisation instance</w:t>
      </w:r>
      <w:r w:rsidRPr="003617BE" w:rsidR="00A16E62">
        <w:rPr>
          <w:rFonts w:ascii="Aptos" w:hAnsi="Aptos"/>
          <w:sz w:val="22"/>
          <w:szCs w:val="22"/>
        </w:rPr>
        <w:t xml:space="preserve">. </w:t>
      </w:r>
      <w:r w:rsidRPr="003617BE" w:rsidR="000979A0">
        <w:rPr>
          <w:rFonts w:ascii="Aptos" w:hAnsi="Aptos"/>
          <w:sz w:val="22"/>
          <w:szCs w:val="22"/>
        </w:rPr>
        <w:t>Providing</w:t>
      </w:r>
      <w:r w:rsidRPr="003617BE" w:rsidR="00684822">
        <w:rPr>
          <w:rFonts w:ascii="Aptos" w:hAnsi="Aptos"/>
          <w:sz w:val="22"/>
          <w:szCs w:val="22"/>
        </w:rPr>
        <w:t xml:space="preserve"> clarity on </w:t>
      </w:r>
      <w:r w:rsidRPr="003617BE" w:rsidR="000979A0">
        <w:rPr>
          <w:rFonts w:ascii="Aptos" w:hAnsi="Aptos"/>
          <w:sz w:val="22"/>
          <w:szCs w:val="22"/>
        </w:rPr>
        <w:t>the</w:t>
      </w:r>
      <w:r w:rsidRPr="003617BE" w:rsidR="00684822">
        <w:rPr>
          <w:rFonts w:ascii="Aptos" w:hAnsi="Aptos"/>
          <w:sz w:val="22"/>
          <w:szCs w:val="22"/>
        </w:rPr>
        <w:t xml:space="preserve"> </w:t>
      </w:r>
      <w:r w:rsidRPr="003617BE" w:rsidR="007D4DEA">
        <w:rPr>
          <w:rFonts w:ascii="Aptos" w:hAnsi="Aptos"/>
          <w:sz w:val="22"/>
          <w:szCs w:val="22"/>
        </w:rPr>
        <w:t xml:space="preserve">roles and responsibilities of each body </w:t>
      </w:r>
      <w:r w:rsidRPr="003617BE" w:rsidR="006E0A51">
        <w:rPr>
          <w:rFonts w:ascii="Aptos" w:hAnsi="Aptos"/>
          <w:sz w:val="22"/>
          <w:szCs w:val="22"/>
        </w:rPr>
        <w:t>and ensuring inclusivity in the regulatory development process, with meaningful engagement from private sector</w:t>
      </w:r>
      <w:r w:rsidRPr="003617BE" w:rsidR="000979A0">
        <w:rPr>
          <w:rFonts w:ascii="Aptos" w:hAnsi="Aptos"/>
          <w:sz w:val="22"/>
          <w:szCs w:val="22"/>
        </w:rPr>
        <w:t xml:space="preserve"> and key</w:t>
      </w:r>
      <w:r w:rsidRPr="003617BE" w:rsidR="006E0A51">
        <w:rPr>
          <w:rFonts w:ascii="Aptos" w:hAnsi="Aptos"/>
          <w:sz w:val="22"/>
          <w:szCs w:val="22"/>
        </w:rPr>
        <w:t xml:space="preserve"> stakeholders, would be key to establish an efficient system</w:t>
      </w:r>
      <w:r w:rsidRPr="003617BE" w:rsidR="004D5C48">
        <w:rPr>
          <w:rFonts w:ascii="Aptos" w:hAnsi="Aptos"/>
          <w:sz w:val="22"/>
          <w:szCs w:val="22"/>
        </w:rPr>
        <w:t>.</w:t>
      </w:r>
      <w:r w:rsidRPr="003617BE" w:rsidR="000D404C">
        <w:rPr>
          <w:rFonts w:ascii="Aptos" w:hAnsi="Aptos"/>
          <w:sz w:val="22"/>
          <w:szCs w:val="22"/>
        </w:rPr>
        <w:t xml:space="preserve"> </w:t>
      </w:r>
      <w:r w:rsidRPr="003617BE" w:rsidR="008C2AD4">
        <w:rPr>
          <w:rFonts w:ascii="Aptos" w:hAnsi="Aptos"/>
          <w:sz w:val="22"/>
          <w:szCs w:val="22"/>
        </w:rPr>
        <w:t xml:space="preserve"> </w:t>
      </w:r>
    </w:p>
    <w:p w:rsidRPr="003617BE" w:rsidR="0009684F" w:rsidP="00E565C5" w:rsidRDefault="007C382A" w14:paraId="1EF7A3B6" w14:textId="441CD380">
      <w:pPr>
        <w:spacing w:before="60" w:after="60" w:line="276" w:lineRule="auto"/>
        <w:ind w:right="567"/>
        <w:jc w:val="both"/>
        <w:rPr>
          <w:rFonts w:ascii="Aptos" w:hAnsi="Aptos"/>
          <w:sz w:val="22"/>
          <w:szCs w:val="22"/>
        </w:rPr>
      </w:pPr>
      <w:r w:rsidRPr="007C382A">
        <w:rPr>
          <w:rFonts w:ascii="Aptos" w:hAnsi="Aptos"/>
          <w:sz w:val="22"/>
          <w:szCs w:val="22"/>
        </w:rPr>
        <w:lastRenderedPageBreak/>
        <w:t>Finally, ITMO authorizations can drive finance to reduce emissions in hard-to-abate sectors and projects aligned with the Federal Government’s integrity criteria. They can facilitate market convergence, enhance market credibility, and mobilize greater international investments. As part of this, emerging financial instruments</w:t>
      </w:r>
      <w:r w:rsidR="002A5C16">
        <w:rPr>
          <w:rFonts w:ascii="Aptos" w:hAnsi="Aptos"/>
          <w:sz w:val="22"/>
          <w:szCs w:val="22"/>
        </w:rPr>
        <w:t xml:space="preserve">, </w:t>
      </w:r>
      <w:r w:rsidRPr="007C382A">
        <w:rPr>
          <w:rFonts w:ascii="Aptos" w:hAnsi="Aptos"/>
          <w:sz w:val="22"/>
          <w:szCs w:val="22"/>
        </w:rPr>
        <w:t>developed by private banks, BNDES, and regional development institutions</w:t>
      </w:r>
      <w:r w:rsidR="002A5C16">
        <w:rPr>
          <w:rFonts w:ascii="Aptos" w:hAnsi="Aptos"/>
          <w:sz w:val="22"/>
          <w:szCs w:val="22"/>
        </w:rPr>
        <w:t xml:space="preserve">, </w:t>
      </w:r>
      <w:r w:rsidRPr="007C382A">
        <w:rPr>
          <w:rFonts w:ascii="Aptos" w:hAnsi="Aptos"/>
          <w:sz w:val="22"/>
          <w:szCs w:val="22"/>
        </w:rPr>
        <w:t>may offer valuable support for early-stage project development, particularly in sectors with longer implementation horizons, such as restoration. Although the time gap between emissions data and the national inventory hampers precise estimation of Brazil's NDC trajectory, the establishment of dynamic engagement frameworks, with iterative improvements and a forward-looking pragmatic approach, could allow the country to tap into the opportunities offered by Article 6 and lead to enhanced ambition more efficiently.</w:t>
      </w:r>
    </w:p>
    <w:p w:rsidRPr="003617BE" w:rsidR="00A16E62" w:rsidP="00E565C5" w:rsidRDefault="00A16E62" w14:paraId="77450B6D" w14:textId="77777777">
      <w:pPr>
        <w:spacing w:before="120" w:after="120" w:line="276" w:lineRule="auto"/>
        <w:ind w:right="567"/>
        <w:jc w:val="both"/>
        <w:rPr>
          <w:rFonts w:ascii="Aptos" w:hAnsi="Aptos"/>
          <w:b/>
          <w:bCs/>
          <w:sz w:val="22"/>
          <w:szCs w:val="22"/>
        </w:rPr>
      </w:pPr>
      <w:r w:rsidRPr="003617BE">
        <w:rPr>
          <w:rFonts w:ascii="Aptos" w:hAnsi="Aptos"/>
          <w:b/>
          <w:bCs/>
          <w:sz w:val="22"/>
          <w:szCs w:val="22"/>
        </w:rPr>
        <w:t>Jurisdictional Programs</w:t>
      </w:r>
    </w:p>
    <w:p w:rsidRPr="003617BE" w:rsidR="00A16E62" w:rsidP="00E565C5" w:rsidRDefault="00A16E62" w14:paraId="2ED458FF" w14:textId="290C5890">
      <w:pPr>
        <w:spacing w:before="60" w:after="60" w:line="276" w:lineRule="auto"/>
        <w:ind w:right="567"/>
        <w:jc w:val="both"/>
        <w:rPr>
          <w:rFonts w:ascii="Aptos" w:hAnsi="Aptos"/>
          <w:sz w:val="22"/>
          <w:szCs w:val="22"/>
        </w:rPr>
      </w:pPr>
      <w:r w:rsidRPr="67054448" w:rsidR="00A16E62">
        <w:rPr>
          <w:rFonts w:ascii="Aptos" w:hAnsi="Aptos"/>
          <w:sz w:val="22"/>
          <w:szCs w:val="22"/>
        </w:rPr>
        <w:t xml:space="preserve">Jurisdictional Programs are fundamental to achieving results at the territorial level — </w:t>
      </w:r>
      <w:r w:rsidRPr="67054448" w:rsidR="00E229AC">
        <w:rPr>
          <w:rFonts w:ascii="Aptos" w:hAnsi="Aptos"/>
          <w:sz w:val="22"/>
          <w:szCs w:val="22"/>
        </w:rPr>
        <w:t xml:space="preserve">this is particularly relevant </w:t>
      </w:r>
      <w:r w:rsidRPr="67054448" w:rsidR="00A16E62">
        <w:rPr>
          <w:rFonts w:ascii="Aptos" w:hAnsi="Aptos"/>
          <w:sz w:val="22"/>
          <w:szCs w:val="22"/>
        </w:rPr>
        <w:t xml:space="preserve">in Brazil’s case, where implementation challenges are </w:t>
      </w:r>
      <w:r w:rsidRPr="67054448" w:rsidR="00E229AC">
        <w:rPr>
          <w:rFonts w:ascii="Aptos" w:hAnsi="Aptos"/>
          <w:sz w:val="22"/>
          <w:szCs w:val="22"/>
        </w:rPr>
        <w:t>highly</w:t>
      </w:r>
      <w:r w:rsidRPr="67054448" w:rsidR="00A16E62">
        <w:rPr>
          <w:rFonts w:ascii="Aptos" w:hAnsi="Aptos"/>
          <w:sz w:val="22"/>
          <w:szCs w:val="22"/>
        </w:rPr>
        <w:t xml:space="preserve"> complex</w:t>
      </w:r>
      <w:r w:rsidRPr="67054448" w:rsidR="00A16E62">
        <w:rPr>
          <w:rFonts w:ascii="Aptos" w:hAnsi="Aptos"/>
          <w:sz w:val="22"/>
          <w:szCs w:val="22"/>
        </w:rPr>
        <w:t xml:space="preserve">. Given their nature and scale, early-stage funding is critical to support robust governance, stakeholder engagement, and monitoring by subnational governments. </w:t>
      </w:r>
    </w:p>
    <w:p w:rsidRPr="003617BE" w:rsidR="00A16E62" w:rsidP="00E565C5" w:rsidRDefault="00A16E62" w14:paraId="236706FB" w14:textId="5ED69F55">
      <w:pPr>
        <w:spacing w:before="60" w:after="60" w:line="276" w:lineRule="auto"/>
        <w:ind w:right="567"/>
        <w:jc w:val="both"/>
        <w:rPr>
          <w:rFonts w:ascii="Aptos" w:hAnsi="Aptos"/>
          <w:sz w:val="22"/>
          <w:szCs w:val="22"/>
        </w:rPr>
      </w:pPr>
      <w:r w:rsidRPr="003617BE">
        <w:rPr>
          <w:rFonts w:ascii="Aptos" w:hAnsi="Aptos"/>
          <w:sz w:val="22"/>
          <w:szCs w:val="22"/>
        </w:rPr>
        <w:t>Art. 43, §6º of Law 15,042/2024</w:t>
      </w:r>
      <w:r w:rsidRPr="003617BE">
        <w:rPr>
          <w:rStyle w:val="EndnoteReference"/>
          <w:rFonts w:ascii="Aptos" w:hAnsi="Aptos"/>
          <w:sz w:val="22"/>
          <w:szCs w:val="22"/>
        </w:rPr>
        <w:endnoteReference w:id="6"/>
      </w:r>
      <w:r w:rsidRPr="003617BE">
        <w:rPr>
          <w:rFonts w:ascii="Aptos" w:hAnsi="Aptos"/>
          <w:sz w:val="22"/>
          <w:szCs w:val="22"/>
        </w:rPr>
        <w:t xml:space="preserve"> </w:t>
      </w:r>
      <w:r w:rsidRPr="003617BE" w:rsidR="00C41DF0">
        <w:rPr>
          <w:rFonts w:ascii="Aptos" w:hAnsi="Aptos"/>
          <w:sz w:val="22"/>
          <w:szCs w:val="22"/>
        </w:rPr>
        <w:t>restricts</w:t>
      </w:r>
      <w:r w:rsidRPr="003617BE">
        <w:rPr>
          <w:rFonts w:ascii="Aptos" w:hAnsi="Aptos"/>
          <w:sz w:val="22"/>
          <w:szCs w:val="22"/>
        </w:rPr>
        <w:t xml:space="preserve"> the issuance and </w:t>
      </w:r>
      <w:r w:rsidRPr="003617BE" w:rsidR="00EC5070">
        <w:rPr>
          <w:rFonts w:ascii="Aptos" w:hAnsi="Aptos"/>
          <w:sz w:val="22"/>
          <w:szCs w:val="22"/>
        </w:rPr>
        <w:t>sales</w:t>
      </w:r>
      <w:r w:rsidRPr="003617BE">
        <w:rPr>
          <w:rFonts w:ascii="Aptos" w:hAnsi="Aptos"/>
          <w:sz w:val="22"/>
          <w:szCs w:val="22"/>
        </w:rPr>
        <w:t xml:space="preserve"> of emission credits </w:t>
      </w:r>
      <w:r w:rsidRPr="003617BE" w:rsidR="0053535C">
        <w:rPr>
          <w:rFonts w:ascii="Aptos" w:hAnsi="Aptos"/>
          <w:sz w:val="22"/>
          <w:szCs w:val="22"/>
        </w:rPr>
        <w:t xml:space="preserve">that have </w:t>
      </w:r>
      <w:r w:rsidRPr="003617BE">
        <w:rPr>
          <w:rFonts w:ascii="Aptos" w:hAnsi="Aptos"/>
          <w:sz w:val="22"/>
          <w:szCs w:val="22"/>
        </w:rPr>
        <w:t xml:space="preserve">not yet </w:t>
      </w:r>
      <w:r w:rsidRPr="003617BE" w:rsidR="0053535C">
        <w:rPr>
          <w:rFonts w:ascii="Aptos" w:hAnsi="Aptos"/>
          <w:sz w:val="22"/>
          <w:szCs w:val="22"/>
        </w:rPr>
        <w:t xml:space="preserve">been </w:t>
      </w:r>
      <w:r w:rsidRPr="003617BE">
        <w:rPr>
          <w:rFonts w:ascii="Aptos" w:hAnsi="Aptos"/>
          <w:sz w:val="22"/>
          <w:szCs w:val="22"/>
        </w:rPr>
        <w:t xml:space="preserve">generated, including those from jurisdictional programs, as a safeguard </w:t>
      </w:r>
      <w:r w:rsidRPr="003617BE" w:rsidR="00DD18AA">
        <w:rPr>
          <w:rFonts w:ascii="Aptos" w:hAnsi="Aptos"/>
          <w:sz w:val="22"/>
          <w:szCs w:val="22"/>
        </w:rPr>
        <w:t>to prevent</w:t>
      </w:r>
      <w:r w:rsidRPr="003617BE">
        <w:rPr>
          <w:rFonts w:ascii="Aptos" w:hAnsi="Aptos"/>
          <w:sz w:val="22"/>
          <w:szCs w:val="22"/>
        </w:rPr>
        <w:t xml:space="preserve"> double counting. While this </w:t>
      </w:r>
      <w:r w:rsidRPr="003617BE" w:rsidR="001D3905">
        <w:rPr>
          <w:rFonts w:ascii="Aptos" w:hAnsi="Aptos"/>
          <w:sz w:val="22"/>
          <w:szCs w:val="22"/>
        </w:rPr>
        <w:t xml:space="preserve">provision is </w:t>
      </w:r>
      <w:r w:rsidRPr="003617BE" w:rsidR="005360C0">
        <w:rPr>
          <w:rFonts w:ascii="Aptos" w:hAnsi="Aptos"/>
          <w:sz w:val="22"/>
          <w:szCs w:val="22"/>
        </w:rPr>
        <w:t>logic</w:t>
      </w:r>
      <w:r w:rsidRPr="003617BE">
        <w:rPr>
          <w:rFonts w:ascii="Aptos" w:hAnsi="Aptos"/>
          <w:sz w:val="22"/>
          <w:szCs w:val="22"/>
        </w:rPr>
        <w:t xml:space="preserve">, </w:t>
      </w:r>
      <w:r w:rsidRPr="003617BE" w:rsidR="003664DE">
        <w:rPr>
          <w:rFonts w:ascii="Aptos" w:hAnsi="Aptos"/>
          <w:sz w:val="22"/>
          <w:szCs w:val="22"/>
        </w:rPr>
        <w:t>it currently</w:t>
      </w:r>
      <w:r w:rsidRPr="003617BE" w:rsidR="001F60B2">
        <w:rPr>
          <w:rFonts w:ascii="Aptos" w:hAnsi="Aptos"/>
          <w:sz w:val="22"/>
          <w:szCs w:val="22"/>
        </w:rPr>
        <w:t xml:space="preserve"> lacks </w:t>
      </w:r>
      <w:r w:rsidRPr="003617BE" w:rsidR="00D12F26">
        <w:rPr>
          <w:rFonts w:ascii="Aptos" w:hAnsi="Aptos"/>
          <w:sz w:val="22"/>
          <w:szCs w:val="22"/>
        </w:rPr>
        <w:t xml:space="preserve">in providing </w:t>
      </w:r>
      <w:r w:rsidRPr="003617BE" w:rsidR="003664DE">
        <w:rPr>
          <w:rFonts w:ascii="Aptos" w:hAnsi="Aptos"/>
          <w:sz w:val="22"/>
          <w:szCs w:val="22"/>
        </w:rPr>
        <w:t xml:space="preserve">a clear pathway for subnational </w:t>
      </w:r>
      <w:r w:rsidRPr="003617BE" w:rsidR="003C36A4">
        <w:rPr>
          <w:rFonts w:ascii="Aptos" w:hAnsi="Aptos"/>
          <w:sz w:val="22"/>
          <w:szCs w:val="22"/>
        </w:rPr>
        <w:t>governments</w:t>
      </w:r>
      <w:r w:rsidRPr="003617BE" w:rsidR="003664DE">
        <w:rPr>
          <w:rFonts w:ascii="Aptos" w:hAnsi="Aptos"/>
          <w:sz w:val="22"/>
          <w:szCs w:val="22"/>
        </w:rPr>
        <w:t xml:space="preserve"> to </w:t>
      </w:r>
      <w:r w:rsidRPr="003617BE" w:rsidR="00C820B2">
        <w:rPr>
          <w:rFonts w:ascii="Aptos" w:hAnsi="Aptos"/>
          <w:sz w:val="22"/>
          <w:szCs w:val="22"/>
        </w:rPr>
        <w:t>access</w:t>
      </w:r>
      <w:r w:rsidRPr="003617BE" w:rsidR="003664DE">
        <w:rPr>
          <w:rFonts w:ascii="Aptos" w:hAnsi="Aptos"/>
          <w:sz w:val="22"/>
          <w:szCs w:val="22"/>
        </w:rPr>
        <w:t xml:space="preserve"> upfront financing</w:t>
      </w:r>
      <w:r w:rsidRPr="003617BE" w:rsidR="003C36A4">
        <w:rPr>
          <w:rFonts w:ascii="Aptos" w:hAnsi="Aptos"/>
          <w:sz w:val="22"/>
          <w:szCs w:val="22"/>
        </w:rPr>
        <w:t xml:space="preserve"> for establishing their jurisdictional programs</w:t>
      </w:r>
      <w:r w:rsidRPr="003617BE" w:rsidR="003664DE">
        <w:rPr>
          <w:rFonts w:ascii="Aptos" w:hAnsi="Aptos"/>
          <w:sz w:val="22"/>
          <w:szCs w:val="22"/>
        </w:rPr>
        <w:t>.</w:t>
      </w:r>
      <w:r w:rsidRPr="003617BE" w:rsidR="002F2C2B">
        <w:rPr>
          <w:rFonts w:ascii="Aptos" w:hAnsi="Aptos"/>
          <w:sz w:val="22"/>
          <w:szCs w:val="22"/>
        </w:rPr>
        <w:t xml:space="preserve"> Thus,</w:t>
      </w:r>
      <w:r w:rsidRPr="003617BE" w:rsidR="003664DE">
        <w:rPr>
          <w:rFonts w:ascii="Aptos" w:hAnsi="Aptos"/>
          <w:sz w:val="22"/>
          <w:szCs w:val="22"/>
        </w:rPr>
        <w:t xml:space="preserve"> </w:t>
      </w:r>
      <w:r w:rsidRPr="003617BE" w:rsidR="002F2C2B">
        <w:rPr>
          <w:rFonts w:ascii="Aptos" w:hAnsi="Aptos"/>
          <w:sz w:val="22"/>
          <w:szCs w:val="22"/>
        </w:rPr>
        <w:t>i</w:t>
      </w:r>
      <w:r w:rsidRPr="003617BE">
        <w:rPr>
          <w:rFonts w:ascii="Aptos" w:hAnsi="Aptos"/>
          <w:sz w:val="22"/>
          <w:szCs w:val="22"/>
        </w:rPr>
        <w:t xml:space="preserve">t is important to </w:t>
      </w:r>
      <w:r w:rsidRPr="003617BE" w:rsidR="005620D2">
        <w:rPr>
          <w:rFonts w:ascii="Aptos" w:hAnsi="Aptos"/>
          <w:sz w:val="22"/>
          <w:szCs w:val="22"/>
        </w:rPr>
        <w:t xml:space="preserve">clearly </w:t>
      </w:r>
      <w:r w:rsidRPr="003617BE">
        <w:rPr>
          <w:rFonts w:ascii="Aptos" w:hAnsi="Aptos"/>
          <w:sz w:val="22"/>
          <w:szCs w:val="22"/>
        </w:rPr>
        <w:t xml:space="preserve">distinguish this </w:t>
      </w:r>
      <w:r w:rsidRPr="003617BE" w:rsidR="00180774">
        <w:rPr>
          <w:rFonts w:ascii="Aptos" w:hAnsi="Aptos"/>
          <w:sz w:val="22"/>
          <w:szCs w:val="22"/>
        </w:rPr>
        <w:t>restriction</w:t>
      </w:r>
      <w:r w:rsidRPr="003617BE">
        <w:rPr>
          <w:rFonts w:ascii="Aptos" w:hAnsi="Aptos"/>
          <w:sz w:val="22"/>
          <w:szCs w:val="22"/>
        </w:rPr>
        <w:t xml:space="preserve"> from the possibility of preparatory agreements that do not imply the pre-sale of credits</w:t>
      </w:r>
      <w:r w:rsidRPr="003617BE" w:rsidR="000C4AAD">
        <w:rPr>
          <w:rFonts w:ascii="Aptos" w:hAnsi="Aptos"/>
          <w:sz w:val="22"/>
          <w:szCs w:val="22"/>
        </w:rPr>
        <w:t xml:space="preserve"> but establish commercial conditions for the </w:t>
      </w:r>
      <w:r w:rsidRPr="003617BE" w:rsidR="001E3536">
        <w:rPr>
          <w:rFonts w:ascii="Aptos" w:hAnsi="Aptos"/>
          <w:sz w:val="22"/>
          <w:szCs w:val="22"/>
        </w:rPr>
        <w:t xml:space="preserve">eventual </w:t>
      </w:r>
      <w:r w:rsidRPr="003617BE" w:rsidR="000C4AAD">
        <w:rPr>
          <w:rFonts w:ascii="Aptos" w:hAnsi="Aptos"/>
          <w:sz w:val="22"/>
          <w:szCs w:val="22"/>
        </w:rPr>
        <w:t>sale of</w:t>
      </w:r>
      <w:r w:rsidRPr="003617BE" w:rsidR="001E3536">
        <w:rPr>
          <w:rFonts w:ascii="Aptos" w:hAnsi="Aptos"/>
          <w:sz w:val="22"/>
          <w:szCs w:val="22"/>
        </w:rPr>
        <w:t xml:space="preserve"> </w:t>
      </w:r>
      <w:r w:rsidRPr="003617BE" w:rsidR="003A4FF2">
        <w:rPr>
          <w:rFonts w:ascii="Aptos" w:hAnsi="Aptos"/>
          <w:sz w:val="22"/>
          <w:szCs w:val="22"/>
        </w:rPr>
        <w:t xml:space="preserve">verified </w:t>
      </w:r>
      <w:r w:rsidRPr="003617BE" w:rsidR="001E3536">
        <w:rPr>
          <w:rFonts w:ascii="Aptos" w:hAnsi="Aptos"/>
          <w:sz w:val="22"/>
          <w:szCs w:val="22"/>
        </w:rPr>
        <w:t>credits</w:t>
      </w:r>
      <w:r w:rsidRPr="003617BE" w:rsidR="0017566F">
        <w:rPr>
          <w:rFonts w:ascii="Aptos" w:hAnsi="Aptos"/>
          <w:sz w:val="22"/>
          <w:szCs w:val="22"/>
        </w:rPr>
        <w:t xml:space="preserve">. Such agreements </w:t>
      </w:r>
      <w:r w:rsidRPr="003617BE">
        <w:rPr>
          <w:rFonts w:ascii="Aptos" w:hAnsi="Aptos"/>
          <w:sz w:val="22"/>
          <w:szCs w:val="22"/>
        </w:rPr>
        <w:t xml:space="preserve">could </w:t>
      </w:r>
      <w:r w:rsidRPr="003617BE" w:rsidR="0017566F">
        <w:rPr>
          <w:rFonts w:ascii="Aptos" w:hAnsi="Aptos"/>
          <w:sz w:val="22"/>
          <w:szCs w:val="22"/>
        </w:rPr>
        <w:t xml:space="preserve">play a valuable </w:t>
      </w:r>
      <w:r w:rsidRPr="003617BE" w:rsidR="00CB3395">
        <w:rPr>
          <w:rFonts w:ascii="Aptos" w:hAnsi="Aptos"/>
          <w:sz w:val="22"/>
          <w:szCs w:val="22"/>
        </w:rPr>
        <w:t xml:space="preserve">role in supporting </w:t>
      </w:r>
      <w:r w:rsidRPr="003617BE">
        <w:rPr>
          <w:rFonts w:ascii="Aptos" w:hAnsi="Aptos"/>
          <w:sz w:val="22"/>
          <w:szCs w:val="22"/>
        </w:rPr>
        <w:t xml:space="preserve">jurisdictions </w:t>
      </w:r>
      <w:r w:rsidRPr="003617BE" w:rsidR="00CB3395">
        <w:rPr>
          <w:rFonts w:ascii="Aptos" w:hAnsi="Aptos"/>
          <w:sz w:val="22"/>
          <w:szCs w:val="22"/>
        </w:rPr>
        <w:t xml:space="preserve">as they design </w:t>
      </w:r>
      <w:r w:rsidRPr="003617BE" w:rsidR="00C108C1">
        <w:rPr>
          <w:rFonts w:ascii="Aptos" w:hAnsi="Aptos"/>
          <w:sz w:val="22"/>
          <w:szCs w:val="22"/>
        </w:rPr>
        <w:t>their programs with</w:t>
      </w:r>
      <w:r w:rsidRPr="003617BE" w:rsidR="00CB3395">
        <w:rPr>
          <w:rFonts w:ascii="Aptos" w:hAnsi="Aptos"/>
          <w:sz w:val="22"/>
          <w:szCs w:val="22"/>
        </w:rPr>
        <w:t xml:space="preserve"> </w:t>
      </w:r>
      <w:r w:rsidRPr="003617BE" w:rsidR="00DC3D73">
        <w:rPr>
          <w:rFonts w:ascii="Aptos" w:hAnsi="Aptos"/>
          <w:sz w:val="22"/>
          <w:szCs w:val="22"/>
        </w:rPr>
        <w:t>t</w:t>
      </w:r>
      <w:r w:rsidRPr="003617BE" w:rsidR="00CB3395">
        <w:rPr>
          <w:rFonts w:ascii="Aptos" w:hAnsi="Aptos"/>
          <w:sz w:val="22"/>
          <w:szCs w:val="22"/>
        </w:rPr>
        <w:t>he goal of</w:t>
      </w:r>
      <w:r w:rsidRPr="003617BE" w:rsidR="00C108C1">
        <w:rPr>
          <w:rFonts w:ascii="Aptos" w:hAnsi="Aptos"/>
          <w:sz w:val="22"/>
          <w:szCs w:val="22"/>
        </w:rPr>
        <w:t xml:space="preserve"> future integration into regulated or international carbon markets.</w:t>
      </w:r>
      <w:r w:rsidR="00E36C3A">
        <w:rPr>
          <w:rFonts w:ascii="Aptos" w:hAnsi="Aptos"/>
          <w:sz w:val="22"/>
          <w:szCs w:val="22"/>
        </w:rPr>
        <w:t xml:space="preserve"> </w:t>
      </w:r>
      <w:r w:rsidRPr="00A4126E" w:rsidR="00A4126E">
        <w:rPr>
          <w:rFonts w:ascii="Aptos" w:hAnsi="Aptos"/>
          <w:sz w:val="22"/>
          <w:szCs w:val="22"/>
        </w:rPr>
        <w:t>In this context, strengthening the use of forward purchase contracts</w:t>
      </w:r>
      <w:r w:rsidR="00A4126E">
        <w:rPr>
          <w:rFonts w:ascii="Aptos" w:hAnsi="Aptos"/>
          <w:sz w:val="22"/>
          <w:szCs w:val="22"/>
        </w:rPr>
        <w:t xml:space="preserve">, </w:t>
      </w:r>
      <w:r w:rsidRPr="00A4126E" w:rsidR="00A4126E">
        <w:rPr>
          <w:rFonts w:ascii="Aptos" w:hAnsi="Aptos"/>
          <w:sz w:val="22"/>
          <w:szCs w:val="22"/>
        </w:rPr>
        <w:t>particularly with public institutions or blended finance structures</w:t>
      </w:r>
      <w:r w:rsidR="00A4126E">
        <w:rPr>
          <w:rFonts w:ascii="Aptos" w:hAnsi="Aptos"/>
          <w:sz w:val="22"/>
          <w:szCs w:val="22"/>
        </w:rPr>
        <w:t xml:space="preserve">, </w:t>
      </w:r>
      <w:r w:rsidRPr="00A4126E" w:rsidR="00A4126E">
        <w:rPr>
          <w:rFonts w:ascii="Aptos" w:hAnsi="Aptos"/>
          <w:sz w:val="22"/>
          <w:szCs w:val="22"/>
        </w:rPr>
        <w:t>may help reduce uncertainty and offer predictable revenue streams for future credit-generating activities. While not involving the transfer of unverified credits, these instruments can enhance financial viability, stabilize market expectations, and unlock capital for the early phases of program development.</w:t>
      </w:r>
    </w:p>
    <w:p w:rsidR="002E24EB" w:rsidP="00E565C5" w:rsidRDefault="00A16E62" w14:paraId="10D0C001" w14:textId="2BFB3A2B">
      <w:pPr>
        <w:spacing w:before="60" w:after="60" w:line="276" w:lineRule="auto"/>
        <w:ind w:right="567"/>
        <w:jc w:val="both"/>
        <w:rPr>
          <w:rFonts w:ascii="Aptos" w:hAnsi="Aptos"/>
          <w:sz w:val="22"/>
          <w:szCs w:val="22"/>
        </w:rPr>
      </w:pPr>
      <w:r w:rsidRPr="003617BE">
        <w:rPr>
          <w:rFonts w:ascii="Aptos" w:hAnsi="Aptos"/>
          <w:sz w:val="22"/>
          <w:szCs w:val="22"/>
        </w:rPr>
        <w:t xml:space="preserve">The law also </w:t>
      </w:r>
      <w:r w:rsidRPr="003617BE" w:rsidR="005E1D4A">
        <w:rPr>
          <w:rFonts w:ascii="Aptos" w:hAnsi="Aptos"/>
          <w:sz w:val="22"/>
          <w:szCs w:val="22"/>
        </w:rPr>
        <w:t>acknowledges</w:t>
      </w:r>
      <w:r w:rsidRPr="003617BE">
        <w:rPr>
          <w:rFonts w:ascii="Aptos" w:hAnsi="Aptos"/>
          <w:sz w:val="22"/>
          <w:szCs w:val="22"/>
        </w:rPr>
        <w:t xml:space="preserve"> (Art. 43, §7º</w:t>
      </w:r>
      <w:r w:rsidR="004C60A0">
        <w:rPr>
          <w:rFonts w:ascii="Aptos" w:hAnsi="Aptos"/>
          <w:sz w:val="22"/>
          <w:szCs w:val="22"/>
        </w:rPr>
        <w:t>)</w:t>
      </w:r>
      <w:r w:rsidRPr="003617BE">
        <w:rPr>
          <w:rFonts w:ascii="Aptos" w:hAnsi="Aptos"/>
          <w:sz w:val="22"/>
          <w:szCs w:val="22"/>
        </w:rPr>
        <w:t xml:space="preserve"> landowners and usufructuaries</w:t>
      </w:r>
      <w:r w:rsidR="00B618F9">
        <w:rPr>
          <w:rFonts w:ascii="Aptos" w:hAnsi="Aptos"/>
          <w:sz w:val="22"/>
          <w:szCs w:val="22"/>
        </w:rPr>
        <w:t>’ right</w:t>
      </w:r>
      <w:r w:rsidRPr="003617BE">
        <w:rPr>
          <w:rFonts w:ascii="Aptos" w:hAnsi="Aptos"/>
          <w:sz w:val="22"/>
          <w:szCs w:val="22"/>
        </w:rPr>
        <w:t xml:space="preserve"> to opt out of jurisdictional programs and </w:t>
      </w:r>
      <w:r w:rsidRPr="003617BE" w:rsidR="00413796">
        <w:rPr>
          <w:rFonts w:ascii="Aptos" w:hAnsi="Aptos"/>
          <w:sz w:val="22"/>
          <w:szCs w:val="22"/>
        </w:rPr>
        <w:t>operate</w:t>
      </w:r>
      <w:r w:rsidRPr="003617BE">
        <w:rPr>
          <w:rFonts w:ascii="Aptos" w:hAnsi="Aptos"/>
          <w:sz w:val="22"/>
          <w:szCs w:val="22"/>
        </w:rPr>
        <w:t xml:space="preserve"> independently. </w:t>
      </w:r>
      <w:r w:rsidRPr="003617BE">
        <w:rPr>
          <w:rStyle w:val="EndnoteReference"/>
          <w:rFonts w:ascii="Aptos" w:hAnsi="Aptos"/>
          <w:sz w:val="22"/>
          <w:szCs w:val="22"/>
        </w:rPr>
        <w:endnoteReference w:id="7"/>
      </w:r>
      <w:r w:rsidRPr="003617BE">
        <w:rPr>
          <w:rFonts w:ascii="Aptos" w:hAnsi="Aptos"/>
          <w:sz w:val="22"/>
          <w:szCs w:val="22"/>
        </w:rPr>
        <w:t xml:space="preserve"> </w:t>
      </w:r>
      <w:r w:rsidRPr="00751327" w:rsidR="00751327">
        <w:rPr>
          <w:rFonts w:ascii="Aptos" w:hAnsi="Aptos"/>
          <w:sz w:val="22"/>
          <w:szCs w:val="22"/>
        </w:rPr>
        <w:t xml:space="preserve">While this provision respects property rights, its effective implementation will depend on </w:t>
      </w:r>
      <w:r w:rsidR="008F08B9">
        <w:rPr>
          <w:rFonts w:ascii="Aptos" w:hAnsi="Aptos"/>
          <w:sz w:val="22"/>
          <w:szCs w:val="22"/>
        </w:rPr>
        <w:t>nesting</w:t>
      </w:r>
      <w:r w:rsidRPr="00751327" w:rsidR="00751327">
        <w:rPr>
          <w:rFonts w:ascii="Aptos" w:hAnsi="Aptos"/>
          <w:sz w:val="22"/>
          <w:szCs w:val="22"/>
        </w:rPr>
        <w:t xml:space="preserve"> across subnational programs and private areas to ensure the robustness of the national accounting system</w:t>
      </w:r>
      <w:r w:rsidRPr="003617BE">
        <w:rPr>
          <w:rFonts w:ascii="Aptos" w:hAnsi="Aptos"/>
          <w:sz w:val="22"/>
          <w:szCs w:val="22"/>
        </w:rPr>
        <w:t xml:space="preserve">. </w:t>
      </w:r>
      <w:r w:rsidRPr="00377420" w:rsidR="00377420">
        <w:rPr>
          <w:rFonts w:ascii="Aptos" w:hAnsi="Aptos"/>
          <w:sz w:val="22"/>
          <w:szCs w:val="22"/>
        </w:rPr>
        <w:t xml:space="preserve">It is equally important to align these approaches with coherent nesting frameworks that maintain environmental integrity and avoid double counting. Ensuring consistency in how opt-out discounts are applied is also key, </w:t>
      </w:r>
      <w:r w:rsidRPr="002D25A3" w:rsidR="002D25A3">
        <w:rPr>
          <w:rFonts w:ascii="Aptos" w:hAnsi="Aptos"/>
          <w:sz w:val="22"/>
          <w:szCs w:val="22"/>
        </w:rPr>
        <w:t xml:space="preserve">including whether they vary by </w:t>
      </w:r>
      <w:r w:rsidRPr="002D25A3" w:rsidR="002D25A3">
        <w:rPr>
          <w:rFonts w:ascii="Aptos" w:hAnsi="Aptos"/>
          <w:sz w:val="22"/>
          <w:szCs w:val="22"/>
        </w:rPr>
        <w:lastRenderedPageBreak/>
        <w:t>project methodology or timing of the opt-out request</w:t>
      </w:r>
      <w:r w:rsidR="002D25A3">
        <w:rPr>
          <w:rFonts w:ascii="Aptos" w:hAnsi="Aptos"/>
          <w:sz w:val="22"/>
          <w:szCs w:val="22"/>
        </w:rPr>
        <w:t xml:space="preserve">, </w:t>
      </w:r>
      <w:r w:rsidRPr="00377420" w:rsidR="00377420">
        <w:rPr>
          <w:rFonts w:ascii="Aptos" w:hAnsi="Aptos"/>
          <w:sz w:val="22"/>
          <w:szCs w:val="22"/>
        </w:rPr>
        <w:t>particularly as future projects may adopt methodologies that were not yet defined at the time of exclusion</w:t>
      </w:r>
      <w:r w:rsidR="00935C6C">
        <w:t>.</w:t>
      </w:r>
    </w:p>
    <w:p w:rsidRPr="00171AD4" w:rsidR="00AB5333" w:rsidP="00E565C5" w:rsidRDefault="00060305" w14:paraId="553D8BF2" w14:textId="3E9C33A5">
      <w:pPr>
        <w:spacing w:before="60" w:after="60" w:line="276" w:lineRule="auto"/>
        <w:ind w:right="567"/>
        <w:jc w:val="both"/>
        <w:rPr>
          <w:rFonts w:ascii="Aptos" w:hAnsi="Aptos"/>
          <w:sz w:val="22"/>
          <w:szCs w:val="22"/>
          <w:lang w:val="en-CA"/>
        </w:rPr>
      </w:pPr>
      <w:r w:rsidRPr="00060305">
        <w:rPr>
          <w:rFonts w:ascii="Aptos" w:hAnsi="Aptos"/>
          <w:sz w:val="22"/>
          <w:szCs w:val="22"/>
        </w:rPr>
        <w:t>Another important aspect is the distribution of revenue to landowners. Transparent benefit-sharing mechanisms and adaptable implementation will be fundamental to securing stakeholder engagement, enhancing cost-effectiveness, and supporting the long-term success of jurisdictional programs</w:t>
      </w:r>
      <w:r>
        <w:rPr>
          <w:rFonts w:ascii="Aptos" w:hAnsi="Aptos"/>
          <w:sz w:val="22"/>
          <w:szCs w:val="22"/>
        </w:rPr>
        <w:t>,</w:t>
      </w:r>
      <w:r w:rsidR="00014947">
        <w:rPr>
          <w:rFonts w:ascii="Aptos" w:hAnsi="Aptos"/>
          <w:sz w:val="22"/>
          <w:szCs w:val="22"/>
        </w:rPr>
        <w:t xml:space="preserve"> </w:t>
      </w:r>
      <w:r w:rsidRPr="00060305">
        <w:rPr>
          <w:rFonts w:ascii="Aptos" w:hAnsi="Aptos"/>
          <w:sz w:val="22"/>
          <w:szCs w:val="22"/>
        </w:rPr>
        <w:t>aligned with Brazil’s goal of ending deforestation in the Legal Amazon by 2030</w:t>
      </w:r>
      <w:r w:rsidRPr="003617BE" w:rsidR="00A77F97">
        <w:rPr>
          <w:rFonts w:ascii="Aptos" w:hAnsi="Aptos"/>
          <w:sz w:val="22"/>
          <w:szCs w:val="22"/>
        </w:rPr>
        <w:t>.</w:t>
      </w:r>
      <w:r w:rsidRPr="003617BE" w:rsidR="00A16E62">
        <w:rPr>
          <w:rStyle w:val="EndnoteReference"/>
          <w:rFonts w:ascii="Aptos" w:hAnsi="Aptos"/>
          <w:i/>
          <w:iCs/>
          <w:sz w:val="22"/>
          <w:szCs w:val="22"/>
        </w:rPr>
        <w:endnoteReference w:id="8"/>
      </w:r>
      <w:r w:rsidRPr="003617BE" w:rsidR="00A16E62">
        <w:rPr>
          <w:rFonts w:ascii="Aptos" w:hAnsi="Aptos"/>
          <w:i/>
          <w:iCs/>
          <w:sz w:val="22"/>
          <w:szCs w:val="22"/>
        </w:rPr>
        <w:t xml:space="preserve"> </w:t>
      </w:r>
      <w:r w:rsidRPr="00014947" w:rsidR="00014947">
        <w:rPr>
          <w:rFonts w:ascii="Aptos" w:hAnsi="Aptos"/>
          <w:sz w:val="22"/>
          <w:szCs w:val="22"/>
          <w:lang w:val="en-CA"/>
        </w:rPr>
        <w:t>At the same time, ensuring that flexibility is leveraged with predictability and legal certainty will be key to enabling the government to provide corresponding adjustments where appropriate, thereby maintaining the environmental integrity of carbon markets and making domestic projects more attractive to investors</w:t>
      </w:r>
      <w:r w:rsidR="00014947">
        <w:rPr>
          <w:rFonts w:ascii="Aptos" w:hAnsi="Aptos"/>
          <w:sz w:val="22"/>
          <w:szCs w:val="22"/>
          <w:lang w:val="en-CA"/>
        </w:rPr>
        <w:t xml:space="preserve">. </w:t>
      </w:r>
    </w:p>
    <w:p w:rsidRPr="003617BE" w:rsidR="000F0837" w:rsidP="00E565C5" w:rsidRDefault="00003C97" w14:paraId="19301871" w14:textId="148014F4">
      <w:pPr>
        <w:spacing w:before="60" w:after="60" w:line="276" w:lineRule="auto"/>
        <w:ind w:right="567"/>
        <w:jc w:val="both"/>
        <w:rPr>
          <w:rFonts w:ascii="Aptos" w:hAnsi="Aptos"/>
          <w:sz w:val="22"/>
          <w:szCs w:val="22"/>
        </w:rPr>
      </w:pPr>
      <w:r w:rsidRPr="003617BE">
        <w:rPr>
          <w:rFonts w:ascii="Aptos" w:hAnsi="Aptos"/>
          <w:sz w:val="22"/>
          <w:szCs w:val="22"/>
        </w:rPr>
        <w:t>Although</w:t>
      </w:r>
      <w:r w:rsidRPr="003617BE">
        <w:rPr>
          <w:rFonts w:ascii="Aptos" w:hAnsi="Aptos"/>
          <w:i/>
          <w:iCs/>
          <w:sz w:val="22"/>
          <w:szCs w:val="22"/>
        </w:rPr>
        <w:t xml:space="preserve"> </w:t>
      </w:r>
      <w:r w:rsidRPr="003617BE" w:rsidR="00A16E62">
        <w:rPr>
          <w:rFonts w:ascii="Aptos" w:hAnsi="Aptos"/>
          <w:sz w:val="22"/>
          <w:szCs w:val="22"/>
        </w:rPr>
        <w:t xml:space="preserve">§17 º guarantees proportional revenue-sharing when </w:t>
      </w:r>
      <w:r w:rsidRPr="003617BE" w:rsidR="00691FAC">
        <w:rPr>
          <w:rFonts w:ascii="Aptos" w:hAnsi="Aptos"/>
          <w:sz w:val="22"/>
          <w:szCs w:val="22"/>
        </w:rPr>
        <w:t>emissions reductions occur</w:t>
      </w:r>
      <w:r w:rsidRPr="003617BE" w:rsidR="00A16E62">
        <w:rPr>
          <w:rFonts w:ascii="Aptos" w:hAnsi="Aptos"/>
          <w:sz w:val="22"/>
          <w:szCs w:val="22"/>
        </w:rPr>
        <w:t xml:space="preserve"> on private lands</w:t>
      </w:r>
      <w:r w:rsidRPr="003617BE">
        <w:rPr>
          <w:rFonts w:ascii="Aptos" w:hAnsi="Aptos"/>
          <w:sz w:val="22"/>
          <w:szCs w:val="22"/>
        </w:rPr>
        <w:t>, overly</w:t>
      </w:r>
      <w:r w:rsidRPr="003617BE" w:rsidR="00A16E62">
        <w:rPr>
          <w:rFonts w:ascii="Aptos" w:hAnsi="Aptos"/>
          <w:sz w:val="22"/>
          <w:szCs w:val="22"/>
        </w:rPr>
        <w:t xml:space="preserve"> rigid interpretation</w:t>
      </w:r>
      <w:r w:rsidRPr="003617BE">
        <w:rPr>
          <w:rFonts w:ascii="Aptos" w:hAnsi="Aptos"/>
          <w:sz w:val="22"/>
          <w:szCs w:val="22"/>
        </w:rPr>
        <w:t>s</w:t>
      </w:r>
      <w:r w:rsidR="006F2A10">
        <w:rPr>
          <w:rFonts w:ascii="Aptos" w:hAnsi="Aptos"/>
          <w:sz w:val="22"/>
          <w:szCs w:val="22"/>
        </w:rPr>
        <w:t xml:space="preserve">, </w:t>
      </w:r>
      <w:r w:rsidRPr="003617BE">
        <w:rPr>
          <w:rFonts w:ascii="Aptos" w:hAnsi="Aptos"/>
          <w:sz w:val="22"/>
          <w:szCs w:val="22"/>
        </w:rPr>
        <w:t xml:space="preserve">such as </w:t>
      </w:r>
      <w:r w:rsidRPr="003617BE" w:rsidR="00A16E62">
        <w:rPr>
          <w:rFonts w:ascii="Aptos" w:hAnsi="Aptos"/>
          <w:sz w:val="22"/>
          <w:szCs w:val="22"/>
        </w:rPr>
        <w:t xml:space="preserve">requiring the full transfer of credit value, </w:t>
      </w:r>
      <w:r w:rsidRPr="003617BE" w:rsidR="009A574D">
        <w:rPr>
          <w:rFonts w:ascii="Aptos" w:hAnsi="Aptos"/>
          <w:sz w:val="22"/>
          <w:szCs w:val="22"/>
        </w:rPr>
        <w:t>could undermine</w:t>
      </w:r>
      <w:r w:rsidRPr="003617BE" w:rsidR="00A16E62">
        <w:rPr>
          <w:rFonts w:ascii="Aptos" w:hAnsi="Aptos"/>
          <w:sz w:val="22"/>
          <w:szCs w:val="22"/>
        </w:rPr>
        <w:t xml:space="preserve"> </w:t>
      </w:r>
      <w:r w:rsidRPr="003617BE" w:rsidR="009A574D">
        <w:rPr>
          <w:rFonts w:ascii="Aptos" w:hAnsi="Aptos"/>
          <w:sz w:val="22"/>
          <w:szCs w:val="22"/>
        </w:rPr>
        <w:t xml:space="preserve">the viability of jurisdictional </w:t>
      </w:r>
      <w:r w:rsidRPr="003617BE" w:rsidR="00A16E62">
        <w:rPr>
          <w:rFonts w:ascii="Aptos" w:hAnsi="Aptos"/>
          <w:sz w:val="22"/>
          <w:szCs w:val="22"/>
        </w:rPr>
        <w:t>program</w:t>
      </w:r>
      <w:r w:rsidRPr="003617BE" w:rsidR="009A574D">
        <w:rPr>
          <w:rFonts w:ascii="Aptos" w:hAnsi="Aptos"/>
          <w:sz w:val="22"/>
          <w:szCs w:val="22"/>
        </w:rPr>
        <w:t>s</w:t>
      </w:r>
      <w:r w:rsidR="006F2A10">
        <w:rPr>
          <w:rFonts w:ascii="Aptos" w:hAnsi="Aptos"/>
          <w:sz w:val="22"/>
          <w:szCs w:val="22"/>
        </w:rPr>
        <w:t xml:space="preserve"> </w:t>
      </w:r>
      <w:r w:rsidRPr="003617BE" w:rsidR="00B75012">
        <w:rPr>
          <w:rFonts w:ascii="Aptos" w:hAnsi="Aptos"/>
          <w:sz w:val="22"/>
          <w:szCs w:val="22"/>
        </w:rPr>
        <w:t>by restricting the financial resources available to states for implementation and monitoring</w:t>
      </w:r>
      <w:r w:rsidRPr="003617BE" w:rsidR="0052135E">
        <w:rPr>
          <w:rFonts w:ascii="Aptos" w:hAnsi="Aptos"/>
          <w:sz w:val="22"/>
          <w:szCs w:val="22"/>
        </w:rPr>
        <w:t>.</w:t>
      </w:r>
      <w:r w:rsidRPr="003617BE" w:rsidR="00371F9D">
        <w:rPr>
          <w:rFonts w:ascii="Aptos" w:hAnsi="Aptos"/>
          <w:sz w:val="22"/>
          <w:szCs w:val="22"/>
        </w:rPr>
        <w:t xml:space="preserve"> </w:t>
      </w:r>
    </w:p>
    <w:p w:rsidRPr="003617BE" w:rsidR="005A3F85" w:rsidP="00E565C5" w:rsidRDefault="00D31AB7" w14:paraId="3F156AD1" w14:textId="6D9B755A">
      <w:pPr>
        <w:spacing w:before="120" w:after="120" w:line="276" w:lineRule="auto"/>
        <w:ind w:right="567"/>
        <w:jc w:val="both"/>
        <w:rPr>
          <w:rFonts w:ascii="Aptos" w:hAnsi="Aptos"/>
          <w:b/>
          <w:bCs/>
          <w:sz w:val="22"/>
          <w:szCs w:val="22"/>
        </w:rPr>
      </w:pPr>
      <w:r w:rsidRPr="003617BE">
        <w:rPr>
          <w:rFonts w:ascii="Aptos" w:hAnsi="Aptos"/>
          <w:b/>
          <w:bCs/>
          <w:sz w:val="22"/>
          <w:szCs w:val="22"/>
        </w:rPr>
        <w:t>Governance</w:t>
      </w:r>
    </w:p>
    <w:p w:rsidRPr="003617BE" w:rsidR="00900F9E" w:rsidP="00E565C5" w:rsidRDefault="00900F9E" w14:paraId="50DE8414" w14:textId="10B0A27F">
      <w:pPr>
        <w:spacing w:before="60" w:after="60" w:line="276" w:lineRule="auto"/>
        <w:ind w:right="567"/>
        <w:jc w:val="both"/>
        <w:rPr>
          <w:rFonts w:ascii="Aptos" w:hAnsi="Aptos"/>
          <w:sz w:val="22"/>
          <w:szCs w:val="22"/>
        </w:rPr>
      </w:pPr>
      <w:r w:rsidRPr="003617BE">
        <w:rPr>
          <w:rFonts w:ascii="Aptos" w:hAnsi="Aptos"/>
          <w:sz w:val="22"/>
          <w:szCs w:val="22"/>
        </w:rPr>
        <w:t>Given the potential impact of the SBCE on regulated sectors</w:t>
      </w:r>
      <w:r w:rsidRPr="003617BE" w:rsidR="00A3395C">
        <w:rPr>
          <w:rFonts w:ascii="Aptos" w:hAnsi="Aptos"/>
          <w:sz w:val="22"/>
          <w:szCs w:val="22"/>
        </w:rPr>
        <w:t>,</w:t>
      </w:r>
      <w:r w:rsidRPr="003617BE">
        <w:rPr>
          <w:rFonts w:ascii="Aptos" w:hAnsi="Aptos"/>
          <w:sz w:val="22"/>
          <w:szCs w:val="22"/>
        </w:rPr>
        <w:t xml:space="preserve"> and the </w:t>
      </w:r>
      <w:r w:rsidRPr="003617BE" w:rsidR="0074717F">
        <w:rPr>
          <w:rFonts w:ascii="Aptos" w:hAnsi="Aptos"/>
          <w:sz w:val="22"/>
          <w:szCs w:val="22"/>
        </w:rPr>
        <w:t>valuable</w:t>
      </w:r>
      <w:r w:rsidRPr="003617BE">
        <w:rPr>
          <w:rFonts w:ascii="Aptos" w:hAnsi="Aptos"/>
          <w:sz w:val="22"/>
          <w:szCs w:val="22"/>
        </w:rPr>
        <w:t xml:space="preserve"> technical knowledge these sectors </w:t>
      </w:r>
      <w:r w:rsidRPr="003617BE" w:rsidR="0074717F">
        <w:rPr>
          <w:rFonts w:ascii="Aptos" w:hAnsi="Aptos"/>
          <w:sz w:val="22"/>
          <w:szCs w:val="22"/>
        </w:rPr>
        <w:t xml:space="preserve">possess </w:t>
      </w:r>
      <w:r w:rsidRPr="003617BE">
        <w:rPr>
          <w:rFonts w:ascii="Aptos" w:hAnsi="Aptos"/>
          <w:sz w:val="22"/>
          <w:szCs w:val="22"/>
        </w:rPr>
        <w:t xml:space="preserve">regarding their own decarbonization </w:t>
      </w:r>
      <w:r w:rsidRPr="003617BE" w:rsidR="005F0683">
        <w:rPr>
          <w:rFonts w:ascii="Aptos" w:hAnsi="Aptos"/>
          <w:sz w:val="22"/>
          <w:szCs w:val="22"/>
        </w:rPr>
        <w:t xml:space="preserve">pathways, </w:t>
      </w:r>
      <w:r w:rsidRPr="003617BE" w:rsidDel="00A3395C" w:rsidR="005F0683">
        <w:rPr>
          <w:rFonts w:ascii="Aptos" w:hAnsi="Aptos"/>
          <w:sz w:val="22"/>
          <w:szCs w:val="22"/>
        </w:rPr>
        <w:t>it</w:t>
      </w:r>
      <w:r w:rsidRPr="003617BE">
        <w:rPr>
          <w:rFonts w:ascii="Aptos" w:hAnsi="Aptos"/>
          <w:sz w:val="22"/>
          <w:szCs w:val="22"/>
        </w:rPr>
        <w:t xml:space="preserve"> </w:t>
      </w:r>
      <w:r w:rsidRPr="003617BE" w:rsidR="0074717F">
        <w:rPr>
          <w:rFonts w:ascii="Aptos" w:hAnsi="Aptos"/>
          <w:sz w:val="22"/>
          <w:szCs w:val="22"/>
        </w:rPr>
        <w:t xml:space="preserve">will </w:t>
      </w:r>
      <w:r w:rsidRPr="003617BE" w:rsidR="0094434E">
        <w:rPr>
          <w:rFonts w:ascii="Aptos" w:hAnsi="Aptos"/>
          <w:sz w:val="22"/>
          <w:szCs w:val="22"/>
        </w:rPr>
        <w:t>be essential</w:t>
      </w:r>
      <w:r w:rsidRPr="003617BE">
        <w:rPr>
          <w:rFonts w:ascii="Aptos" w:hAnsi="Aptos"/>
          <w:sz w:val="22"/>
          <w:szCs w:val="22"/>
        </w:rPr>
        <w:t xml:space="preserve"> to </w:t>
      </w:r>
      <w:r w:rsidRPr="003617BE" w:rsidR="0074717F">
        <w:rPr>
          <w:rFonts w:ascii="Aptos" w:hAnsi="Aptos"/>
          <w:sz w:val="22"/>
          <w:szCs w:val="22"/>
        </w:rPr>
        <w:t>ensure</w:t>
      </w:r>
      <w:r w:rsidRPr="003617BE" w:rsidR="000077B2">
        <w:rPr>
          <w:rFonts w:ascii="Aptos" w:hAnsi="Aptos"/>
          <w:sz w:val="22"/>
          <w:szCs w:val="22"/>
        </w:rPr>
        <w:t xml:space="preserve"> their </w:t>
      </w:r>
      <w:r w:rsidRPr="003617BE" w:rsidR="0074717F">
        <w:rPr>
          <w:rFonts w:ascii="Aptos" w:hAnsi="Aptos"/>
          <w:sz w:val="22"/>
          <w:szCs w:val="22"/>
        </w:rPr>
        <w:t xml:space="preserve">active </w:t>
      </w:r>
      <w:r w:rsidRPr="003617BE" w:rsidR="000077B2">
        <w:rPr>
          <w:rFonts w:ascii="Aptos" w:hAnsi="Aptos"/>
          <w:sz w:val="22"/>
          <w:szCs w:val="22"/>
        </w:rPr>
        <w:t>participatio</w:t>
      </w:r>
      <w:r w:rsidRPr="003617BE" w:rsidR="005F0683">
        <w:rPr>
          <w:rFonts w:ascii="Aptos" w:hAnsi="Aptos"/>
          <w:sz w:val="22"/>
          <w:szCs w:val="22"/>
        </w:rPr>
        <w:t>n</w:t>
      </w:r>
      <w:r w:rsidRPr="003617BE" w:rsidR="0074717F">
        <w:rPr>
          <w:rFonts w:ascii="Aptos" w:hAnsi="Aptos"/>
          <w:sz w:val="22"/>
          <w:szCs w:val="22"/>
        </w:rPr>
        <w:t xml:space="preserve"> </w:t>
      </w:r>
      <w:r w:rsidRPr="003617BE" w:rsidR="00F01E5D">
        <w:rPr>
          <w:rFonts w:ascii="Aptos" w:hAnsi="Aptos"/>
          <w:sz w:val="22"/>
          <w:szCs w:val="22"/>
        </w:rPr>
        <w:t xml:space="preserve">in </w:t>
      </w:r>
      <w:r w:rsidRPr="003617BE">
        <w:rPr>
          <w:rFonts w:ascii="Aptos" w:hAnsi="Aptos"/>
          <w:sz w:val="22"/>
          <w:szCs w:val="22"/>
        </w:rPr>
        <w:t xml:space="preserve">formal spaces during the implementation phase. </w:t>
      </w:r>
      <w:r w:rsidRPr="003617BE" w:rsidR="006B07D6">
        <w:rPr>
          <w:rFonts w:ascii="Aptos" w:hAnsi="Aptos"/>
          <w:sz w:val="22"/>
          <w:szCs w:val="22"/>
        </w:rPr>
        <w:t xml:space="preserve">As part of the interim </w:t>
      </w:r>
      <w:r w:rsidRPr="003617BE" w:rsidR="005874DA">
        <w:rPr>
          <w:rFonts w:ascii="Aptos" w:hAnsi="Aptos"/>
          <w:sz w:val="22"/>
          <w:szCs w:val="22"/>
        </w:rPr>
        <w:t>governance</w:t>
      </w:r>
      <w:r w:rsidRPr="003617BE" w:rsidR="006B07D6">
        <w:rPr>
          <w:rFonts w:ascii="Aptos" w:hAnsi="Aptos"/>
          <w:sz w:val="22"/>
          <w:szCs w:val="22"/>
        </w:rPr>
        <w:t xml:space="preserve"> structure, </w:t>
      </w:r>
      <w:r w:rsidRPr="003617BE" w:rsidR="005874DA">
        <w:rPr>
          <w:rFonts w:ascii="Aptos" w:hAnsi="Aptos"/>
          <w:sz w:val="22"/>
          <w:szCs w:val="22"/>
        </w:rPr>
        <w:t xml:space="preserve">establishing </w:t>
      </w:r>
      <w:r w:rsidRPr="003617BE" w:rsidR="006B07D6">
        <w:rPr>
          <w:rFonts w:ascii="Aptos" w:hAnsi="Aptos"/>
          <w:sz w:val="22"/>
          <w:szCs w:val="22"/>
        </w:rPr>
        <w:t xml:space="preserve">a Consultative Technical Committee with meaningful </w:t>
      </w:r>
      <w:r w:rsidRPr="003617BE" w:rsidR="00C2682D">
        <w:rPr>
          <w:rFonts w:ascii="Aptos" w:hAnsi="Aptos"/>
          <w:sz w:val="22"/>
          <w:szCs w:val="22"/>
        </w:rPr>
        <w:t>representation from the</w:t>
      </w:r>
      <w:r w:rsidRPr="003617BE" w:rsidR="006B07D6">
        <w:rPr>
          <w:rFonts w:ascii="Aptos" w:hAnsi="Aptos"/>
          <w:sz w:val="22"/>
          <w:szCs w:val="22"/>
        </w:rPr>
        <w:t xml:space="preserve"> private sector</w:t>
      </w:r>
      <w:r w:rsidR="007B0ED3">
        <w:rPr>
          <w:rFonts w:ascii="Aptos" w:hAnsi="Aptos"/>
          <w:sz w:val="22"/>
          <w:szCs w:val="22"/>
        </w:rPr>
        <w:t xml:space="preserve"> </w:t>
      </w:r>
      <w:r w:rsidRPr="007B0ED3" w:rsidR="007B0ED3">
        <w:rPr>
          <w:rFonts w:ascii="Aptos" w:hAnsi="Aptos"/>
          <w:sz w:val="22"/>
          <w:szCs w:val="22"/>
        </w:rPr>
        <w:t>along with experts in areas like economics, project and corporate finance, and industry policy</w:t>
      </w:r>
      <w:r w:rsidR="007B0ED3">
        <w:rPr>
          <w:rFonts w:ascii="Aptos" w:hAnsi="Aptos"/>
          <w:sz w:val="22"/>
          <w:szCs w:val="22"/>
        </w:rPr>
        <w:t xml:space="preserve"> </w:t>
      </w:r>
      <w:r w:rsidRPr="003617BE" w:rsidR="006B07D6">
        <w:rPr>
          <w:rFonts w:ascii="Aptos" w:hAnsi="Aptos"/>
          <w:sz w:val="22"/>
          <w:szCs w:val="22"/>
        </w:rPr>
        <w:t xml:space="preserve">would help </w:t>
      </w:r>
      <w:r w:rsidRPr="003617BE" w:rsidR="007D5D2E">
        <w:rPr>
          <w:rFonts w:ascii="Aptos" w:hAnsi="Aptos"/>
          <w:sz w:val="22"/>
          <w:szCs w:val="22"/>
        </w:rPr>
        <w:t>ground</w:t>
      </w:r>
      <w:r w:rsidRPr="003617BE" w:rsidR="006B07D6">
        <w:rPr>
          <w:rFonts w:ascii="Aptos" w:hAnsi="Aptos"/>
          <w:sz w:val="22"/>
          <w:szCs w:val="22"/>
        </w:rPr>
        <w:t xml:space="preserve"> the system </w:t>
      </w:r>
      <w:r w:rsidRPr="003617BE" w:rsidR="00145462">
        <w:rPr>
          <w:rFonts w:ascii="Aptos" w:hAnsi="Aptos"/>
          <w:sz w:val="22"/>
          <w:szCs w:val="22"/>
        </w:rPr>
        <w:t>considering</w:t>
      </w:r>
      <w:r w:rsidRPr="003617BE" w:rsidR="00245653">
        <w:rPr>
          <w:rFonts w:ascii="Aptos" w:hAnsi="Aptos"/>
          <w:sz w:val="22"/>
          <w:szCs w:val="22"/>
        </w:rPr>
        <w:t xml:space="preserve"> </w:t>
      </w:r>
      <w:r w:rsidRPr="003617BE" w:rsidR="006B07D6">
        <w:rPr>
          <w:rFonts w:ascii="Aptos" w:hAnsi="Aptos"/>
          <w:sz w:val="22"/>
          <w:szCs w:val="22"/>
        </w:rPr>
        <w:t xml:space="preserve">on-the-ground realities. </w:t>
      </w:r>
      <w:r w:rsidRPr="00811CF6" w:rsidR="00811CF6">
        <w:rPr>
          <w:rFonts w:ascii="Aptos" w:hAnsi="Aptos"/>
          <w:sz w:val="22"/>
          <w:szCs w:val="22"/>
        </w:rPr>
        <w:t xml:space="preserve">Involving a variety of </w:t>
      </w:r>
      <w:r w:rsidR="00F9423A">
        <w:rPr>
          <w:rFonts w:ascii="Aptos" w:hAnsi="Aptos"/>
          <w:sz w:val="22"/>
          <w:szCs w:val="22"/>
        </w:rPr>
        <w:t>experts from</w:t>
      </w:r>
      <w:r w:rsidRPr="00811CF6" w:rsidR="00811CF6">
        <w:rPr>
          <w:rFonts w:ascii="Aptos" w:hAnsi="Aptos"/>
          <w:sz w:val="22"/>
          <w:szCs w:val="22"/>
        </w:rPr>
        <w:t xml:space="preserve"> sectors</w:t>
      </w:r>
      <w:r w:rsidR="00811CF6">
        <w:rPr>
          <w:rFonts w:ascii="Aptos" w:hAnsi="Aptos"/>
          <w:sz w:val="22"/>
          <w:szCs w:val="22"/>
        </w:rPr>
        <w:t xml:space="preserve">, </w:t>
      </w:r>
      <w:r w:rsidRPr="00811CF6" w:rsidR="00811CF6">
        <w:rPr>
          <w:rFonts w:ascii="Aptos" w:hAnsi="Aptos"/>
          <w:sz w:val="22"/>
          <w:szCs w:val="22"/>
        </w:rPr>
        <w:t>such as energy, industry, and agriculture</w:t>
      </w:r>
      <w:r w:rsidR="00811CF6">
        <w:rPr>
          <w:rFonts w:ascii="Aptos" w:hAnsi="Aptos"/>
          <w:sz w:val="22"/>
          <w:szCs w:val="22"/>
        </w:rPr>
        <w:t xml:space="preserve">, </w:t>
      </w:r>
      <w:r w:rsidR="00BB4868">
        <w:rPr>
          <w:rFonts w:ascii="Aptos" w:hAnsi="Aptos"/>
          <w:sz w:val="22"/>
          <w:szCs w:val="22"/>
        </w:rPr>
        <w:t>among others,</w:t>
      </w:r>
      <w:r w:rsidR="00811CF6">
        <w:rPr>
          <w:rFonts w:ascii="Aptos" w:hAnsi="Aptos"/>
          <w:sz w:val="22"/>
          <w:szCs w:val="22"/>
        </w:rPr>
        <w:t xml:space="preserve"> </w:t>
      </w:r>
      <w:r w:rsidRPr="00811CF6" w:rsidR="00811CF6">
        <w:rPr>
          <w:rFonts w:ascii="Aptos" w:hAnsi="Aptos"/>
          <w:sz w:val="22"/>
          <w:szCs w:val="22"/>
        </w:rPr>
        <w:t>can help ensure a well-rounded perspective</w:t>
      </w:r>
      <w:r w:rsidR="00FF0A9B">
        <w:rPr>
          <w:rFonts w:ascii="Aptos" w:hAnsi="Aptos"/>
          <w:sz w:val="22"/>
          <w:szCs w:val="22"/>
        </w:rPr>
        <w:t>, including both covered and non</w:t>
      </w:r>
      <w:r w:rsidR="003B5963">
        <w:rPr>
          <w:rFonts w:ascii="Aptos" w:hAnsi="Aptos"/>
          <w:sz w:val="22"/>
          <w:szCs w:val="22"/>
        </w:rPr>
        <w:t>-</w:t>
      </w:r>
      <w:r w:rsidR="00FF0A9B">
        <w:rPr>
          <w:rFonts w:ascii="Aptos" w:hAnsi="Aptos"/>
          <w:sz w:val="22"/>
          <w:szCs w:val="22"/>
        </w:rPr>
        <w:t>covered sectors</w:t>
      </w:r>
      <w:r w:rsidR="00811CF6">
        <w:rPr>
          <w:rFonts w:ascii="Aptos" w:hAnsi="Aptos"/>
          <w:sz w:val="22"/>
          <w:szCs w:val="22"/>
        </w:rPr>
        <w:t xml:space="preserve">. </w:t>
      </w:r>
      <w:r w:rsidRPr="003617BE" w:rsidR="00B469BE">
        <w:rPr>
          <w:rFonts w:ascii="Aptos" w:hAnsi="Aptos"/>
          <w:sz w:val="22"/>
          <w:szCs w:val="22"/>
        </w:rPr>
        <w:t>P</w:t>
      </w:r>
      <w:r w:rsidRPr="003617BE" w:rsidR="006B07D6">
        <w:rPr>
          <w:rFonts w:ascii="Aptos" w:hAnsi="Aptos"/>
          <w:sz w:val="22"/>
          <w:szCs w:val="22"/>
        </w:rPr>
        <w:t>ublic call</w:t>
      </w:r>
      <w:r w:rsidRPr="003617BE" w:rsidR="005F30CA">
        <w:rPr>
          <w:rFonts w:ascii="Aptos" w:hAnsi="Aptos"/>
          <w:sz w:val="22"/>
          <w:szCs w:val="22"/>
        </w:rPr>
        <w:t>s</w:t>
      </w:r>
      <w:r w:rsidRPr="003617BE" w:rsidR="006B07D6">
        <w:rPr>
          <w:rFonts w:ascii="Aptos" w:hAnsi="Aptos"/>
          <w:sz w:val="22"/>
          <w:szCs w:val="22"/>
        </w:rPr>
        <w:t xml:space="preserve"> for the selection of sectoral representatives and </w:t>
      </w:r>
      <w:r w:rsidRPr="003617BE" w:rsidR="00B469BE">
        <w:rPr>
          <w:rFonts w:ascii="Aptos" w:hAnsi="Aptos"/>
          <w:sz w:val="22"/>
          <w:szCs w:val="22"/>
        </w:rPr>
        <w:t xml:space="preserve">a </w:t>
      </w:r>
      <w:r w:rsidRPr="003617BE" w:rsidR="009B09A5">
        <w:rPr>
          <w:rFonts w:ascii="Aptos" w:hAnsi="Aptos"/>
          <w:sz w:val="22"/>
          <w:szCs w:val="22"/>
        </w:rPr>
        <w:t xml:space="preserve">robust </w:t>
      </w:r>
      <w:r w:rsidRPr="003617BE" w:rsidR="006B07D6">
        <w:rPr>
          <w:rFonts w:ascii="Aptos" w:hAnsi="Aptos"/>
          <w:sz w:val="22"/>
          <w:szCs w:val="22"/>
        </w:rPr>
        <w:t xml:space="preserve">communication and engagement plan that </w:t>
      </w:r>
      <w:r w:rsidRPr="003617BE" w:rsidR="009D751D">
        <w:rPr>
          <w:rFonts w:ascii="Aptos" w:hAnsi="Aptos"/>
          <w:sz w:val="22"/>
          <w:szCs w:val="22"/>
        </w:rPr>
        <w:t>guarantees</w:t>
      </w:r>
      <w:r w:rsidRPr="003617BE" w:rsidR="006B07D6">
        <w:rPr>
          <w:rFonts w:ascii="Aptos" w:hAnsi="Aptos"/>
          <w:sz w:val="22"/>
          <w:szCs w:val="22"/>
        </w:rPr>
        <w:t xml:space="preserve"> broad</w:t>
      </w:r>
      <w:r w:rsidRPr="003617BE" w:rsidR="00794CEB">
        <w:rPr>
          <w:rFonts w:ascii="Aptos" w:hAnsi="Aptos"/>
          <w:sz w:val="22"/>
          <w:szCs w:val="22"/>
        </w:rPr>
        <w:t xml:space="preserve">, </w:t>
      </w:r>
      <w:r w:rsidRPr="003617BE" w:rsidR="006B07D6">
        <w:rPr>
          <w:rFonts w:ascii="Aptos" w:hAnsi="Aptos"/>
          <w:sz w:val="22"/>
          <w:szCs w:val="22"/>
        </w:rPr>
        <w:t>transparent</w:t>
      </w:r>
      <w:r w:rsidRPr="003617BE" w:rsidR="00794CEB">
        <w:rPr>
          <w:rFonts w:ascii="Aptos" w:hAnsi="Aptos"/>
          <w:sz w:val="22"/>
          <w:szCs w:val="22"/>
        </w:rPr>
        <w:t>, and inclusive</w:t>
      </w:r>
      <w:r w:rsidRPr="003617BE" w:rsidR="006B07D6">
        <w:rPr>
          <w:rFonts w:ascii="Aptos" w:hAnsi="Aptos"/>
          <w:sz w:val="22"/>
          <w:szCs w:val="22"/>
        </w:rPr>
        <w:t xml:space="preserve"> stakeholder participation from the outset</w:t>
      </w:r>
      <w:r w:rsidRPr="003617BE" w:rsidR="00C0634E">
        <w:rPr>
          <w:rFonts w:ascii="Aptos" w:hAnsi="Aptos"/>
          <w:sz w:val="22"/>
          <w:szCs w:val="22"/>
        </w:rPr>
        <w:t xml:space="preserve">, increasing the efficiency and legitimacy of the </w:t>
      </w:r>
      <w:r w:rsidRPr="003617BE" w:rsidR="0067410A">
        <w:rPr>
          <w:rFonts w:ascii="Aptos" w:hAnsi="Aptos"/>
          <w:sz w:val="22"/>
          <w:szCs w:val="22"/>
        </w:rPr>
        <w:t>system</w:t>
      </w:r>
      <w:r w:rsidRPr="003617BE" w:rsidR="006B07D6">
        <w:rPr>
          <w:rFonts w:ascii="Aptos" w:hAnsi="Aptos"/>
          <w:sz w:val="22"/>
          <w:szCs w:val="22"/>
        </w:rPr>
        <w:t>.</w:t>
      </w:r>
      <w:r w:rsidR="007B0ED3">
        <w:rPr>
          <w:rFonts w:ascii="Aptos" w:hAnsi="Aptos"/>
          <w:sz w:val="22"/>
          <w:szCs w:val="22"/>
        </w:rPr>
        <w:t xml:space="preserve"> </w:t>
      </w:r>
    </w:p>
    <w:p w:rsidRPr="00171AD4" w:rsidR="006F4AC5" w:rsidP="00E565C5" w:rsidRDefault="00900F9E" w14:paraId="63844B72" w14:textId="27634A68">
      <w:pPr>
        <w:spacing w:before="60" w:after="60" w:line="276" w:lineRule="auto"/>
        <w:ind w:right="567"/>
        <w:jc w:val="both"/>
        <w:rPr>
          <w:rFonts w:ascii="Aptos" w:hAnsi="Aptos"/>
          <w:sz w:val="22"/>
          <w:szCs w:val="22"/>
          <w:lang w:val="en-CA"/>
        </w:rPr>
      </w:pPr>
      <w:r w:rsidRPr="003617BE">
        <w:rPr>
          <w:rFonts w:ascii="Aptos" w:hAnsi="Aptos"/>
          <w:sz w:val="22"/>
          <w:szCs w:val="22"/>
        </w:rPr>
        <w:t xml:space="preserve">A second key governance aspect </w:t>
      </w:r>
      <w:r w:rsidRPr="003617BE" w:rsidR="000F4ED4">
        <w:rPr>
          <w:rFonts w:ascii="Aptos" w:hAnsi="Aptos"/>
          <w:sz w:val="22"/>
          <w:szCs w:val="22"/>
        </w:rPr>
        <w:t>involves</w:t>
      </w:r>
      <w:r w:rsidRPr="003617BE">
        <w:rPr>
          <w:rFonts w:ascii="Aptos" w:hAnsi="Aptos"/>
          <w:sz w:val="22"/>
          <w:szCs w:val="22"/>
        </w:rPr>
        <w:t xml:space="preserve"> the establishment of </w:t>
      </w:r>
      <w:r w:rsidRPr="003617BE" w:rsidR="00952570">
        <w:rPr>
          <w:rFonts w:ascii="Aptos" w:hAnsi="Aptos"/>
          <w:sz w:val="22"/>
          <w:szCs w:val="22"/>
        </w:rPr>
        <w:t>the Managing</w:t>
      </w:r>
      <w:r w:rsidRPr="003617BE">
        <w:rPr>
          <w:rFonts w:ascii="Aptos" w:hAnsi="Aptos"/>
          <w:sz w:val="22"/>
          <w:szCs w:val="22"/>
        </w:rPr>
        <w:t xml:space="preserve"> </w:t>
      </w:r>
      <w:r w:rsidRPr="003617BE" w:rsidR="00952570">
        <w:rPr>
          <w:rFonts w:ascii="Aptos" w:hAnsi="Aptos"/>
          <w:sz w:val="22"/>
          <w:szCs w:val="22"/>
        </w:rPr>
        <w:t>B</w:t>
      </w:r>
      <w:r w:rsidRPr="003617BE">
        <w:rPr>
          <w:rFonts w:ascii="Aptos" w:hAnsi="Aptos"/>
          <w:sz w:val="22"/>
          <w:szCs w:val="22"/>
        </w:rPr>
        <w:t>ody that</w:t>
      </w:r>
      <w:r w:rsidRPr="003617BE" w:rsidR="00C74D1C">
        <w:rPr>
          <w:rFonts w:ascii="Aptos" w:hAnsi="Aptos"/>
          <w:sz w:val="22"/>
          <w:szCs w:val="22"/>
        </w:rPr>
        <w:t xml:space="preserve"> is</w:t>
      </w:r>
      <w:r w:rsidRPr="003617BE">
        <w:rPr>
          <w:rFonts w:ascii="Aptos" w:hAnsi="Aptos"/>
          <w:sz w:val="22"/>
          <w:szCs w:val="22"/>
        </w:rPr>
        <w:t xml:space="preserve"> </w:t>
      </w:r>
      <w:r w:rsidRPr="003617BE" w:rsidR="009566D5">
        <w:rPr>
          <w:rFonts w:ascii="Aptos" w:hAnsi="Aptos"/>
          <w:sz w:val="22"/>
          <w:szCs w:val="22"/>
        </w:rPr>
        <w:t>(</w:t>
      </w:r>
      <w:proofErr w:type="spellStart"/>
      <w:r w:rsidRPr="003617BE" w:rsidR="009566D5">
        <w:rPr>
          <w:rFonts w:ascii="Aptos" w:hAnsi="Aptos"/>
          <w:sz w:val="22"/>
          <w:szCs w:val="22"/>
        </w:rPr>
        <w:t>i</w:t>
      </w:r>
      <w:proofErr w:type="spellEnd"/>
      <w:r w:rsidRPr="003617BE" w:rsidR="009566D5">
        <w:rPr>
          <w:rFonts w:ascii="Aptos" w:hAnsi="Aptos"/>
          <w:sz w:val="22"/>
          <w:szCs w:val="22"/>
        </w:rPr>
        <w:t>) technical, (ii) functionally and financially</w:t>
      </w:r>
      <w:r w:rsidRPr="003617BE" w:rsidR="001640AC">
        <w:rPr>
          <w:rFonts w:ascii="Aptos" w:hAnsi="Aptos"/>
          <w:sz w:val="22"/>
          <w:szCs w:val="22"/>
        </w:rPr>
        <w:t xml:space="preserve"> independent</w:t>
      </w:r>
      <w:r w:rsidRPr="003617BE" w:rsidR="009566D5">
        <w:rPr>
          <w:rFonts w:ascii="Aptos" w:hAnsi="Aptos"/>
          <w:sz w:val="22"/>
          <w:szCs w:val="22"/>
        </w:rPr>
        <w:t xml:space="preserve">, and (iii) resilient to political </w:t>
      </w:r>
      <w:r w:rsidRPr="003617BE" w:rsidR="001640AC">
        <w:rPr>
          <w:rFonts w:ascii="Aptos" w:hAnsi="Aptos"/>
          <w:sz w:val="22"/>
          <w:szCs w:val="22"/>
        </w:rPr>
        <w:t>shifts</w:t>
      </w:r>
      <w:r w:rsidRPr="003617BE" w:rsidR="00D0390A">
        <w:rPr>
          <w:rFonts w:ascii="Aptos" w:hAnsi="Aptos"/>
          <w:sz w:val="22"/>
          <w:szCs w:val="22"/>
        </w:rPr>
        <w:t>, thereby</w:t>
      </w:r>
      <w:r w:rsidRPr="003617BE" w:rsidR="001640AC">
        <w:rPr>
          <w:rFonts w:ascii="Aptos" w:hAnsi="Aptos"/>
          <w:sz w:val="22"/>
          <w:szCs w:val="22"/>
        </w:rPr>
        <w:t xml:space="preserve"> </w:t>
      </w:r>
      <w:r w:rsidRPr="003617BE" w:rsidR="009566D5">
        <w:rPr>
          <w:rFonts w:ascii="Aptos" w:hAnsi="Aptos"/>
          <w:sz w:val="22"/>
          <w:szCs w:val="22"/>
        </w:rPr>
        <w:t>promot</w:t>
      </w:r>
      <w:r w:rsidRPr="003617BE" w:rsidR="00D0390A">
        <w:rPr>
          <w:rFonts w:ascii="Aptos" w:hAnsi="Aptos"/>
          <w:sz w:val="22"/>
          <w:szCs w:val="22"/>
        </w:rPr>
        <w:t>ing</w:t>
      </w:r>
      <w:r w:rsidRPr="003617BE" w:rsidR="009566D5">
        <w:rPr>
          <w:rFonts w:ascii="Aptos" w:hAnsi="Aptos"/>
          <w:sz w:val="22"/>
          <w:szCs w:val="22"/>
        </w:rPr>
        <w:t xml:space="preserve"> institutional memory </w:t>
      </w:r>
      <w:r w:rsidRPr="003617BE" w:rsidR="00D0390A">
        <w:rPr>
          <w:rFonts w:ascii="Aptos" w:hAnsi="Aptos"/>
          <w:sz w:val="22"/>
          <w:szCs w:val="22"/>
        </w:rPr>
        <w:t xml:space="preserve">and </w:t>
      </w:r>
      <w:r w:rsidRPr="003617BE" w:rsidR="009566D5">
        <w:rPr>
          <w:rFonts w:ascii="Aptos" w:hAnsi="Aptos"/>
          <w:sz w:val="22"/>
          <w:szCs w:val="22"/>
        </w:rPr>
        <w:t>ensur</w:t>
      </w:r>
      <w:r w:rsidRPr="003617BE" w:rsidR="00D0390A">
        <w:rPr>
          <w:rFonts w:ascii="Aptos" w:hAnsi="Aptos"/>
          <w:sz w:val="22"/>
          <w:szCs w:val="22"/>
        </w:rPr>
        <w:t>ing</w:t>
      </w:r>
      <w:r w:rsidRPr="003617BE" w:rsidR="009566D5">
        <w:rPr>
          <w:rFonts w:ascii="Aptos" w:hAnsi="Aptos"/>
          <w:sz w:val="22"/>
          <w:szCs w:val="22"/>
        </w:rPr>
        <w:t xml:space="preserve"> </w:t>
      </w:r>
      <w:r w:rsidRPr="003617BE" w:rsidR="00A7119D">
        <w:rPr>
          <w:rFonts w:ascii="Aptos" w:hAnsi="Aptos"/>
          <w:sz w:val="22"/>
          <w:szCs w:val="22"/>
        </w:rPr>
        <w:t>long-term</w:t>
      </w:r>
      <w:r w:rsidRPr="003617BE" w:rsidR="009566D5">
        <w:rPr>
          <w:rFonts w:ascii="Aptos" w:hAnsi="Aptos"/>
          <w:sz w:val="22"/>
          <w:szCs w:val="22"/>
        </w:rPr>
        <w:t xml:space="preserve"> predictability </w:t>
      </w:r>
      <w:r w:rsidRPr="003617BE" w:rsidR="00A7119D">
        <w:rPr>
          <w:rFonts w:ascii="Aptos" w:hAnsi="Aptos"/>
          <w:sz w:val="22"/>
          <w:szCs w:val="22"/>
        </w:rPr>
        <w:t>of the system.</w:t>
      </w:r>
      <w:r w:rsidRPr="003617BE">
        <w:rPr>
          <w:rFonts w:ascii="Aptos" w:hAnsi="Aptos"/>
          <w:sz w:val="22"/>
          <w:szCs w:val="22"/>
        </w:rPr>
        <w:t xml:space="preserve"> This entity will be central to </w:t>
      </w:r>
      <w:r w:rsidRPr="003617BE" w:rsidR="000A6BE2">
        <w:rPr>
          <w:rFonts w:ascii="Aptos" w:hAnsi="Aptos"/>
          <w:sz w:val="22"/>
          <w:szCs w:val="22"/>
        </w:rPr>
        <w:t>maintaining the</w:t>
      </w:r>
      <w:r w:rsidRPr="003617BE">
        <w:rPr>
          <w:rFonts w:ascii="Aptos" w:hAnsi="Aptos"/>
          <w:sz w:val="22"/>
          <w:szCs w:val="22"/>
        </w:rPr>
        <w:t xml:space="preserve"> integrity and operational stability</w:t>
      </w:r>
      <w:r w:rsidRPr="003617BE" w:rsidR="000A6BE2">
        <w:rPr>
          <w:rFonts w:ascii="Aptos" w:hAnsi="Aptos"/>
          <w:sz w:val="22"/>
          <w:szCs w:val="22"/>
        </w:rPr>
        <w:t xml:space="preserve"> of the SBCE</w:t>
      </w:r>
      <w:r w:rsidRPr="003617BE">
        <w:rPr>
          <w:rFonts w:ascii="Aptos" w:hAnsi="Aptos"/>
          <w:sz w:val="22"/>
          <w:szCs w:val="22"/>
        </w:rPr>
        <w:t xml:space="preserve">. </w:t>
      </w:r>
      <w:r w:rsidRPr="003617BE" w:rsidR="003233AB">
        <w:rPr>
          <w:rFonts w:ascii="Aptos" w:hAnsi="Aptos"/>
          <w:sz w:val="22"/>
          <w:szCs w:val="22"/>
        </w:rPr>
        <w:t xml:space="preserve">Given its critical role, </w:t>
      </w:r>
      <w:r w:rsidRPr="003617BE" w:rsidR="007338DA">
        <w:rPr>
          <w:rFonts w:ascii="Aptos" w:hAnsi="Aptos"/>
          <w:sz w:val="22"/>
          <w:szCs w:val="22"/>
        </w:rPr>
        <w:t xml:space="preserve">the creation of </w:t>
      </w:r>
      <w:r w:rsidRPr="003617BE" w:rsidR="001F6BC0">
        <w:rPr>
          <w:rFonts w:ascii="Aptos" w:hAnsi="Aptos"/>
          <w:sz w:val="22"/>
          <w:szCs w:val="22"/>
        </w:rPr>
        <w:t xml:space="preserve">robust </w:t>
      </w:r>
      <w:r w:rsidRPr="003617BE" w:rsidR="00063B63">
        <w:rPr>
          <w:rFonts w:ascii="Aptos" w:hAnsi="Aptos"/>
          <w:sz w:val="22"/>
          <w:szCs w:val="22"/>
        </w:rPr>
        <w:t>governance mechanisms and institutions</w:t>
      </w:r>
      <w:r w:rsidRPr="003617BE" w:rsidR="003233AB">
        <w:rPr>
          <w:rFonts w:ascii="Aptos" w:hAnsi="Aptos"/>
          <w:sz w:val="22"/>
          <w:szCs w:val="22"/>
        </w:rPr>
        <w:t xml:space="preserve"> </w:t>
      </w:r>
      <w:r w:rsidRPr="003617BE" w:rsidR="004F301A">
        <w:rPr>
          <w:rFonts w:ascii="Aptos" w:hAnsi="Aptos"/>
          <w:sz w:val="22"/>
          <w:szCs w:val="22"/>
        </w:rPr>
        <w:t>should be treated as</w:t>
      </w:r>
      <w:r w:rsidRPr="003617BE" w:rsidR="00576E0B">
        <w:rPr>
          <w:rFonts w:ascii="Aptos" w:hAnsi="Aptos"/>
          <w:sz w:val="22"/>
          <w:szCs w:val="22"/>
        </w:rPr>
        <w:t xml:space="preserve"> </w:t>
      </w:r>
      <w:r w:rsidRPr="003617BE" w:rsidR="00097D3D">
        <w:rPr>
          <w:rFonts w:ascii="Aptos" w:hAnsi="Aptos"/>
          <w:sz w:val="22"/>
          <w:szCs w:val="22"/>
        </w:rPr>
        <w:t>a top priority.</w:t>
      </w:r>
      <w:r w:rsidRPr="003617BE" w:rsidR="00C20FD8">
        <w:rPr>
          <w:rFonts w:ascii="Aptos" w:hAnsi="Aptos"/>
          <w:sz w:val="22"/>
          <w:szCs w:val="22"/>
        </w:rPr>
        <w:t xml:space="preserve"> </w:t>
      </w:r>
      <w:r w:rsidRPr="00BC3035" w:rsidR="00BC3035">
        <w:rPr>
          <w:rFonts w:ascii="Aptos" w:hAnsi="Aptos"/>
          <w:sz w:val="22"/>
          <w:szCs w:val="22"/>
        </w:rPr>
        <w:t>In this context, establishing the Interim Managing Body during this pivotal year</w:t>
      </w:r>
      <w:r w:rsidR="009C6050">
        <w:rPr>
          <w:rFonts w:ascii="Aptos" w:hAnsi="Aptos"/>
          <w:sz w:val="22"/>
          <w:szCs w:val="22"/>
        </w:rPr>
        <w:t xml:space="preserve">, accelerating the SBCE implementation timeline, </w:t>
      </w:r>
      <w:r w:rsidRPr="00BC3035" w:rsidR="00BC3035">
        <w:rPr>
          <w:rFonts w:ascii="Aptos" w:hAnsi="Aptos"/>
          <w:sz w:val="22"/>
          <w:szCs w:val="22"/>
        </w:rPr>
        <w:t>would be a strategic move, capitalizing on the growing momentum surrounding COP30 and key political developments in Brazil</w:t>
      </w:r>
      <w:r w:rsidR="006B4A72">
        <w:rPr>
          <w:rFonts w:ascii="Aptos" w:hAnsi="Aptos"/>
          <w:sz w:val="22"/>
          <w:szCs w:val="22"/>
        </w:rPr>
        <w:t>.</w:t>
      </w:r>
      <w:r w:rsidR="009C6050">
        <w:rPr>
          <w:rFonts w:ascii="Aptos" w:hAnsi="Aptos"/>
          <w:sz w:val="22"/>
          <w:szCs w:val="22"/>
        </w:rPr>
        <w:t xml:space="preserve"> </w:t>
      </w:r>
      <w:r w:rsidRPr="009C6050" w:rsidR="009C6050">
        <w:rPr>
          <w:rFonts w:ascii="Aptos" w:hAnsi="Aptos"/>
          <w:sz w:val="22"/>
          <w:szCs w:val="22"/>
          <w:lang w:val="en-CA"/>
        </w:rPr>
        <w:t xml:space="preserve">While ambitious, this timeline would reflect the urgency of climate action and the growing interest from the private sector in participating in </w:t>
      </w:r>
      <w:r w:rsidR="005405E2">
        <w:rPr>
          <w:rFonts w:ascii="Aptos" w:hAnsi="Aptos"/>
          <w:sz w:val="22"/>
          <w:szCs w:val="22"/>
          <w:lang w:val="en-CA"/>
        </w:rPr>
        <w:t>compliance</w:t>
      </w:r>
      <w:r w:rsidRPr="009C6050" w:rsidR="009C6050">
        <w:rPr>
          <w:rFonts w:ascii="Aptos" w:hAnsi="Aptos"/>
          <w:sz w:val="22"/>
          <w:szCs w:val="22"/>
          <w:lang w:val="en-CA"/>
        </w:rPr>
        <w:t xml:space="preserve"> markets. </w:t>
      </w:r>
    </w:p>
    <w:p w:rsidRPr="00171AD4" w:rsidR="00534748" w:rsidP="00E565C5" w:rsidRDefault="00C647B5" w14:paraId="6DE7F229" w14:textId="1519846C">
      <w:pPr>
        <w:spacing w:before="60" w:after="60" w:line="276" w:lineRule="auto"/>
        <w:ind w:right="567"/>
        <w:jc w:val="both"/>
        <w:rPr>
          <w:rFonts w:ascii="Aptos" w:hAnsi="Aptos"/>
          <w:sz w:val="22"/>
          <w:szCs w:val="22"/>
          <w:lang w:val="en-CA"/>
        </w:rPr>
      </w:pPr>
      <w:r w:rsidRPr="00C647B5">
        <w:rPr>
          <w:rFonts w:ascii="Aptos" w:hAnsi="Aptos"/>
          <w:sz w:val="22"/>
          <w:szCs w:val="22"/>
        </w:rPr>
        <w:lastRenderedPageBreak/>
        <w:t>In this regard, the ongoing development of the SBCE presents an opportunity to engage the private sector early and draw on existing practical experience in high-integrity carbon crediting. As the governance framework is finalized, it will be essential to ensure that the system builds upon, rather than overlooks, the robust voluntary market initiatives already underway. Aligning current practices with emerging compliance requirements can help reinforce continuity, foster stakeholder confidence, and lay the groundwork for a credible and efficient market system.</w:t>
      </w:r>
    </w:p>
    <w:p w:rsidRPr="003617BE" w:rsidR="00927AA8" w:rsidP="00E565C5" w:rsidRDefault="00927AA8" w14:paraId="3FA3ED59" w14:textId="295C2C2F">
      <w:pPr>
        <w:spacing w:before="60" w:after="60" w:line="276" w:lineRule="auto"/>
        <w:ind w:right="567"/>
        <w:jc w:val="both"/>
        <w:rPr>
          <w:rFonts w:ascii="Aptos" w:hAnsi="Aptos"/>
          <w:sz w:val="22"/>
          <w:szCs w:val="22"/>
        </w:rPr>
      </w:pPr>
      <w:r w:rsidRPr="003617BE">
        <w:rPr>
          <w:rFonts w:ascii="Aptos" w:hAnsi="Aptos"/>
          <w:sz w:val="22"/>
          <w:szCs w:val="22"/>
        </w:rPr>
        <w:t xml:space="preserve">International experience shows that early institutional engagement with the private sector plays an important role in building market confidence and facilitating effective implementation. For </w:t>
      </w:r>
      <w:r w:rsidRPr="003617BE" w:rsidR="007F1C12">
        <w:rPr>
          <w:rFonts w:ascii="Aptos" w:hAnsi="Aptos"/>
          <w:sz w:val="22"/>
          <w:szCs w:val="22"/>
        </w:rPr>
        <w:t>example</w:t>
      </w:r>
      <w:r w:rsidRPr="003617BE">
        <w:rPr>
          <w:rFonts w:ascii="Aptos" w:hAnsi="Aptos"/>
          <w:sz w:val="22"/>
          <w:szCs w:val="22"/>
        </w:rPr>
        <w:t xml:space="preserve">, the development of the EU ETS </w:t>
      </w:r>
      <w:r w:rsidRPr="003617BE" w:rsidR="00746C68">
        <w:rPr>
          <w:rFonts w:ascii="Aptos" w:hAnsi="Aptos"/>
          <w:sz w:val="22"/>
          <w:szCs w:val="22"/>
        </w:rPr>
        <w:t>was strengthened by</w:t>
      </w:r>
      <w:r w:rsidRPr="003617BE" w:rsidR="003A112D">
        <w:rPr>
          <w:rFonts w:ascii="Aptos" w:hAnsi="Aptos"/>
          <w:sz w:val="22"/>
          <w:szCs w:val="22"/>
        </w:rPr>
        <w:t xml:space="preserve"> </w:t>
      </w:r>
      <w:r w:rsidRPr="003617BE">
        <w:rPr>
          <w:rFonts w:ascii="Aptos" w:hAnsi="Aptos"/>
          <w:sz w:val="22"/>
          <w:szCs w:val="22"/>
        </w:rPr>
        <w:t xml:space="preserve">multi-year stakeholder consultations through technical working groups and public forums, which </w:t>
      </w:r>
      <w:r w:rsidRPr="003617BE" w:rsidR="003A112D">
        <w:rPr>
          <w:rFonts w:ascii="Aptos" w:hAnsi="Aptos"/>
          <w:sz w:val="22"/>
          <w:szCs w:val="22"/>
        </w:rPr>
        <w:t>facilitated</w:t>
      </w:r>
      <w:r w:rsidRPr="003617BE">
        <w:rPr>
          <w:rFonts w:ascii="Aptos" w:hAnsi="Aptos"/>
          <w:sz w:val="22"/>
          <w:szCs w:val="22"/>
        </w:rPr>
        <w:t xml:space="preserve"> smoother adoption and continuous </w:t>
      </w:r>
      <w:r w:rsidRPr="003617BE" w:rsidR="004B466E">
        <w:rPr>
          <w:rFonts w:ascii="Aptos" w:hAnsi="Aptos"/>
          <w:sz w:val="22"/>
          <w:szCs w:val="22"/>
        </w:rPr>
        <w:t xml:space="preserve">system </w:t>
      </w:r>
      <w:r w:rsidRPr="003617BE">
        <w:rPr>
          <w:rFonts w:ascii="Aptos" w:hAnsi="Aptos"/>
          <w:sz w:val="22"/>
          <w:szCs w:val="22"/>
        </w:rPr>
        <w:t>improvement</w:t>
      </w:r>
      <w:r w:rsidR="00CE354D">
        <w:rPr>
          <w:rStyle w:val="EndnoteReference"/>
          <w:rFonts w:ascii="Aptos" w:hAnsi="Aptos"/>
          <w:sz w:val="22"/>
          <w:szCs w:val="22"/>
        </w:rPr>
        <w:endnoteReference w:id="9"/>
      </w:r>
      <w:r w:rsidRPr="002F4D56" w:rsidR="00080C54">
        <w:rPr>
          <w:rFonts w:ascii="Aptos" w:hAnsi="Aptos"/>
          <w:sz w:val="22"/>
          <w:szCs w:val="22"/>
          <w:vertAlign w:val="superscript"/>
        </w:rPr>
        <w:t>,</w:t>
      </w:r>
      <w:r w:rsidR="0066300F">
        <w:rPr>
          <w:rStyle w:val="EndnoteReference"/>
          <w:rFonts w:ascii="Aptos" w:hAnsi="Aptos"/>
          <w:sz w:val="22"/>
          <w:szCs w:val="22"/>
        </w:rPr>
        <w:endnoteReference w:id="10"/>
      </w:r>
      <w:r w:rsidRPr="003617BE">
        <w:rPr>
          <w:rFonts w:ascii="Aptos" w:hAnsi="Aptos"/>
          <w:sz w:val="22"/>
          <w:szCs w:val="22"/>
        </w:rPr>
        <w:t>.</w:t>
      </w:r>
    </w:p>
    <w:p w:rsidRPr="003617BE" w:rsidR="005A3F85" w:rsidP="00E565C5" w:rsidRDefault="00D31AB7" w14:paraId="74E0D2ED" w14:textId="73F4FD77">
      <w:pPr>
        <w:spacing w:before="120" w:after="120" w:line="276" w:lineRule="auto"/>
        <w:ind w:right="567"/>
        <w:jc w:val="both"/>
        <w:rPr>
          <w:rFonts w:ascii="Aptos" w:hAnsi="Aptos"/>
          <w:b/>
          <w:bCs/>
          <w:sz w:val="22"/>
          <w:szCs w:val="22"/>
        </w:rPr>
      </w:pPr>
      <w:r w:rsidRPr="003617BE">
        <w:rPr>
          <w:rFonts w:ascii="Aptos" w:hAnsi="Aptos"/>
          <w:b/>
          <w:bCs/>
          <w:sz w:val="22"/>
          <w:szCs w:val="22"/>
        </w:rPr>
        <w:t>National Allocation Plan</w:t>
      </w:r>
    </w:p>
    <w:p w:rsidRPr="003617BE" w:rsidR="00414D82" w:rsidP="00171AD4" w:rsidRDefault="00020F4D" w14:paraId="1F1411B3" w14:textId="0D8B4456">
      <w:pPr>
        <w:shd w:val="clear" w:color="auto" w:fill="FFFFFF"/>
        <w:spacing w:line="276" w:lineRule="auto"/>
        <w:ind w:right="566"/>
        <w:jc w:val="both"/>
        <w:rPr>
          <w:rFonts w:ascii="Aptos" w:hAnsi="Aptos"/>
          <w:sz w:val="22"/>
          <w:szCs w:val="22"/>
        </w:rPr>
      </w:pPr>
      <w:r w:rsidRPr="003617BE">
        <w:rPr>
          <w:rFonts w:ascii="Aptos" w:hAnsi="Aptos"/>
          <w:sz w:val="22"/>
          <w:szCs w:val="22"/>
        </w:rPr>
        <w:t xml:space="preserve">National Allocation Plans should clearly define the level at which caps will </w:t>
      </w:r>
      <w:r w:rsidRPr="003617BE" w:rsidR="00286088">
        <w:rPr>
          <w:rFonts w:ascii="Aptos" w:hAnsi="Aptos"/>
          <w:sz w:val="22"/>
          <w:szCs w:val="22"/>
        </w:rPr>
        <w:t>be applied</w:t>
      </w:r>
      <w:r w:rsidR="00DB72BE">
        <w:rPr>
          <w:rFonts w:ascii="Aptos" w:hAnsi="Aptos"/>
          <w:sz w:val="22"/>
          <w:szCs w:val="22"/>
        </w:rPr>
        <w:t xml:space="preserve">, </w:t>
      </w:r>
      <w:r w:rsidRPr="003617BE">
        <w:rPr>
          <w:rFonts w:ascii="Aptos" w:hAnsi="Aptos"/>
          <w:sz w:val="22"/>
          <w:szCs w:val="22"/>
        </w:rPr>
        <w:t>whether to installations, facilities, or economic groups</w:t>
      </w:r>
      <w:r w:rsidR="00DB72BE">
        <w:rPr>
          <w:rFonts w:ascii="Aptos" w:hAnsi="Aptos"/>
          <w:sz w:val="22"/>
          <w:szCs w:val="22"/>
        </w:rPr>
        <w:t xml:space="preserve">, </w:t>
      </w:r>
      <w:r w:rsidRPr="003617BE">
        <w:rPr>
          <w:rFonts w:ascii="Aptos" w:hAnsi="Aptos"/>
          <w:sz w:val="22"/>
          <w:szCs w:val="22"/>
        </w:rPr>
        <w:t xml:space="preserve">as this </w:t>
      </w:r>
      <w:r w:rsidRPr="003617BE" w:rsidR="00644606">
        <w:rPr>
          <w:rFonts w:ascii="Aptos" w:hAnsi="Aptos"/>
          <w:sz w:val="22"/>
          <w:szCs w:val="22"/>
        </w:rPr>
        <w:t>decision</w:t>
      </w:r>
      <w:r w:rsidRPr="003617BE">
        <w:rPr>
          <w:rFonts w:ascii="Aptos" w:hAnsi="Aptos"/>
          <w:sz w:val="22"/>
          <w:szCs w:val="22"/>
        </w:rPr>
        <w:t xml:space="preserve"> </w:t>
      </w:r>
      <w:r w:rsidRPr="003617BE" w:rsidR="00B149FA">
        <w:rPr>
          <w:rFonts w:ascii="Aptos" w:hAnsi="Aptos"/>
          <w:sz w:val="22"/>
          <w:szCs w:val="22"/>
        </w:rPr>
        <w:t>has direct implications</w:t>
      </w:r>
      <w:r w:rsidRPr="003617BE">
        <w:rPr>
          <w:rFonts w:ascii="Aptos" w:hAnsi="Aptos"/>
          <w:sz w:val="22"/>
          <w:szCs w:val="22"/>
        </w:rPr>
        <w:t xml:space="preserve"> </w:t>
      </w:r>
      <w:r w:rsidRPr="003617BE" w:rsidR="00B149FA">
        <w:rPr>
          <w:rFonts w:ascii="Aptos" w:hAnsi="Aptos"/>
          <w:sz w:val="22"/>
          <w:szCs w:val="22"/>
        </w:rPr>
        <w:t xml:space="preserve">for </w:t>
      </w:r>
      <w:r w:rsidRPr="003617BE">
        <w:rPr>
          <w:rFonts w:ascii="Aptos" w:hAnsi="Aptos"/>
          <w:sz w:val="22"/>
          <w:szCs w:val="22"/>
        </w:rPr>
        <w:t>environmental integrity, administrative complexity, and cost efficiency</w:t>
      </w:r>
      <w:r w:rsidR="000E24C7">
        <w:rPr>
          <w:rFonts w:ascii="Aptos" w:hAnsi="Aptos"/>
          <w:sz w:val="22"/>
          <w:szCs w:val="22"/>
        </w:rPr>
        <w:t xml:space="preserve">, </w:t>
      </w:r>
      <w:r w:rsidRPr="00171AD4" w:rsidR="000E24C7">
        <w:rPr>
          <w:rFonts w:ascii="Aptos" w:hAnsi="Aptos"/>
          <w:sz w:val="22"/>
          <w:szCs w:val="22"/>
        </w:rPr>
        <w:t>and investment and mitigation decisions by the private sector.</w:t>
      </w:r>
      <w:r w:rsidRPr="000E24C7">
        <w:rPr>
          <w:rFonts w:ascii="Aptos" w:hAnsi="Aptos"/>
          <w:sz w:val="22"/>
          <w:szCs w:val="22"/>
        </w:rPr>
        <w:t xml:space="preserve"> </w:t>
      </w:r>
      <w:r w:rsidRPr="003617BE" w:rsidR="00035CFA">
        <w:rPr>
          <w:rFonts w:ascii="Aptos" w:hAnsi="Aptos"/>
          <w:sz w:val="22"/>
          <w:szCs w:val="22"/>
        </w:rPr>
        <w:t>Such a decision might also have</w:t>
      </w:r>
      <w:r w:rsidRPr="003617BE" w:rsidR="000C6C0C">
        <w:rPr>
          <w:rFonts w:ascii="Aptos" w:hAnsi="Aptos"/>
          <w:sz w:val="22"/>
          <w:szCs w:val="22"/>
        </w:rPr>
        <w:t xml:space="preserve"> different</w:t>
      </w:r>
      <w:r w:rsidRPr="003617BE" w:rsidR="00035CFA">
        <w:rPr>
          <w:rFonts w:ascii="Aptos" w:hAnsi="Aptos"/>
          <w:sz w:val="22"/>
          <w:szCs w:val="22"/>
        </w:rPr>
        <w:t xml:space="preserve"> implications to</w:t>
      </w:r>
      <w:r w:rsidRPr="003617BE" w:rsidR="00683682">
        <w:rPr>
          <w:rFonts w:ascii="Aptos" w:hAnsi="Aptos"/>
          <w:sz w:val="22"/>
          <w:szCs w:val="22"/>
        </w:rPr>
        <w:t xml:space="preserve"> current </w:t>
      </w:r>
      <w:r w:rsidRPr="003617BE" w:rsidR="00707C79">
        <w:rPr>
          <w:rFonts w:ascii="Aptos" w:hAnsi="Aptos"/>
          <w:sz w:val="22"/>
          <w:szCs w:val="22"/>
        </w:rPr>
        <w:t xml:space="preserve">emissions </w:t>
      </w:r>
      <w:r w:rsidRPr="003617BE" w:rsidR="00683682">
        <w:rPr>
          <w:rFonts w:ascii="Aptos" w:hAnsi="Aptos"/>
          <w:sz w:val="22"/>
          <w:szCs w:val="22"/>
        </w:rPr>
        <w:t>reporting systems</w:t>
      </w:r>
      <w:r w:rsidRPr="003617BE" w:rsidR="00707C79">
        <w:rPr>
          <w:rFonts w:ascii="Aptos" w:hAnsi="Aptos"/>
          <w:sz w:val="22"/>
          <w:szCs w:val="22"/>
        </w:rPr>
        <w:t xml:space="preserve"> in the country </w:t>
      </w:r>
      <w:r w:rsidRPr="003617BE" w:rsidR="008D78F0">
        <w:rPr>
          <w:rFonts w:ascii="Aptos" w:hAnsi="Aptos"/>
          <w:sz w:val="22"/>
          <w:szCs w:val="22"/>
        </w:rPr>
        <w:t xml:space="preserve">which </w:t>
      </w:r>
      <w:r w:rsidRPr="003617BE" w:rsidR="00565118">
        <w:rPr>
          <w:rFonts w:ascii="Aptos" w:hAnsi="Aptos"/>
          <w:sz w:val="22"/>
          <w:szCs w:val="22"/>
        </w:rPr>
        <w:t>are not</w:t>
      </w:r>
      <w:r w:rsidRPr="003617BE" w:rsidR="000C6C0C">
        <w:rPr>
          <w:rFonts w:ascii="Aptos" w:hAnsi="Aptos"/>
          <w:sz w:val="22"/>
          <w:szCs w:val="22"/>
        </w:rPr>
        <w:t xml:space="preserve"> </w:t>
      </w:r>
      <w:r w:rsidRPr="003617BE" w:rsidR="00565118">
        <w:rPr>
          <w:rFonts w:ascii="Aptos" w:hAnsi="Aptos"/>
          <w:sz w:val="22"/>
          <w:szCs w:val="22"/>
        </w:rPr>
        <w:t>necessarily</w:t>
      </w:r>
      <w:r w:rsidRPr="003617BE" w:rsidR="000C6C0C">
        <w:rPr>
          <w:rFonts w:ascii="Aptos" w:hAnsi="Aptos"/>
          <w:sz w:val="22"/>
          <w:szCs w:val="22"/>
        </w:rPr>
        <w:t xml:space="preserve"> harmonized </w:t>
      </w:r>
      <w:r w:rsidRPr="003617BE" w:rsidR="00565118">
        <w:rPr>
          <w:rFonts w:ascii="Aptos" w:hAnsi="Aptos"/>
          <w:sz w:val="22"/>
          <w:szCs w:val="22"/>
        </w:rPr>
        <w:t xml:space="preserve">due to the different </w:t>
      </w:r>
      <w:r w:rsidRPr="003617BE" w:rsidR="00062CEA">
        <w:rPr>
          <w:rFonts w:ascii="Aptos" w:hAnsi="Aptos"/>
          <w:sz w:val="22"/>
          <w:szCs w:val="22"/>
        </w:rPr>
        <w:t>purposes they serve</w:t>
      </w:r>
      <w:r w:rsidRPr="003617BE" w:rsidR="00C2205F">
        <w:rPr>
          <w:rFonts w:ascii="Aptos" w:hAnsi="Aptos"/>
          <w:sz w:val="22"/>
          <w:szCs w:val="22"/>
        </w:rPr>
        <w:t xml:space="preserve">. </w:t>
      </w:r>
    </w:p>
    <w:p w:rsidRPr="003617BE" w:rsidR="00EE62B3" w:rsidP="00E565C5" w:rsidRDefault="00020F4D" w14:paraId="0809FE23" w14:textId="151F98BF">
      <w:pPr>
        <w:spacing w:before="60" w:after="60" w:line="276" w:lineRule="auto"/>
        <w:ind w:right="567"/>
        <w:jc w:val="both"/>
        <w:rPr>
          <w:rFonts w:ascii="Aptos" w:hAnsi="Aptos"/>
          <w:sz w:val="22"/>
          <w:szCs w:val="22"/>
        </w:rPr>
      </w:pPr>
      <w:r w:rsidRPr="003617BE">
        <w:rPr>
          <w:rFonts w:ascii="Aptos" w:hAnsi="Aptos"/>
          <w:sz w:val="22"/>
          <w:szCs w:val="22"/>
        </w:rPr>
        <w:t xml:space="preserve">International experiences </w:t>
      </w:r>
      <w:r w:rsidRPr="003617BE" w:rsidR="00234F83">
        <w:rPr>
          <w:rFonts w:ascii="Aptos" w:hAnsi="Aptos"/>
          <w:sz w:val="22"/>
          <w:szCs w:val="22"/>
        </w:rPr>
        <w:t>provide</w:t>
      </w:r>
      <w:r w:rsidRPr="003617BE">
        <w:rPr>
          <w:rFonts w:ascii="Aptos" w:hAnsi="Aptos"/>
          <w:sz w:val="22"/>
          <w:szCs w:val="22"/>
        </w:rPr>
        <w:t xml:space="preserve"> valuable insights: </w:t>
      </w:r>
      <w:r w:rsidRPr="003617BE" w:rsidR="00EE62B3">
        <w:rPr>
          <w:rFonts w:ascii="Aptos" w:hAnsi="Aptos"/>
          <w:sz w:val="22"/>
          <w:szCs w:val="22"/>
        </w:rPr>
        <w:t xml:space="preserve">the </w:t>
      </w:r>
      <w:r w:rsidRPr="003617BE" w:rsidR="005E2A33">
        <w:rPr>
          <w:rFonts w:ascii="Aptos" w:hAnsi="Aptos"/>
          <w:sz w:val="22"/>
          <w:szCs w:val="22"/>
        </w:rPr>
        <w:t>EU ETS</w:t>
      </w:r>
      <w:r w:rsidRPr="003617BE" w:rsidR="005E2A33">
        <w:rPr>
          <w:rStyle w:val="EndnoteReference"/>
          <w:rFonts w:ascii="Aptos" w:hAnsi="Aptos"/>
          <w:sz w:val="22"/>
          <w:szCs w:val="22"/>
        </w:rPr>
        <w:endnoteReference w:id="11"/>
      </w:r>
      <w:r w:rsidRPr="003617BE" w:rsidR="005E2A33">
        <w:rPr>
          <w:rFonts w:ascii="Aptos" w:hAnsi="Aptos"/>
          <w:sz w:val="22"/>
          <w:szCs w:val="22"/>
        </w:rPr>
        <w:t xml:space="preserve"> </w:t>
      </w:r>
      <w:r w:rsidRPr="003617BE" w:rsidR="00EE62B3">
        <w:rPr>
          <w:rFonts w:ascii="Aptos" w:hAnsi="Aptos"/>
          <w:sz w:val="22"/>
          <w:szCs w:val="22"/>
        </w:rPr>
        <w:t>and South Korea</w:t>
      </w:r>
      <w:r w:rsidR="00B618F9">
        <w:rPr>
          <w:rFonts w:ascii="Aptos" w:hAnsi="Aptos"/>
          <w:sz w:val="22"/>
          <w:szCs w:val="22"/>
        </w:rPr>
        <w:t xml:space="preserve"> ETS</w:t>
      </w:r>
      <w:r w:rsidRPr="003617BE" w:rsidR="00EE62B3">
        <w:rPr>
          <w:rFonts w:ascii="Aptos" w:hAnsi="Aptos"/>
          <w:sz w:val="22"/>
          <w:szCs w:val="22"/>
        </w:rPr>
        <w:t xml:space="preserve"> </w:t>
      </w:r>
      <w:r w:rsidRPr="003617BE" w:rsidR="00234F83">
        <w:rPr>
          <w:rFonts w:ascii="Aptos" w:hAnsi="Aptos"/>
          <w:sz w:val="22"/>
          <w:szCs w:val="22"/>
        </w:rPr>
        <w:t>initially adopted</w:t>
      </w:r>
      <w:r w:rsidRPr="003617BE" w:rsidR="00EE62B3">
        <w:rPr>
          <w:rFonts w:ascii="Aptos" w:hAnsi="Aptos"/>
          <w:sz w:val="22"/>
          <w:szCs w:val="22"/>
        </w:rPr>
        <w:t xml:space="preserve"> installation-level caps for precise monitoring</w:t>
      </w:r>
      <w:r w:rsidRPr="003617BE" w:rsidR="006E7DEB">
        <w:rPr>
          <w:rFonts w:ascii="Aptos" w:hAnsi="Aptos"/>
          <w:sz w:val="22"/>
          <w:szCs w:val="22"/>
        </w:rPr>
        <w:t xml:space="preserve">. However, both </w:t>
      </w:r>
      <w:r w:rsidRPr="003617BE" w:rsidR="00AD2AB8">
        <w:rPr>
          <w:rFonts w:ascii="Aptos" w:hAnsi="Aptos"/>
          <w:sz w:val="22"/>
          <w:szCs w:val="22"/>
        </w:rPr>
        <w:t>systems</w:t>
      </w:r>
      <w:r w:rsidRPr="003617BE" w:rsidR="00EE62B3">
        <w:rPr>
          <w:rFonts w:ascii="Aptos" w:hAnsi="Aptos"/>
          <w:sz w:val="22"/>
          <w:szCs w:val="22"/>
        </w:rPr>
        <w:t xml:space="preserve"> later adjusted </w:t>
      </w:r>
      <w:r w:rsidRPr="003617BE" w:rsidR="00AD2AB8">
        <w:rPr>
          <w:rFonts w:ascii="Aptos" w:hAnsi="Aptos"/>
          <w:sz w:val="22"/>
          <w:szCs w:val="22"/>
        </w:rPr>
        <w:t>their</w:t>
      </w:r>
      <w:r w:rsidRPr="003617BE" w:rsidR="00EE62B3">
        <w:rPr>
          <w:rFonts w:ascii="Aptos" w:hAnsi="Aptos"/>
          <w:sz w:val="22"/>
          <w:szCs w:val="22"/>
        </w:rPr>
        <w:t xml:space="preserve"> approaches in response to challenges </w:t>
      </w:r>
      <w:r w:rsidRPr="003617BE" w:rsidR="00606291">
        <w:rPr>
          <w:rFonts w:ascii="Aptos" w:hAnsi="Aptos"/>
          <w:sz w:val="22"/>
          <w:szCs w:val="22"/>
        </w:rPr>
        <w:t>such as</w:t>
      </w:r>
      <w:r w:rsidRPr="003617BE" w:rsidR="00EE62B3">
        <w:rPr>
          <w:rFonts w:ascii="Aptos" w:hAnsi="Aptos"/>
          <w:sz w:val="22"/>
          <w:szCs w:val="22"/>
        </w:rPr>
        <w:t xml:space="preserve"> over-allocation and administrative burden. The EU </w:t>
      </w:r>
      <w:r w:rsidRPr="003617BE" w:rsidR="00FA6AB6">
        <w:rPr>
          <w:rFonts w:ascii="Aptos" w:hAnsi="Aptos"/>
          <w:sz w:val="22"/>
          <w:szCs w:val="22"/>
        </w:rPr>
        <w:t>transitioned</w:t>
      </w:r>
      <w:r w:rsidRPr="003617BE" w:rsidR="00EE62B3">
        <w:rPr>
          <w:rFonts w:ascii="Aptos" w:hAnsi="Aptos"/>
          <w:sz w:val="22"/>
          <w:szCs w:val="22"/>
        </w:rPr>
        <w:t xml:space="preserve"> to an EU-wide cap with standardized benchmarks, while South Korea i</w:t>
      </w:r>
      <w:r w:rsidRPr="003617BE" w:rsidR="00FA6AB6">
        <w:rPr>
          <w:rFonts w:ascii="Aptos" w:hAnsi="Aptos"/>
          <w:sz w:val="22"/>
          <w:szCs w:val="22"/>
        </w:rPr>
        <w:t>ncorporated</w:t>
      </w:r>
      <w:r w:rsidRPr="003617BE" w:rsidR="00EE62B3">
        <w:rPr>
          <w:rFonts w:ascii="Aptos" w:hAnsi="Aptos"/>
          <w:sz w:val="22"/>
          <w:szCs w:val="22"/>
        </w:rPr>
        <w:t xml:space="preserve"> more flexible me</w:t>
      </w:r>
      <w:r w:rsidRPr="003617BE" w:rsidR="00106268">
        <w:rPr>
          <w:rFonts w:ascii="Aptos" w:hAnsi="Aptos"/>
          <w:sz w:val="22"/>
          <w:szCs w:val="22"/>
        </w:rPr>
        <w:t>chanisms, including</w:t>
      </w:r>
      <w:r w:rsidRPr="003617BE" w:rsidR="00EE62B3">
        <w:rPr>
          <w:rFonts w:ascii="Aptos" w:hAnsi="Aptos"/>
          <w:sz w:val="22"/>
          <w:szCs w:val="22"/>
        </w:rPr>
        <w:t xml:space="preserve"> benchmarking and auctioning. </w:t>
      </w:r>
      <w:r w:rsidRPr="003617BE" w:rsidR="00BD46D9">
        <w:rPr>
          <w:rFonts w:ascii="Aptos" w:hAnsi="Aptos"/>
          <w:sz w:val="22"/>
          <w:szCs w:val="22"/>
        </w:rPr>
        <w:t xml:space="preserve">In contrast, </w:t>
      </w:r>
      <w:r w:rsidRPr="003617BE" w:rsidR="005E2A33">
        <w:rPr>
          <w:rFonts w:ascii="Aptos" w:hAnsi="Aptos"/>
          <w:sz w:val="22"/>
          <w:szCs w:val="22"/>
        </w:rPr>
        <w:t>California</w:t>
      </w:r>
      <w:r w:rsidRPr="003617BE" w:rsidR="005E2A33">
        <w:rPr>
          <w:rStyle w:val="EndnoteReference"/>
          <w:rFonts w:ascii="Aptos" w:hAnsi="Aptos"/>
          <w:sz w:val="22"/>
          <w:szCs w:val="22"/>
        </w:rPr>
        <w:endnoteReference w:id="12"/>
      </w:r>
      <w:r w:rsidRPr="003617BE" w:rsidR="005E2A33">
        <w:rPr>
          <w:rFonts w:ascii="Aptos" w:hAnsi="Aptos"/>
          <w:sz w:val="22"/>
          <w:szCs w:val="22"/>
        </w:rPr>
        <w:t xml:space="preserve"> </w:t>
      </w:r>
      <w:r w:rsidRPr="003617BE" w:rsidR="00EE62B3">
        <w:rPr>
          <w:rFonts w:ascii="Aptos" w:hAnsi="Aptos"/>
          <w:sz w:val="22"/>
          <w:szCs w:val="22"/>
        </w:rPr>
        <w:t>chose entity-level caps from the start</w:t>
      </w:r>
      <w:r w:rsidRPr="003617BE" w:rsidR="00793107">
        <w:rPr>
          <w:rFonts w:ascii="Aptos" w:hAnsi="Aptos"/>
          <w:sz w:val="22"/>
          <w:szCs w:val="22"/>
        </w:rPr>
        <w:t xml:space="preserve">, aiming </w:t>
      </w:r>
      <w:r w:rsidRPr="003617BE" w:rsidR="00EE62B3">
        <w:rPr>
          <w:rFonts w:ascii="Aptos" w:hAnsi="Aptos"/>
          <w:sz w:val="22"/>
          <w:szCs w:val="22"/>
        </w:rPr>
        <w:t xml:space="preserve">to </w:t>
      </w:r>
      <w:r w:rsidRPr="003617BE" w:rsidR="00793107">
        <w:rPr>
          <w:rFonts w:ascii="Aptos" w:hAnsi="Aptos"/>
          <w:sz w:val="22"/>
          <w:szCs w:val="22"/>
        </w:rPr>
        <w:t>reduce administrative complexity</w:t>
      </w:r>
      <w:r w:rsidRPr="003617BE" w:rsidR="00E95B1F">
        <w:rPr>
          <w:rFonts w:ascii="Aptos" w:hAnsi="Aptos"/>
          <w:sz w:val="22"/>
          <w:szCs w:val="22"/>
        </w:rPr>
        <w:t xml:space="preserve"> by limiting the number of</w:t>
      </w:r>
      <w:r w:rsidRPr="003617BE" w:rsidR="00EE62B3">
        <w:rPr>
          <w:rFonts w:ascii="Aptos" w:hAnsi="Aptos"/>
          <w:sz w:val="22"/>
          <w:szCs w:val="22"/>
        </w:rPr>
        <w:t xml:space="preserve"> regulated entities </w:t>
      </w:r>
      <w:r w:rsidRPr="003617BE" w:rsidR="00FD28EA">
        <w:rPr>
          <w:rFonts w:ascii="Aptos" w:hAnsi="Aptos"/>
          <w:sz w:val="22"/>
          <w:szCs w:val="22"/>
        </w:rPr>
        <w:t>and simplifying</w:t>
      </w:r>
      <w:r w:rsidRPr="003617BE" w:rsidR="00EE62B3">
        <w:rPr>
          <w:rFonts w:ascii="Aptos" w:hAnsi="Aptos"/>
          <w:sz w:val="22"/>
          <w:szCs w:val="22"/>
        </w:rPr>
        <w:t xml:space="preserve"> the MRV process</w:t>
      </w:r>
      <w:r w:rsidRPr="003617BE" w:rsidR="00147510">
        <w:rPr>
          <w:rFonts w:ascii="Aptos" w:hAnsi="Aptos"/>
          <w:sz w:val="22"/>
          <w:szCs w:val="22"/>
        </w:rPr>
        <w:t xml:space="preserve">. </w:t>
      </w:r>
      <w:r w:rsidRPr="003617BE" w:rsidR="00BA034C">
        <w:rPr>
          <w:rFonts w:ascii="Aptos" w:hAnsi="Aptos"/>
          <w:sz w:val="22"/>
          <w:szCs w:val="22"/>
        </w:rPr>
        <w:t xml:space="preserve">For the private sector, these decisions affect operational planning, compliance costs, and how efficiently emissions reductions can be managed across assets. </w:t>
      </w:r>
      <w:r w:rsidRPr="003617BE" w:rsidR="00362692">
        <w:rPr>
          <w:rFonts w:ascii="Aptos" w:hAnsi="Aptos"/>
          <w:sz w:val="22"/>
          <w:szCs w:val="22"/>
        </w:rPr>
        <w:t>As the SBCE is developed</w:t>
      </w:r>
      <w:r w:rsidRPr="003617BE" w:rsidR="00801A67">
        <w:rPr>
          <w:rFonts w:ascii="Aptos" w:hAnsi="Aptos"/>
          <w:sz w:val="22"/>
          <w:szCs w:val="22"/>
        </w:rPr>
        <w:t xml:space="preserve">, </w:t>
      </w:r>
      <w:r w:rsidRPr="003617BE" w:rsidR="00EE58D5">
        <w:rPr>
          <w:rFonts w:ascii="Aptos" w:hAnsi="Aptos"/>
          <w:sz w:val="22"/>
          <w:szCs w:val="22"/>
        </w:rPr>
        <w:t>it will be essential to</w:t>
      </w:r>
      <w:r w:rsidRPr="003617BE" w:rsidR="007F0DFE">
        <w:rPr>
          <w:rFonts w:ascii="Aptos" w:hAnsi="Aptos"/>
          <w:sz w:val="22"/>
          <w:szCs w:val="22"/>
        </w:rPr>
        <w:t xml:space="preserve"> </w:t>
      </w:r>
      <w:r w:rsidRPr="003617BE" w:rsidR="00C876E8">
        <w:rPr>
          <w:rFonts w:ascii="Aptos" w:hAnsi="Aptos"/>
          <w:sz w:val="22"/>
          <w:szCs w:val="22"/>
        </w:rPr>
        <w:t>strike</w:t>
      </w:r>
      <w:r w:rsidRPr="003617BE" w:rsidR="007F0DFE">
        <w:rPr>
          <w:rFonts w:ascii="Aptos" w:hAnsi="Aptos"/>
          <w:sz w:val="22"/>
          <w:szCs w:val="22"/>
        </w:rPr>
        <w:t xml:space="preserve"> a </w:t>
      </w:r>
      <w:r w:rsidRPr="003617BE" w:rsidR="00837F50">
        <w:rPr>
          <w:rFonts w:ascii="Aptos" w:hAnsi="Aptos"/>
          <w:sz w:val="22"/>
          <w:szCs w:val="22"/>
        </w:rPr>
        <w:t>careful</w:t>
      </w:r>
      <w:r w:rsidRPr="003617BE" w:rsidR="007F0DFE">
        <w:rPr>
          <w:rFonts w:ascii="Aptos" w:hAnsi="Aptos"/>
          <w:sz w:val="22"/>
          <w:szCs w:val="22"/>
        </w:rPr>
        <w:t xml:space="preserve"> </w:t>
      </w:r>
      <w:r w:rsidRPr="003617BE" w:rsidR="00147510">
        <w:rPr>
          <w:rFonts w:ascii="Aptos" w:hAnsi="Aptos"/>
          <w:sz w:val="22"/>
          <w:szCs w:val="22"/>
        </w:rPr>
        <w:t xml:space="preserve">balance </w:t>
      </w:r>
      <w:r w:rsidRPr="003617BE" w:rsidR="00837F50">
        <w:rPr>
          <w:rFonts w:ascii="Aptos" w:hAnsi="Aptos"/>
          <w:sz w:val="22"/>
          <w:szCs w:val="22"/>
        </w:rPr>
        <w:t xml:space="preserve">between </w:t>
      </w:r>
      <w:r w:rsidRPr="003617BE" w:rsidR="00147510">
        <w:rPr>
          <w:rFonts w:ascii="Aptos" w:hAnsi="Aptos"/>
          <w:sz w:val="22"/>
          <w:szCs w:val="22"/>
        </w:rPr>
        <w:t>accuracy, administrative feasibility, and sectoral impacts when determining the appropriate level</w:t>
      </w:r>
      <w:r w:rsidRPr="003617BE" w:rsidR="00BA034C">
        <w:rPr>
          <w:rFonts w:ascii="Aptos" w:hAnsi="Aptos"/>
          <w:sz w:val="22"/>
          <w:szCs w:val="22"/>
        </w:rPr>
        <w:t xml:space="preserve"> </w:t>
      </w:r>
      <w:r w:rsidRPr="003617BE" w:rsidR="00AC3844">
        <w:rPr>
          <w:rFonts w:ascii="Aptos" w:hAnsi="Aptos"/>
          <w:sz w:val="22"/>
          <w:szCs w:val="22"/>
        </w:rPr>
        <w:t>for applying the cap.</w:t>
      </w:r>
    </w:p>
    <w:p w:rsidRPr="003617BE" w:rsidR="00ED5027" w:rsidP="00E565C5" w:rsidRDefault="00063D14" w14:paraId="657321A9" w14:textId="11287C17">
      <w:pPr>
        <w:spacing w:before="60" w:after="60" w:line="276" w:lineRule="auto"/>
        <w:ind w:right="567"/>
        <w:jc w:val="both"/>
        <w:rPr>
          <w:rFonts w:ascii="Aptos" w:hAnsi="Aptos"/>
          <w:sz w:val="22"/>
          <w:szCs w:val="22"/>
        </w:rPr>
      </w:pPr>
      <w:r w:rsidRPr="003617BE">
        <w:rPr>
          <w:rFonts w:ascii="Aptos" w:hAnsi="Aptos"/>
          <w:sz w:val="22"/>
          <w:szCs w:val="22"/>
        </w:rPr>
        <w:t>To support industrial competitiveness</w:t>
      </w:r>
      <w:r w:rsidRPr="003617BE" w:rsidR="00AC11C4">
        <w:rPr>
          <w:rFonts w:ascii="Aptos" w:hAnsi="Aptos"/>
          <w:sz w:val="22"/>
          <w:szCs w:val="22"/>
        </w:rPr>
        <w:t>,</w:t>
      </w:r>
      <w:r w:rsidRPr="003617BE" w:rsidR="00AC11C4">
        <w:t xml:space="preserve"> </w:t>
      </w:r>
      <w:r w:rsidRPr="003617BE" w:rsidR="00AC11C4">
        <w:rPr>
          <w:rFonts w:ascii="Aptos" w:hAnsi="Aptos"/>
          <w:sz w:val="22"/>
          <w:szCs w:val="22"/>
        </w:rPr>
        <w:t>allocation</w:t>
      </w:r>
      <w:r w:rsidRPr="003617BE" w:rsidR="00B235BB">
        <w:rPr>
          <w:rFonts w:ascii="Aptos" w:hAnsi="Aptos"/>
          <w:sz w:val="22"/>
          <w:szCs w:val="22"/>
        </w:rPr>
        <w:t xml:space="preserve"> methods</w:t>
      </w:r>
      <w:r w:rsidRPr="003617BE" w:rsidR="00AC11C4">
        <w:rPr>
          <w:rFonts w:ascii="Aptos" w:hAnsi="Aptos"/>
          <w:sz w:val="22"/>
          <w:szCs w:val="22"/>
        </w:rPr>
        <w:t xml:space="preserve"> should reflect </w:t>
      </w:r>
      <w:r w:rsidRPr="003617BE">
        <w:rPr>
          <w:rFonts w:ascii="Aptos" w:hAnsi="Aptos"/>
          <w:sz w:val="22"/>
          <w:szCs w:val="22"/>
        </w:rPr>
        <w:t>inputs from regulated companies, including technological constraints, abatement costs, and historical emissions. California's Cap-and-Trade Program</w:t>
      </w:r>
      <w:r w:rsidRPr="003617BE">
        <w:rPr>
          <w:rStyle w:val="EndnoteReference"/>
          <w:rFonts w:ascii="Aptos" w:hAnsi="Aptos"/>
          <w:sz w:val="22"/>
          <w:szCs w:val="22"/>
        </w:rPr>
        <w:endnoteReference w:id="13"/>
      </w:r>
      <w:r w:rsidRPr="003617BE" w:rsidR="00F50F2C">
        <w:rPr>
          <w:rFonts w:ascii="Aptos" w:hAnsi="Aptos"/>
          <w:sz w:val="22"/>
          <w:szCs w:val="22"/>
        </w:rPr>
        <w:t xml:space="preserve"> offers a strong example</w:t>
      </w:r>
      <w:r w:rsidRPr="003617BE">
        <w:rPr>
          <w:rFonts w:ascii="Aptos" w:hAnsi="Aptos"/>
          <w:sz w:val="22"/>
          <w:szCs w:val="22"/>
        </w:rPr>
        <w:t xml:space="preserve">, </w:t>
      </w:r>
      <w:r w:rsidRPr="003617BE" w:rsidR="00902592">
        <w:rPr>
          <w:rFonts w:ascii="Aptos" w:hAnsi="Aptos"/>
          <w:sz w:val="22"/>
          <w:szCs w:val="22"/>
        </w:rPr>
        <w:t xml:space="preserve">using </w:t>
      </w:r>
      <w:r w:rsidRPr="003617BE">
        <w:rPr>
          <w:rFonts w:ascii="Aptos" w:hAnsi="Aptos"/>
          <w:sz w:val="22"/>
          <w:szCs w:val="22"/>
        </w:rPr>
        <w:t>actual production data, sector-specific benchmarks</w:t>
      </w:r>
      <w:r w:rsidRPr="003617BE" w:rsidR="0086448E">
        <w:rPr>
          <w:rFonts w:ascii="Aptos" w:hAnsi="Aptos"/>
          <w:sz w:val="22"/>
          <w:szCs w:val="22"/>
        </w:rPr>
        <w:t>, and emissions leakage risk</w:t>
      </w:r>
      <w:r w:rsidRPr="003617BE" w:rsidR="00D6514C">
        <w:rPr>
          <w:rFonts w:ascii="Aptos" w:hAnsi="Aptos"/>
          <w:sz w:val="22"/>
          <w:szCs w:val="22"/>
        </w:rPr>
        <w:t xml:space="preserve"> </w:t>
      </w:r>
      <w:r w:rsidRPr="003617BE">
        <w:rPr>
          <w:rFonts w:ascii="Aptos" w:hAnsi="Aptos"/>
          <w:sz w:val="22"/>
          <w:szCs w:val="22"/>
        </w:rPr>
        <w:t xml:space="preserve">factors </w:t>
      </w:r>
      <w:r w:rsidRPr="003617BE" w:rsidR="0086448E">
        <w:rPr>
          <w:rFonts w:ascii="Aptos" w:hAnsi="Aptos"/>
          <w:sz w:val="22"/>
          <w:szCs w:val="22"/>
        </w:rPr>
        <w:t>to align</w:t>
      </w:r>
      <w:r w:rsidRPr="003617BE">
        <w:rPr>
          <w:rFonts w:ascii="Aptos" w:hAnsi="Aptos"/>
          <w:sz w:val="22"/>
          <w:szCs w:val="22"/>
        </w:rPr>
        <w:t xml:space="preserve"> allocation with industrial realities </w:t>
      </w:r>
      <w:r w:rsidRPr="003617BE" w:rsidR="005D3AAB">
        <w:rPr>
          <w:rFonts w:ascii="Aptos" w:hAnsi="Aptos"/>
          <w:sz w:val="22"/>
          <w:szCs w:val="22"/>
        </w:rPr>
        <w:t>–</w:t>
      </w:r>
      <w:r w:rsidRPr="003617BE" w:rsidR="0086448E">
        <w:rPr>
          <w:rFonts w:ascii="Aptos" w:hAnsi="Aptos"/>
          <w:sz w:val="22"/>
          <w:szCs w:val="22"/>
        </w:rPr>
        <w:t xml:space="preserve"> while</w:t>
      </w:r>
      <w:r w:rsidRPr="003617BE" w:rsidR="005D3AAB">
        <w:rPr>
          <w:rFonts w:ascii="Aptos" w:hAnsi="Aptos"/>
          <w:sz w:val="22"/>
          <w:szCs w:val="22"/>
        </w:rPr>
        <w:t xml:space="preserve"> still relying on</w:t>
      </w:r>
      <w:r w:rsidRPr="003617BE">
        <w:rPr>
          <w:rFonts w:ascii="Aptos" w:hAnsi="Aptos"/>
          <w:sz w:val="22"/>
          <w:szCs w:val="22"/>
        </w:rPr>
        <w:t xml:space="preserve"> official emission inventories. Incorporating sectoral data during the design and review phases helps fine-tune allocation strategies.</w:t>
      </w:r>
      <w:r w:rsidRPr="003617BE" w:rsidR="00C65F4B">
        <w:rPr>
          <w:rFonts w:ascii="Aptos" w:hAnsi="Aptos"/>
          <w:sz w:val="22"/>
          <w:szCs w:val="22"/>
        </w:rPr>
        <w:t xml:space="preserve"> </w:t>
      </w:r>
    </w:p>
    <w:p w:rsidRPr="003617BE" w:rsidR="008F49C2" w:rsidP="00E565C5" w:rsidRDefault="002B436E" w14:paraId="1DEF34CA" w14:textId="6D69C748">
      <w:pPr>
        <w:spacing w:before="60" w:after="60" w:line="276" w:lineRule="auto"/>
        <w:ind w:right="567"/>
        <w:jc w:val="both"/>
        <w:rPr>
          <w:rFonts w:ascii="Aptos" w:hAnsi="Aptos"/>
          <w:sz w:val="22"/>
          <w:szCs w:val="22"/>
        </w:rPr>
      </w:pPr>
      <w:r w:rsidRPr="003617BE">
        <w:rPr>
          <w:rFonts w:ascii="Aptos" w:hAnsi="Aptos"/>
          <w:sz w:val="22"/>
          <w:szCs w:val="22"/>
        </w:rPr>
        <w:t>In this process, t</w:t>
      </w:r>
      <w:r w:rsidRPr="003617BE" w:rsidR="00063D14">
        <w:rPr>
          <w:rFonts w:ascii="Aptos" w:hAnsi="Aptos"/>
          <w:sz w:val="22"/>
          <w:szCs w:val="22"/>
        </w:rPr>
        <w:t xml:space="preserve">he government could also benefit from </w:t>
      </w:r>
      <w:r w:rsidRPr="003617BE" w:rsidR="008B2F7B">
        <w:rPr>
          <w:rFonts w:ascii="Aptos" w:hAnsi="Aptos"/>
          <w:sz w:val="22"/>
          <w:szCs w:val="22"/>
        </w:rPr>
        <w:t xml:space="preserve">international </w:t>
      </w:r>
      <w:r w:rsidRPr="003617BE" w:rsidR="00D26856">
        <w:rPr>
          <w:rFonts w:ascii="Aptos" w:hAnsi="Aptos"/>
          <w:sz w:val="22"/>
          <w:szCs w:val="22"/>
        </w:rPr>
        <w:t>best practices</w:t>
      </w:r>
      <w:r w:rsidRPr="003617BE" w:rsidR="00234D7B">
        <w:rPr>
          <w:rFonts w:ascii="Aptos" w:hAnsi="Aptos"/>
          <w:sz w:val="22"/>
          <w:szCs w:val="22"/>
        </w:rPr>
        <w:t xml:space="preserve">, </w:t>
      </w:r>
      <w:r w:rsidRPr="003617BE" w:rsidR="00EC3E98">
        <w:rPr>
          <w:rFonts w:ascii="Aptos" w:hAnsi="Aptos"/>
          <w:sz w:val="22"/>
          <w:szCs w:val="22"/>
        </w:rPr>
        <w:t>engag</w:t>
      </w:r>
      <w:r w:rsidRPr="003617BE" w:rsidR="00CB423A">
        <w:rPr>
          <w:rFonts w:ascii="Aptos" w:hAnsi="Aptos"/>
          <w:sz w:val="22"/>
          <w:szCs w:val="22"/>
        </w:rPr>
        <w:t>ing</w:t>
      </w:r>
      <w:r w:rsidRPr="003617BE" w:rsidR="00EC3E98">
        <w:rPr>
          <w:rFonts w:ascii="Aptos" w:hAnsi="Aptos"/>
          <w:sz w:val="22"/>
          <w:szCs w:val="22"/>
        </w:rPr>
        <w:t xml:space="preserve"> with</w:t>
      </w:r>
      <w:r w:rsidRPr="003617BE" w:rsidR="008B2F7B">
        <w:rPr>
          <w:rFonts w:ascii="Aptos" w:hAnsi="Aptos"/>
          <w:sz w:val="22"/>
          <w:szCs w:val="22"/>
        </w:rPr>
        <w:t xml:space="preserve"> multilateral entities, </w:t>
      </w:r>
      <w:r w:rsidRPr="003617BE" w:rsidR="00301E14">
        <w:rPr>
          <w:rFonts w:ascii="Aptos" w:hAnsi="Aptos"/>
          <w:sz w:val="22"/>
          <w:szCs w:val="22"/>
        </w:rPr>
        <w:t>alongside</w:t>
      </w:r>
      <w:r w:rsidRPr="003617BE" w:rsidR="00063D14">
        <w:rPr>
          <w:rFonts w:ascii="Aptos" w:hAnsi="Aptos"/>
          <w:sz w:val="22"/>
          <w:szCs w:val="22"/>
        </w:rPr>
        <w:t xml:space="preserve"> regulated </w:t>
      </w:r>
      <w:r w:rsidRPr="003617BE" w:rsidR="005F0683">
        <w:rPr>
          <w:rFonts w:ascii="Aptos" w:hAnsi="Aptos"/>
          <w:sz w:val="22"/>
          <w:szCs w:val="22"/>
        </w:rPr>
        <w:t>agents, to</w:t>
      </w:r>
      <w:r w:rsidRPr="003617BE" w:rsidR="00301E14">
        <w:rPr>
          <w:rFonts w:ascii="Aptos" w:hAnsi="Aptos"/>
          <w:sz w:val="22"/>
          <w:szCs w:val="22"/>
        </w:rPr>
        <w:t xml:space="preserve"> help</w:t>
      </w:r>
      <w:r w:rsidRPr="003617BE" w:rsidR="00063D14">
        <w:rPr>
          <w:rFonts w:ascii="Aptos" w:hAnsi="Aptos"/>
          <w:sz w:val="22"/>
          <w:szCs w:val="22"/>
        </w:rPr>
        <w:t xml:space="preserve"> structur</w:t>
      </w:r>
      <w:r w:rsidRPr="003617BE" w:rsidR="00301E14">
        <w:rPr>
          <w:rFonts w:ascii="Aptos" w:hAnsi="Aptos"/>
          <w:sz w:val="22"/>
          <w:szCs w:val="22"/>
        </w:rPr>
        <w:t>e</w:t>
      </w:r>
      <w:r w:rsidRPr="003617BE" w:rsidR="00063D14">
        <w:rPr>
          <w:rFonts w:ascii="Aptos" w:hAnsi="Aptos"/>
          <w:sz w:val="22"/>
          <w:szCs w:val="22"/>
        </w:rPr>
        <w:t xml:space="preserve"> </w:t>
      </w:r>
      <w:r w:rsidRPr="003617BE" w:rsidR="006E2D01">
        <w:rPr>
          <w:rFonts w:ascii="Aptos" w:hAnsi="Aptos"/>
          <w:sz w:val="22"/>
          <w:szCs w:val="22"/>
        </w:rPr>
        <w:t>and effective</w:t>
      </w:r>
      <w:r w:rsidRPr="003617BE" w:rsidR="00063D14">
        <w:rPr>
          <w:rFonts w:ascii="Aptos" w:hAnsi="Aptos"/>
          <w:sz w:val="22"/>
          <w:szCs w:val="22"/>
        </w:rPr>
        <w:t xml:space="preserve"> data-sharing process</w:t>
      </w:r>
      <w:r w:rsidRPr="003617BE" w:rsidR="008B2F7B">
        <w:rPr>
          <w:rFonts w:ascii="Aptos" w:hAnsi="Aptos"/>
          <w:sz w:val="22"/>
          <w:szCs w:val="22"/>
        </w:rPr>
        <w:t xml:space="preserve">. </w:t>
      </w:r>
      <w:r w:rsidRPr="003617BE" w:rsidR="008B2F7B">
        <w:rPr>
          <w:rFonts w:ascii="Aptos" w:hAnsi="Aptos"/>
          <w:sz w:val="22"/>
          <w:szCs w:val="22"/>
        </w:rPr>
        <w:lastRenderedPageBreak/>
        <w:t>T</w:t>
      </w:r>
      <w:r w:rsidRPr="003617BE" w:rsidR="00063D14">
        <w:rPr>
          <w:rFonts w:ascii="Aptos" w:hAnsi="Aptos"/>
          <w:sz w:val="22"/>
          <w:szCs w:val="22"/>
        </w:rPr>
        <w:t>he cement sector</w:t>
      </w:r>
      <w:r w:rsidRPr="003617BE" w:rsidR="0072089D">
        <w:rPr>
          <w:rFonts w:ascii="Aptos" w:hAnsi="Aptos"/>
          <w:sz w:val="22"/>
          <w:szCs w:val="22"/>
        </w:rPr>
        <w:t xml:space="preserve">, </w:t>
      </w:r>
      <w:r w:rsidRPr="003617BE" w:rsidR="00697E7C">
        <w:rPr>
          <w:rFonts w:ascii="Aptos" w:hAnsi="Aptos"/>
          <w:sz w:val="22"/>
          <w:szCs w:val="22"/>
        </w:rPr>
        <w:t>which</w:t>
      </w:r>
      <w:r w:rsidRPr="003617BE" w:rsidR="00063D14">
        <w:rPr>
          <w:rFonts w:ascii="Aptos" w:hAnsi="Aptos"/>
          <w:sz w:val="22"/>
          <w:szCs w:val="22"/>
        </w:rPr>
        <w:t xml:space="preserve"> has developed robust practices in monitoring and reporting GHG emissions</w:t>
      </w:r>
      <w:r w:rsidRPr="003617BE" w:rsidR="00D96B92">
        <w:rPr>
          <w:rFonts w:ascii="Aptos" w:hAnsi="Aptos"/>
          <w:sz w:val="22"/>
          <w:szCs w:val="22"/>
        </w:rPr>
        <w:t xml:space="preserve">, </w:t>
      </w:r>
      <w:r w:rsidRPr="003617BE" w:rsidR="00063D14">
        <w:rPr>
          <w:rFonts w:ascii="Aptos" w:hAnsi="Aptos"/>
          <w:sz w:val="22"/>
          <w:szCs w:val="22"/>
        </w:rPr>
        <w:t>could serve as a valuable pilot case to promote cross-sector dialogue and continuous improvement.</w:t>
      </w:r>
      <w:r w:rsidR="002670C2">
        <w:rPr>
          <w:rFonts w:ascii="Aptos" w:hAnsi="Aptos"/>
          <w:sz w:val="22"/>
          <w:szCs w:val="22"/>
        </w:rPr>
        <w:t xml:space="preserve"> </w:t>
      </w:r>
      <w:r w:rsidRPr="002670C2" w:rsidR="002670C2">
        <w:rPr>
          <w:rFonts w:ascii="Aptos" w:hAnsi="Aptos"/>
          <w:sz w:val="22"/>
          <w:szCs w:val="22"/>
        </w:rPr>
        <w:t>Brazil’s GHG Protocol, currently the most widely used tool for emissions reporting in the country, could also offer a relevant reference.</w:t>
      </w:r>
      <w:r w:rsidRPr="003617BE" w:rsidR="00ED5027">
        <w:rPr>
          <w:rFonts w:ascii="Aptos" w:hAnsi="Aptos"/>
          <w:sz w:val="22"/>
          <w:szCs w:val="22"/>
        </w:rPr>
        <w:t xml:space="preserve"> </w:t>
      </w:r>
      <w:r w:rsidRPr="003617BE" w:rsidR="000F2C93">
        <w:rPr>
          <w:rFonts w:ascii="Aptos" w:hAnsi="Aptos"/>
          <w:sz w:val="22"/>
          <w:szCs w:val="22"/>
        </w:rPr>
        <w:t>It would also be beneficial for t</w:t>
      </w:r>
      <w:r w:rsidRPr="003617BE" w:rsidR="008F49C2">
        <w:rPr>
          <w:rFonts w:ascii="Aptos" w:hAnsi="Aptos"/>
          <w:sz w:val="22"/>
          <w:szCs w:val="22"/>
        </w:rPr>
        <w:t>he regulation</w:t>
      </w:r>
      <w:r w:rsidRPr="003617BE" w:rsidR="00F70762">
        <w:rPr>
          <w:rFonts w:ascii="Aptos" w:hAnsi="Aptos"/>
          <w:sz w:val="22"/>
          <w:szCs w:val="22"/>
        </w:rPr>
        <w:t xml:space="preserve"> clearly </w:t>
      </w:r>
      <w:r w:rsidRPr="003617BE" w:rsidR="007302DF">
        <w:rPr>
          <w:rFonts w:ascii="Aptos" w:hAnsi="Aptos"/>
          <w:sz w:val="22"/>
          <w:szCs w:val="22"/>
        </w:rPr>
        <w:t>differentiates</w:t>
      </w:r>
      <w:r w:rsidRPr="003617BE" w:rsidR="00F70762">
        <w:rPr>
          <w:rFonts w:ascii="Aptos" w:hAnsi="Aptos"/>
          <w:sz w:val="22"/>
          <w:szCs w:val="22"/>
        </w:rPr>
        <w:t xml:space="preserve"> between</w:t>
      </w:r>
      <w:r w:rsidRPr="003617BE" w:rsidR="008F49C2">
        <w:rPr>
          <w:rFonts w:ascii="Aptos" w:hAnsi="Aptos"/>
          <w:sz w:val="22"/>
          <w:szCs w:val="22"/>
        </w:rPr>
        <w:t xml:space="preserve"> existing and new entrants, clarify compliance periods, and </w:t>
      </w:r>
      <w:r w:rsidRPr="003617BE" w:rsidR="00423A74">
        <w:rPr>
          <w:rFonts w:ascii="Aptos" w:hAnsi="Aptos"/>
          <w:sz w:val="22"/>
          <w:szCs w:val="22"/>
        </w:rPr>
        <w:t>include provisions</w:t>
      </w:r>
      <w:r w:rsidRPr="003617BE" w:rsidR="008F49C2">
        <w:rPr>
          <w:rFonts w:ascii="Aptos" w:hAnsi="Aptos"/>
          <w:sz w:val="22"/>
          <w:szCs w:val="22"/>
        </w:rPr>
        <w:t xml:space="preserve"> for periodic review of allocation methodologies.</w:t>
      </w:r>
    </w:p>
    <w:p w:rsidRPr="003617BE" w:rsidR="00F41012" w:rsidP="00E565C5" w:rsidRDefault="00ED5027" w14:paraId="6CD03C6C" w14:textId="24E4280E">
      <w:pPr>
        <w:spacing w:before="60" w:after="60" w:line="276" w:lineRule="auto"/>
        <w:ind w:right="567"/>
        <w:jc w:val="both"/>
        <w:rPr>
          <w:rFonts w:ascii="Aptos" w:hAnsi="Aptos"/>
          <w:sz w:val="22"/>
          <w:szCs w:val="22"/>
        </w:rPr>
      </w:pPr>
      <w:r w:rsidRPr="003617BE">
        <w:rPr>
          <w:rFonts w:ascii="Aptos" w:hAnsi="Aptos"/>
          <w:sz w:val="22"/>
          <w:szCs w:val="22"/>
        </w:rPr>
        <w:t>Finally, the SBCE’s contribution to Brazil’s NDC targets must be clearly communicated</w:t>
      </w:r>
      <w:r w:rsidRPr="003617BE" w:rsidR="0025544F">
        <w:rPr>
          <w:rFonts w:ascii="Aptos" w:hAnsi="Aptos"/>
          <w:sz w:val="22"/>
          <w:szCs w:val="22"/>
        </w:rPr>
        <w:t xml:space="preserve">, </w:t>
      </w:r>
      <w:r w:rsidRPr="003617BE">
        <w:rPr>
          <w:rFonts w:ascii="Aptos" w:hAnsi="Aptos"/>
          <w:sz w:val="22"/>
          <w:szCs w:val="22"/>
        </w:rPr>
        <w:t xml:space="preserve">including expected annual reductions, ambition trajectories, and effects on carbon prices. Early guidance is key to private sector readiness. </w:t>
      </w:r>
      <w:r w:rsidRPr="003617BE" w:rsidR="00A32EEA">
        <w:rPr>
          <w:rFonts w:ascii="Aptos" w:hAnsi="Aptos"/>
          <w:sz w:val="22"/>
          <w:szCs w:val="22"/>
        </w:rPr>
        <w:t xml:space="preserve">As there is currently no legal requirement for most companies in Brazil to report their greenhouse gas emissions, many still lack internal monitoring structures. This may lead to a shortage of service providers and digital </w:t>
      </w:r>
      <w:r w:rsidRPr="003617BE" w:rsidR="00E24293">
        <w:rPr>
          <w:rFonts w:ascii="Aptos" w:hAnsi="Aptos"/>
          <w:sz w:val="22"/>
          <w:szCs w:val="22"/>
        </w:rPr>
        <w:t>tools</w:t>
      </w:r>
      <w:r w:rsidRPr="003617BE" w:rsidR="00B1117A">
        <w:rPr>
          <w:rFonts w:ascii="Aptos" w:hAnsi="Aptos"/>
          <w:sz w:val="22"/>
          <w:szCs w:val="22"/>
        </w:rPr>
        <w:t xml:space="preserve">, </w:t>
      </w:r>
      <w:r w:rsidRPr="003617BE" w:rsidR="00A32EEA">
        <w:rPr>
          <w:rFonts w:ascii="Aptos" w:hAnsi="Aptos"/>
          <w:sz w:val="22"/>
          <w:szCs w:val="22"/>
        </w:rPr>
        <w:t>delay</w:t>
      </w:r>
      <w:r w:rsidRPr="003617BE" w:rsidR="00B1117A">
        <w:rPr>
          <w:rFonts w:ascii="Aptos" w:hAnsi="Aptos"/>
          <w:sz w:val="22"/>
          <w:szCs w:val="22"/>
        </w:rPr>
        <w:t>ing</w:t>
      </w:r>
      <w:r w:rsidRPr="003617BE" w:rsidR="00A32EEA">
        <w:rPr>
          <w:rFonts w:ascii="Aptos" w:hAnsi="Aptos"/>
          <w:sz w:val="22"/>
          <w:szCs w:val="22"/>
        </w:rPr>
        <w:t xml:space="preserve"> the adoption of emissions reporting practices across sectors.</w:t>
      </w:r>
    </w:p>
    <w:p w:rsidRPr="003617BE" w:rsidR="00D31AB7" w:rsidP="00E565C5" w:rsidRDefault="00D31AB7" w14:paraId="301A5634" w14:textId="0A23E290">
      <w:pPr>
        <w:spacing w:before="120" w:after="120" w:line="276" w:lineRule="auto"/>
        <w:ind w:right="567"/>
        <w:jc w:val="both"/>
        <w:rPr>
          <w:rFonts w:ascii="Aptos" w:hAnsi="Aptos"/>
          <w:b/>
          <w:bCs/>
          <w:sz w:val="22"/>
          <w:szCs w:val="22"/>
        </w:rPr>
      </w:pPr>
      <w:r w:rsidRPr="003617BE">
        <w:rPr>
          <w:rFonts w:ascii="Aptos" w:hAnsi="Aptos"/>
          <w:b/>
          <w:bCs/>
          <w:sz w:val="22"/>
          <w:szCs w:val="22"/>
        </w:rPr>
        <w:t>Taxation</w:t>
      </w:r>
      <w:r w:rsidRPr="003617BE" w:rsidR="000C463E">
        <w:rPr>
          <w:rFonts w:ascii="Aptos" w:hAnsi="Aptos"/>
          <w:b/>
          <w:bCs/>
          <w:sz w:val="22"/>
          <w:szCs w:val="22"/>
        </w:rPr>
        <w:t>, Resource Allocation and Use of Funds</w:t>
      </w:r>
    </w:p>
    <w:p w:rsidRPr="003617BE" w:rsidR="00A15814" w:rsidP="00E565C5" w:rsidRDefault="001D6C98" w14:paraId="5392ED41" w14:textId="320B1C23">
      <w:pPr>
        <w:spacing w:before="60" w:after="60" w:line="276" w:lineRule="auto"/>
        <w:ind w:right="567"/>
        <w:jc w:val="both"/>
        <w:rPr>
          <w:rFonts w:ascii="Aptos" w:hAnsi="Aptos"/>
          <w:sz w:val="22"/>
          <w:szCs w:val="22"/>
        </w:rPr>
      </w:pPr>
      <w:r w:rsidRPr="003617BE">
        <w:rPr>
          <w:rFonts w:ascii="Aptos" w:hAnsi="Aptos"/>
          <w:sz w:val="22"/>
          <w:szCs w:val="22"/>
        </w:rPr>
        <w:t xml:space="preserve">It is important that the </w:t>
      </w:r>
      <w:r w:rsidRPr="003617BE" w:rsidR="00C71A56">
        <w:rPr>
          <w:rFonts w:ascii="Aptos" w:hAnsi="Aptos"/>
          <w:sz w:val="22"/>
          <w:szCs w:val="22"/>
        </w:rPr>
        <w:t>revenues generated</w:t>
      </w:r>
      <w:r w:rsidRPr="003617BE">
        <w:rPr>
          <w:rFonts w:ascii="Aptos" w:hAnsi="Aptos"/>
          <w:sz w:val="22"/>
          <w:szCs w:val="22"/>
        </w:rPr>
        <w:t xml:space="preserve"> through the system are reinvested in decarbonization efforts. This includes not only R&amp;D but also institutional capacity building and support for jurisdictional programs, </w:t>
      </w:r>
      <w:r w:rsidRPr="003617BE" w:rsidR="00CB643A">
        <w:rPr>
          <w:rFonts w:ascii="Aptos" w:hAnsi="Aptos"/>
          <w:sz w:val="22"/>
          <w:szCs w:val="22"/>
        </w:rPr>
        <w:t>among other initiatives.</w:t>
      </w:r>
      <w:r w:rsidRPr="003617BE">
        <w:rPr>
          <w:rFonts w:ascii="Aptos" w:hAnsi="Aptos"/>
          <w:sz w:val="22"/>
          <w:szCs w:val="22"/>
        </w:rPr>
        <w:t xml:space="preserve"> </w:t>
      </w:r>
    </w:p>
    <w:p w:rsidRPr="003617BE" w:rsidR="00213D93" w:rsidP="00E565C5" w:rsidRDefault="00705B36" w14:paraId="305414F8" w14:textId="32C95A01">
      <w:pPr>
        <w:spacing w:before="60" w:after="60" w:line="276" w:lineRule="auto"/>
        <w:ind w:right="567"/>
        <w:jc w:val="both"/>
        <w:rPr>
          <w:rFonts w:ascii="Aptos" w:hAnsi="Aptos"/>
          <w:b/>
          <w:bCs/>
          <w:sz w:val="22"/>
          <w:szCs w:val="22"/>
        </w:rPr>
      </w:pPr>
      <w:r w:rsidRPr="003617BE">
        <w:rPr>
          <w:rFonts w:ascii="Aptos" w:hAnsi="Aptos"/>
          <w:sz w:val="22"/>
          <w:szCs w:val="22"/>
        </w:rPr>
        <w:t xml:space="preserve">Law 15,042/2024 sets a positive precedent by establishing that a share of revenues must be directed to technological innovation </w:t>
      </w:r>
      <w:r w:rsidRPr="003617BE" w:rsidR="00E94838">
        <w:rPr>
          <w:rFonts w:ascii="Aptos" w:hAnsi="Aptos"/>
          <w:sz w:val="22"/>
          <w:szCs w:val="22"/>
        </w:rPr>
        <w:t>focused</w:t>
      </w:r>
      <w:r w:rsidRPr="003617BE">
        <w:rPr>
          <w:rFonts w:ascii="Aptos" w:hAnsi="Aptos"/>
          <w:sz w:val="22"/>
          <w:szCs w:val="22"/>
        </w:rPr>
        <w:t xml:space="preserve"> </w:t>
      </w:r>
      <w:r w:rsidRPr="003617BE" w:rsidR="00E94838">
        <w:rPr>
          <w:rFonts w:ascii="Aptos" w:hAnsi="Aptos"/>
          <w:sz w:val="22"/>
          <w:szCs w:val="22"/>
        </w:rPr>
        <w:t>on</w:t>
      </w:r>
      <w:r w:rsidRPr="003617BE">
        <w:rPr>
          <w:rFonts w:ascii="Aptos" w:hAnsi="Aptos"/>
          <w:sz w:val="22"/>
          <w:szCs w:val="22"/>
        </w:rPr>
        <w:t xml:space="preserve"> low-carbon solutions for regulated activities</w:t>
      </w:r>
      <w:r w:rsidRPr="003617BE">
        <w:rPr>
          <w:rStyle w:val="EndnoteReference"/>
          <w:rFonts w:ascii="Aptos" w:hAnsi="Aptos"/>
          <w:sz w:val="22"/>
          <w:szCs w:val="22"/>
        </w:rPr>
        <w:endnoteReference w:id="14"/>
      </w:r>
      <w:r w:rsidRPr="003617BE">
        <w:rPr>
          <w:rFonts w:ascii="Aptos" w:hAnsi="Aptos"/>
          <w:sz w:val="22"/>
          <w:szCs w:val="22"/>
        </w:rPr>
        <w:t xml:space="preserve">. To </w:t>
      </w:r>
      <w:r w:rsidRPr="003617BE" w:rsidR="00E94838">
        <w:rPr>
          <w:rFonts w:ascii="Aptos" w:hAnsi="Aptos"/>
          <w:sz w:val="22"/>
          <w:szCs w:val="22"/>
        </w:rPr>
        <w:t>maximize the effectiveness of this provision</w:t>
      </w:r>
      <w:r w:rsidRPr="003617BE">
        <w:rPr>
          <w:rFonts w:ascii="Aptos" w:hAnsi="Aptos"/>
          <w:sz w:val="22"/>
          <w:szCs w:val="22"/>
        </w:rPr>
        <w:t xml:space="preserve">, it </w:t>
      </w:r>
      <w:r w:rsidRPr="003617BE" w:rsidR="00E007F6">
        <w:rPr>
          <w:rFonts w:ascii="Aptos" w:hAnsi="Aptos"/>
          <w:sz w:val="22"/>
          <w:szCs w:val="22"/>
        </w:rPr>
        <w:t>is</w:t>
      </w:r>
      <w:r w:rsidRPr="003617BE">
        <w:rPr>
          <w:rFonts w:ascii="Aptos" w:hAnsi="Aptos"/>
          <w:sz w:val="22"/>
          <w:szCs w:val="22"/>
        </w:rPr>
        <w:t xml:space="preserve"> important to clarify how these investments should be </w:t>
      </w:r>
      <w:r w:rsidRPr="003617BE" w:rsidR="00B4710F">
        <w:rPr>
          <w:rFonts w:ascii="Aptos" w:hAnsi="Aptos"/>
          <w:sz w:val="22"/>
          <w:szCs w:val="22"/>
        </w:rPr>
        <w:t>channelled</w:t>
      </w:r>
      <w:r w:rsidRPr="003617BE">
        <w:rPr>
          <w:rFonts w:ascii="Aptos" w:hAnsi="Aptos"/>
          <w:sz w:val="22"/>
          <w:szCs w:val="22"/>
        </w:rPr>
        <w:t>—whether primarily through publicly accredited institutions or directly through private entities.</w:t>
      </w:r>
      <w:r w:rsidRPr="003617BE" w:rsidR="0025544F">
        <w:rPr>
          <w:rFonts w:ascii="Aptos" w:hAnsi="Aptos"/>
          <w:sz w:val="22"/>
          <w:szCs w:val="22"/>
        </w:rPr>
        <w:t xml:space="preserve"> Clear guidance on eligible uses of funds, including the types of projects and activities that may receive support, is essential to </w:t>
      </w:r>
      <w:r w:rsidRPr="003617BE" w:rsidR="00975EBD">
        <w:rPr>
          <w:rFonts w:ascii="Aptos" w:hAnsi="Aptos"/>
          <w:sz w:val="22"/>
          <w:szCs w:val="22"/>
        </w:rPr>
        <w:t xml:space="preserve">prevent delays in allocation and to enable companies to plan and invest strategically. </w:t>
      </w:r>
      <w:r w:rsidRPr="003617BE" w:rsidR="0025544F">
        <w:rPr>
          <w:rFonts w:ascii="Aptos" w:hAnsi="Aptos"/>
          <w:sz w:val="22"/>
          <w:szCs w:val="22"/>
        </w:rPr>
        <w:t>Transparent</w:t>
      </w:r>
      <w:r w:rsidRPr="003617BE" w:rsidR="00975EBD">
        <w:rPr>
          <w:rFonts w:ascii="Aptos" w:hAnsi="Aptos"/>
          <w:sz w:val="22"/>
          <w:szCs w:val="22"/>
        </w:rPr>
        <w:t xml:space="preserve"> oversight</w:t>
      </w:r>
      <w:r w:rsidRPr="003617BE" w:rsidR="0025544F">
        <w:rPr>
          <w:rFonts w:ascii="Aptos" w:hAnsi="Aptos"/>
          <w:sz w:val="22"/>
          <w:szCs w:val="22"/>
        </w:rPr>
        <w:t xml:space="preserve"> mechanisms will </w:t>
      </w:r>
      <w:r w:rsidRPr="003617BE" w:rsidR="00EE1C91">
        <w:rPr>
          <w:rFonts w:ascii="Aptos" w:hAnsi="Aptos"/>
          <w:sz w:val="22"/>
          <w:szCs w:val="22"/>
        </w:rPr>
        <w:t>further ensure that</w:t>
      </w:r>
      <w:r w:rsidRPr="003617BE" w:rsidR="0025544F">
        <w:rPr>
          <w:rFonts w:ascii="Aptos" w:hAnsi="Aptos"/>
          <w:sz w:val="22"/>
          <w:szCs w:val="22"/>
        </w:rPr>
        <w:t xml:space="preserve"> </w:t>
      </w:r>
      <w:r w:rsidRPr="003617BE" w:rsidR="00EE1C91">
        <w:rPr>
          <w:rFonts w:ascii="Aptos" w:hAnsi="Aptos"/>
          <w:sz w:val="22"/>
          <w:szCs w:val="22"/>
        </w:rPr>
        <w:t>the financial flows of</w:t>
      </w:r>
      <w:r w:rsidRPr="003617BE" w:rsidR="0025544F">
        <w:rPr>
          <w:rFonts w:ascii="Aptos" w:hAnsi="Aptos"/>
          <w:sz w:val="22"/>
          <w:szCs w:val="22"/>
        </w:rPr>
        <w:t xml:space="preserve"> the SBCE</w:t>
      </w:r>
      <w:r w:rsidRPr="003617BE" w:rsidR="00684A14">
        <w:rPr>
          <w:rFonts w:ascii="Aptos" w:hAnsi="Aptos"/>
          <w:sz w:val="22"/>
          <w:szCs w:val="22"/>
        </w:rPr>
        <w:t xml:space="preserve"> align</w:t>
      </w:r>
      <w:r w:rsidRPr="003617BE" w:rsidR="0025544F">
        <w:rPr>
          <w:rFonts w:ascii="Aptos" w:hAnsi="Aptos"/>
          <w:sz w:val="22"/>
          <w:szCs w:val="22"/>
        </w:rPr>
        <w:t xml:space="preserve"> with its environmental goals and provide </w:t>
      </w:r>
      <w:r w:rsidRPr="003617BE" w:rsidR="00DE2F51">
        <w:rPr>
          <w:rFonts w:ascii="Aptos" w:hAnsi="Aptos"/>
          <w:sz w:val="22"/>
          <w:szCs w:val="22"/>
        </w:rPr>
        <w:t>participants with greater confidence and predictability.</w:t>
      </w:r>
    </w:p>
    <w:p w:rsidRPr="003617BE" w:rsidR="00D83B49" w:rsidP="00E565C5" w:rsidRDefault="00D83B49" w14:paraId="713BE8D4" w14:textId="335DBB96">
      <w:pPr>
        <w:spacing w:before="120" w:after="120" w:line="276" w:lineRule="auto"/>
        <w:ind w:right="567"/>
        <w:jc w:val="both"/>
        <w:rPr>
          <w:rFonts w:ascii="Aptos" w:hAnsi="Aptos"/>
          <w:b/>
          <w:bCs/>
          <w:sz w:val="22"/>
          <w:szCs w:val="22"/>
        </w:rPr>
      </w:pPr>
      <w:r w:rsidRPr="003617BE">
        <w:rPr>
          <w:rFonts w:ascii="Aptos" w:hAnsi="Aptos"/>
          <w:b/>
          <w:bCs/>
          <w:sz w:val="22"/>
          <w:szCs w:val="22"/>
        </w:rPr>
        <w:t>IPLC related issues</w:t>
      </w:r>
    </w:p>
    <w:p w:rsidR="00D21565" w:rsidP="00E565C5" w:rsidRDefault="00D83B49" w14:paraId="04209CFC" w14:textId="42CD924E">
      <w:pPr>
        <w:spacing w:before="60" w:after="60" w:line="276" w:lineRule="auto"/>
        <w:ind w:right="567"/>
        <w:jc w:val="both"/>
        <w:rPr>
          <w:rFonts w:ascii="Aptos" w:hAnsi="Aptos"/>
          <w:sz w:val="22"/>
          <w:szCs w:val="22"/>
        </w:rPr>
      </w:pPr>
      <w:r w:rsidRPr="003617BE">
        <w:rPr>
          <w:rFonts w:ascii="Aptos" w:hAnsi="Aptos"/>
          <w:sz w:val="22"/>
          <w:szCs w:val="22"/>
        </w:rPr>
        <w:t xml:space="preserve">As Indigenous Peoples and Local Communities (IPLCs) </w:t>
      </w:r>
      <w:r w:rsidRPr="003617BE" w:rsidR="00832F92">
        <w:rPr>
          <w:rFonts w:ascii="Aptos" w:hAnsi="Aptos"/>
          <w:sz w:val="22"/>
          <w:szCs w:val="22"/>
        </w:rPr>
        <w:t xml:space="preserve">are understood </w:t>
      </w:r>
      <w:r w:rsidRPr="003617BE">
        <w:rPr>
          <w:rFonts w:ascii="Aptos" w:hAnsi="Aptos"/>
          <w:sz w:val="22"/>
          <w:szCs w:val="22"/>
        </w:rPr>
        <w:t xml:space="preserve">to be fundamental in achieving our climate goals, the SBCE brings the opportunity to harmonize and define a unique procedure for Free, Prior and Informed Consent (FPIC) activities. Although FPIC </w:t>
      </w:r>
      <w:r w:rsidR="00FF4131">
        <w:rPr>
          <w:rFonts w:ascii="Aptos" w:hAnsi="Aptos"/>
          <w:sz w:val="22"/>
          <w:szCs w:val="22"/>
        </w:rPr>
        <w:t>procedures are</w:t>
      </w:r>
      <w:r w:rsidRPr="003617BE">
        <w:rPr>
          <w:rFonts w:ascii="Aptos" w:hAnsi="Aptos"/>
          <w:sz w:val="22"/>
          <w:szCs w:val="22"/>
        </w:rPr>
        <w:t xml:space="preserve"> already established under ILO Convention 169</w:t>
      </w:r>
      <w:r w:rsidRPr="003617BE">
        <w:rPr>
          <w:rStyle w:val="EndnoteReference"/>
          <w:rFonts w:ascii="Aptos" w:hAnsi="Aptos"/>
          <w:sz w:val="22"/>
          <w:szCs w:val="22"/>
        </w:rPr>
        <w:endnoteReference w:id="15"/>
      </w:r>
      <w:r w:rsidRPr="003617BE">
        <w:rPr>
          <w:rFonts w:ascii="Aptos" w:hAnsi="Aptos"/>
          <w:sz w:val="22"/>
          <w:szCs w:val="22"/>
        </w:rPr>
        <w:t xml:space="preserve">, </w:t>
      </w:r>
      <w:r w:rsidRPr="00D21565" w:rsidR="00D21565">
        <w:rPr>
          <w:rFonts w:ascii="Aptos" w:hAnsi="Aptos"/>
          <w:sz w:val="22"/>
          <w:szCs w:val="22"/>
        </w:rPr>
        <w:t>their application still lacks specific operational guidance adapted to Brazil’s institutional and legal context. Developing national guidelines that translate international principles into Brazil’s reality</w:t>
      </w:r>
      <w:r w:rsidR="00D21565">
        <w:rPr>
          <w:rFonts w:ascii="Aptos" w:hAnsi="Aptos"/>
          <w:sz w:val="22"/>
          <w:szCs w:val="22"/>
        </w:rPr>
        <w:t xml:space="preserve">, </w:t>
      </w:r>
      <w:r w:rsidRPr="00D21565" w:rsidR="00D21565">
        <w:rPr>
          <w:rFonts w:ascii="Aptos" w:hAnsi="Aptos"/>
          <w:sz w:val="22"/>
          <w:szCs w:val="22"/>
        </w:rPr>
        <w:t>offering clear procedures, timelines, and safeguards to support meaningful consultations</w:t>
      </w:r>
      <w:r w:rsidR="00D21565">
        <w:rPr>
          <w:rFonts w:ascii="Aptos" w:hAnsi="Aptos"/>
          <w:sz w:val="22"/>
          <w:szCs w:val="22"/>
        </w:rPr>
        <w:t xml:space="preserve">, </w:t>
      </w:r>
      <w:r w:rsidRPr="00D21565" w:rsidR="00D21565">
        <w:rPr>
          <w:rFonts w:ascii="Aptos" w:hAnsi="Aptos"/>
          <w:sz w:val="22"/>
          <w:szCs w:val="22"/>
        </w:rPr>
        <w:t xml:space="preserve">would be valuable. Such guidelines could help standardize the FPIC process and clarify the requirements for its validity. It is important to note, however, that the responsibility to regulate the Convention primarily rests with the Brazilian government. For instance, the CONAREDD+ Working </w:t>
      </w:r>
      <w:r w:rsidRPr="00D21565" w:rsidR="00D21565">
        <w:rPr>
          <w:rFonts w:ascii="Aptos" w:hAnsi="Aptos"/>
          <w:sz w:val="22"/>
          <w:szCs w:val="22"/>
        </w:rPr>
        <w:lastRenderedPageBreak/>
        <w:t>Group has advanced a Resolution on REDD+ safeguards, and further guidance from other government bodies may be necessary to ensure effective regulation under the Convention.</w:t>
      </w:r>
    </w:p>
    <w:p w:rsidRPr="003617BE" w:rsidR="006D1CBF" w:rsidP="00E565C5" w:rsidRDefault="00D83B49" w14:paraId="47A85C80" w14:textId="5BD7E2B2">
      <w:pPr>
        <w:spacing w:before="60" w:after="60" w:line="276" w:lineRule="auto"/>
        <w:ind w:right="567"/>
        <w:jc w:val="both"/>
        <w:rPr>
          <w:rFonts w:ascii="Aptos" w:hAnsi="Aptos"/>
          <w:sz w:val="22"/>
          <w:szCs w:val="22"/>
        </w:rPr>
      </w:pPr>
      <w:r w:rsidRPr="003617BE">
        <w:rPr>
          <w:rFonts w:ascii="Aptos" w:hAnsi="Aptos"/>
          <w:sz w:val="22"/>
          <w:szCs w:val="22"/>
        </w:rPr>
        <w:t>Law 15,042/2024 appropriately identifies FUNAI and the Public Prosecutor’s Office as key actors</w:t>
      </w:r>
      <w:r w:rsidRPr="003617BE">
        <w:rPr>
          <w:rStyle w:val="EndnoteReference"/>
          <w:rFonts w:ascii="Aptos" w:hAnsi="Aptos"/>
          <w:sz w:val="22"/>
          <w:szCs w:val="22"/>
        </w:rPr>
        <w:endnoteReference w:id="16"/>
      </w:r>
      <w:r w:rsidRPr="003617BE">
        <w:rPr>
          <w:rFonts w:ascii="Aptos" w:hAnsi="Aptos"/>
          <w:sz w:val="22"/>
          <w:szCs w:val="22"/>
        </w:rPr>
        <w:t>.</w:t>
      </w:r>
      <w:r w:rsidRPr="003617BE" w:rsidR="006D1CBF">
        <w:rPr>
          <w:rFonts w:ascii="Aptos" w:hAnsi="Aptos"/>
          <w:sz w:val="22"/>
          <w:szCs w:val="22"/>
        </w:rPr>
        <w:t xml:space="preserve"> During implementation, these institutions should be explicitly mandated to develop FPIC guidelines, facilitate dialogue between project developers and IPLCs, and oversee compliance. Their active role is essential, particularly in remote or vulnerable areas, to ensure legitimacy and functionality. </w:t>
      </w:r>
      <w:r w:rsidR="007C382A">
        <w:rPr>
          <w:rFonts w:ascii="Aptos" w:hAnsi="Aptos"/>
          <w:sz w:val="22"/>
          <w:szCs w:val="22"/>
        </w:rPr>
        <w:t>Furthermore, e</w:t>
      </w:r>
      <w:r w:rsidRPr="007C382A" w:rsidR="007C382A">
        <w:rPr>
          <w:rFonts w:ascii="Aptos" w:hAnsi="Aptos"/>
          <w:sz w:val="22"/>
          <w:szCs w:val="22"/>
        </w:rPr>
        <w:t>ncouraging project proponents to share evidence supporting co-benefit claims</w:t>
      </w:r>
      <w:r w:rsidR="007C382A">
        <w:rPr>
          <w:rFonts w:ascii="Aptos" w:hAnsi="Aptos"/>
          <w:sz w:val="22"/>
          <w:szCs w:val="22"/>
        </w:rPr>
        <w:t xml:space="preserve">, </w:t>
      </w:r>
      <w:r w:rsidRPr="007C382A" w:rsidR="007C382A">
        <w:rPr>
          <w:rFonts w:ascii="Aptos" w:hAnsi="Aptos"/>
          <w:sz w:val="22"/>
          <w:szCs w:val="22"/>
        </w:rPr>
        <w:t>such as biodiversity outcomes or socio-economic improvements</w:t>
      </w:r>
      <w:r w:rsidR="007C382A">
        <w:rPr>
          <w:rFonts w:ascii="Aptos" w:hAnsi="Aptos"/>
          <w:sz w:val="22"/>
          <w:szCs w:val="22"/>
        </w:rPr>
        <w:t xml:space="preserve">, </w:t>
      </w:r>
      <w:r w:rsidRPr="007C382A" w:rsidR="007C382A">
        <w:rPr>
          <w:rFonts w:ascii="Aptos" w:hAnsi="Aptos"/>
          <w:sz w:val="22"/>
          <w:szCs w:val="22"/>
        </w:rPr>
        <w:t>can help build trust and reinforce the credibility of carbon projects. In particular, promoting greater transparency around actions taken to safeguard and engage Indigenous Peoples and Local Communities (IPLCs) may enhance the legitimacy and inclusiveness of projects.</w:t>
      </w:r>
    </w:p>
    <w:p w:rsidR="006D1CBF" w:rsidP="00E565C5" w:rsidRDefault="006D1CBF" w14:paraId="20F1776A" w14:textId="6B7CFB16">
      <w:pPr>
        <w:spacing w:before="60" w:after="60" w:line="276" w:lineRule="auto"/>
        <w:ind w:right="567"/>
        <w:jc w:val="both"/>
        <w:rPr>
          <w:rFonts w:ascii="Aptos" w:hAnsi="Aptos"/>
          <w:sz w:val="22"/>
          <w:szCs w:val="22"/>
        </w:rPr>
      </w:pPr>
      <w:r w:rsidRPr="003617BE">
        <w:rPr>
          <w:rFonts w:ascii="Aptos" w:hAnsi="Aptos"/>
          <w:sz w:val="22"/>
          <w:szCs w:val="22"/>
        </w:rPr>
        <w:t xml:space="preserve">A second point concerns the interpretation of “territories.” While the law refers to “indigenous and </w:t>
      </w:r>
      <w:proofErr w:type="spellStart"/>
      <w:r w:rsidRPr="003617BE">
        <w:rPr>
          <w:rFonts w:ascii="Aptos" w:hAnsi="Aptos"/>
          <w:sz w:val="22"/>
          <w:szCs w:val="22"/>
        </w:rPr>
        <w:t>quilombola</w:t>
      </w:r>
      <w:proofErr w:type="spellEnd"/>
      <w:r w:rsidRPr="003617BE">
        <w:rPr>
          <w:rFonts w:ascii="Aptos" w:hAnsi="Aptos"/>
          <w:sz w:val="22"/>
          <w:szCs w:val="22"/>
        </w:rPr>
        <w:t xml:space="preserve"> territories,” it is unclear whether this includes only officially recognized areas or also those under claim or traditional occupation. Clarifying whether areas undergoing demarcation or titling are subject to FPIC</w:t>
      </w:r>
      <w:r w:rsidR="00FF4131">
        <w:rPr>
          <w:rFonts w:ascii="Aptos" w:hAnsi="Aptos"/>
          <w:sz w:val="22"/>
          <w:szCs w:val="22"/>
        </w:rPr>
        <w:t xml:space="preserve"> procedures</w:t>
      </w:r>
      <w:r w:rsidRPr="003617BE">
        <w:rPr>
          <w:rFonts w:ascii="Aptos" w:hAnsi="Aptos"/>
          <w:sz w:val="22"/>
          <w:szCs w:val="22"/>
        </w:rPr>
        <w:t xml:space="preserve"> will be crucial for legal certainty and effective implementation.</w:t>
      </w:r>
    </w:p>
    <w:p w:rsidRPr="003617BE" w:rsidR="004C736F" w:rsidP="00E565C5" w:rsidRDefault="000B022F" w14:paraId="2877BA3E" w14:textId="0FD1F1C7">
      <w:pPr>
        <w:spacing w:before="60" w:after="60" w:line="276" w:lineRule="auto"/>
        <w:ind w:right="567"/>
        <w:jc w:val="both"/>
        <w:rPr>
          <w:rFonts w:ascii="Aptos" w:hAnsi="Aptos"/>
          <w:sz w:val="22"/>
          <w:szCs w:val="22"/>
        </w:rPr>
      </w:pPr>
      <w:r w:rsidRPr="000B022F">
        <w:rPr>
          <w:rFonts w:ascii="Aptos" w:hAnsi="Aptos"/>
          <w:sz w:val="22"/>
          <w:szCs w:val="22"/>
        </w:rPr>
        <w:t>Another critical issue worth highlighting is the lack of adequate funding and technical capacity for conducting FPIC. Many Indigenous Peoples and Traditional Communities lack access to appropriate information and do not receive the technical or legal support necessary to fully understand the implications of carbon projects and to engage in the process in an autonomous and informed manner. Likewise, public institutions often face shortages in both human and financial resources, limiting their ability to effectively monitor and oversee FPIC proceedings, particularly in remote or underserved regions.</w:t>
      </w:r>
      <w:r w:rsidRPr="006B469A" w:rsidR="006B469A">
        <w:t xml:space="preserve"> </w:t>
      </w:r>
      <w:r w:rsidRPr="006B469A" w:rsidR="006B469A">
        <w:rPr>
          <w:rFonts w:ascii="Aptos" w:hAnsi="Aptos"/>
          <w:sz w:val="22"/>
          <w:szCs w:val="22"/>
        </w:rPr>
        <w:t>To address these challenges, it is worth considering the establishment of dedicated funding mechanisms for FPIC, as well as continuous training programs for public officials and community leaders.</w:t>
      </w:r>
    </w:p>
    <w:p w:rsidRPr="003617BE" w:rsidR="00D31AB7" w:rsidP="00E565C5" w:rsidRDefault="005F0683" w14:paraId="78660457" w14:textId="01BF8158">
      <w:pPr>
        <w:spacing w:before="120" w:after="120" w:line="276" w:lineRule="auto"/>
        <w:ind w:right="567"/>
        <w:jc w:val="both"/>
        <w:rPr>
          <w:rFonts w:ascii="Aptos" w:hAnsi="Aptos"/>
          <w:b/>
          <w:bCs/>
          <w:sz w:val="22"/>
          <w:szCs w:val="22"/>
        </w:rPr>
      </w:pPr>
      <w:r w:rsidRPr="003617BE">
        <w:rPr>
          <w:rFonts w:ascii="Aptos" w:hAnsi="Aptos"/>
          <w:b/>
          <w:bCs/>
          <w:sz w:val="22"/>
          <w:szCs w:val="22"/>
        </w:rPr>
        <w:t>Infringements</w:t>
      </w:r>
      <w:r w:rsidRPr="003617BE" w:rsidR="00D31AB7">
        <w:rPr>
          <w:rFonts w:ascii="Aptos" w:hAnsi="Aptos"/>
          <w:b/>
          <w:bCs/>
          <w:sz w:val="22"/>
          <w:szCs w:val="22"/>
        </w:rPr>
        <w:t xml:space="preserve"> and Penalties</w:t>
      </w:r>
    </w:p>
    <w:p w:rsidRPr="003617BE" w:rsidR="00512DE6" w:rsidP="00E565C5" w:rsidRDefault="00F67A7C" w14:paraId="671D7376" w14:textId="0FB44176">
      <w:pPr>
        <w:spacing w:before="60" w:after="60" w:line="276" w:lineRule="auto"/>
        <w:ind w:right="567"/>
        <w:jc w:val="both"/>
        <w:rPr>
          <w:rFonts w:ascii="Aptos" w:hAnsi="Aptos"/>
          <w:sz w:val="22"/>
          <w:szCs w:val="22"/>
        </w:rPr>
      </w:pPr>
      <w:r w:rsidRPr="003617BE">
        <w:rPr>
          <w:rFonts w:ascii="Aptos" w:hAnsi="Aptos"/>
          <w:sz w:val="22"/>
          <w:szCs w:val="22"/>
        </w:rPr>
        <w:t xml:space="preserve">The </w:t>
      </w:r>
      <w:r w:rsidRPr="003617BE" w:rsidR="00512DE6">
        <w:rPr>
          <w:rFonts w:ascii="Aptos" w:hAnsi="Aptos"/>
          <w:sz w:val="22"/>
          <w:szCs w:val="22"/>
        </w:rPr>
        <w:t>SBCE</w:t>
      </w:r>
      <w:r w:rsidRPr="003617BE">
        <w:rPr>
          <w:rFonts w:ascii="Aptos" w:hAnsi="Aptos"/>
          <w:sz w:val="22"/>
          <w:szCs w:val="22"/>
        </w:rPr>
        <w:t xml:space="preserve"> regulation should</w:t>
      </w:r>
      <w:r w:rsidRPr="003617BE" w:rsidR="00512DE6">
        <w:rPr>
          <w:rFonts w:ascii="Aptos" w:hAnsi="Aptos"/>
          <w:sz w:val="22"/>
          <w:szCs w:val="22"/>
        </w:rPr>
        <w:t xml:space="preserve"> provide clear guidelines </w:t>
      </w:r>
      <w:r w:rsidRPr="003617BE" w:rsidR="00723D5A">
        <w:rPr>
          <w:rFonts w:ascii="Aptos" w:hAnsi="Aptos"/>
          <w:sz w:val="22"/>
          <w:szCs w:val="22"/>
        </w:rPr>
        <w:t xml:space="preserve">for applying </w:t>
      </w:r>
      <w:r w:rsidR="00FF4131">
        <w:rPr>
          <w:rFonts w:ascii="Aptos" w:hAnsi="Aptos"/>
          <w:sz w:val="22"/>
          <w:szCs w:val="22"/>
        </w:rPr>
        <w:t xml:space="preserve">penalties </w:t>
      </w:r>
      <w:r w:rsidRPr="003617BE" w:rsidR="00723D5A">
        <w:rPr>
          <w:rFonts w:ascii="Aptos" w:hAnsi="Aptos"/>
          <w:sz w:val="22"/>
          <w:szCs w:val="22"/>
        </w:rPr>
        <w:t xml:space="preserve">outlined </w:t>
      </w:r>
      <w:r w:rsidRPr="003617BE" w:rsidR="000E4245">
        <w:rPr>
          <w:rFonts w:ascii="Aptos" w:hAnsi="Aptos"/>
          <w:sz w:val="22"/>
          <w:szCs w:val="22"/>
        </w:rPr>
        <w:t>in</w:t>
      </w:r>
      <w:r w:rsidRPr="003617BE" w:rsidR="00512DE6">
        <w:rPr>
          <w:rFonts w:ascii="Aptos" w:hAnsi="Aptos"/>
          <w:sz w:val="22"/>
          <w:szCs w:val="22"/>
        </w:rPr>
        <w:t xml:space="preserve"> Article 37 of the </w:t>
      </w:r>
      <w:r w:rsidRPr="003617BE" w:rsidR="005F0683">
        <w:rPr>
          <w:rFonts w:ascii="Aptos" w:hAnsi="Aptos"/>
          <w:sz w:val="22"/>
          <w:szCs w:val="22"/>
        </w:rPr>
        <w:t>law, including</w:t>
      </w:r>
      <w:r w:rsidRPr="003617BE" w:rsidR="00512DE6">
        <w:rPr>
          <w:rFonts w:ascii="Aptos" w:hAnsi="Aptos"/>
          <w:sz w:val="22"/>
          <w:szCs w:val="22"/>
        </w:rPr>
        <w:t xml:space="preserve"> warnings, fines, publication of the condemnation decision, suspension of activities, and restrictions on rights, such as the suspension or cancellation of licenses, loss of fiscal incentives, and prohibition from contracting with public authorities for up to three years.</w:t>
      </w:r>
    </w:p>
    <w:p w:rsidRPr="001B7DCD" w:rsidR="00CB423A" w:rsidP="00171AD4" w:rsidRDefault="00512DE6" w14:paraId="30678DBC" w14:textId="771A02A4">
      <w:pPr>
        <w:spacing w:before="60" w:after="60" w:line="276" w:lineRule="auto"/>
        <w:ind w:right="567"/>
        <w:jc w:val="both"/>
        <w:rPr>
          <w:rFonts w:ascii="Segoe UI" w:hAnsi="Segoe UI" w:eastAsia="Times New Roman" w:cs="Segoe UI"/>
          <w:color w:val="242424"/>
          <w:kern w:val="0"/>
          <w:sz w:val="23"/>
          <w:szCs w:val="23"/>
          <w:lang w:bidi="he-IL"/>
          <w14:ligatures w14:val="none"/>
        </w:rPr>
      </w:pPr>
      <w:r w:rsidRPr="003617BE">
        <w:rPr>
          <w:rFonts w:ascii="Aptos" w:hAnsi="Aptos"/>
          <w:sz w:val="22"/>
          <w:szCs w:val="22"/>
        </w:rPr>
        <w:t xml:space="preserve">To ensure the effectiveness and fairness of the system, the regulation must </w:t>
      </w:r>
      <w:r w:rsidRPr="003617BE" w:rsidR="00D64409">
        <w:rPr>
          <w:rFonts w:ascii="Aptos" w:hAnsi="Aptos"/>
          <w:sz w:val="22"/>
          <w:szCs w:val="22"/>
        </w:rPr>
        <w:t xml:space="preserve">bring </w:t>
      </w:r>
      <w:r w:rsidRPr="003617BE" w:rsidR="00403BCA">
        <w:rPr>
          <w:rFonts w:ascii="Aptos" w:hAnsi="Aptos"/>
          <w:sz w:val="22"/>
          <w:szCs w:val="22"/>
        </w:rPr>
        <w:t xml:space="preserve">precise provisions </w:t>
      </w:r>
      <w:r w:rsidRPr="003617BE" w:rsidR="00A7586F">
        <w:rPr>
          <w:rFonts w:ascii="Aptos" w:hAnsi="Aptos"/>
          <w:sz w:val="22"/>
          <w:szCs w:val="22"/>
        </w:rPr>
        <w:t xml:space="preserve">of </w:t>
      </w:r>
      <w:r w:rsidRPr="003617BE">
        <w:rPr>
          <w:rFonts w:ascii="Aptos" w:hAnsi="Aptos"/>
          <w:sz w:val="22"/>
          <w:szCs w:val="22"/>
        </w:rPr>
        <w:t xml:space="preserve">the circumstances under which each of these penalties would be enforced. This clarity will allow regulated entities to plan their operations to avoid violations, thus minimizing uncertainty and associated risks. Furthermore, the penalty framework </w:t>
      </w:r>
      <w:r w:rsidRPr="003617BE" w:rsidR="00CF4263">
        <w:rPr>
          <w:rFonts w:ascii="Aptos" w:hAnsi="Aptos"/>
          <w:sz w:val="22"/>
          <w:szCs w:val="22"/>
        </w:rPr>
        <w:t>can draw on</w:t>
      </w:r>
      <w:r w:rsidRPr="003617BE">
        <w:rPr>
          <w:rFonts w:ascii="Aptos" w:hAnsi="Aptos"/>
          <w:sz w:val="22"/>
          <w:szCs w:val="22"/>
        </w:rPr>
        <w:t xml:space="preserve"> international best practices, such as those of the EU ETS, </w:t>
      </w:r>
      <w:r w:rsidRPr="003617BE" w:rsidR="001B2790">
        <w:rPr>
          <w:rFonts w:ascii="Aptos" w:hAnsi="Aptos"/>
          <w:sz w:val="22"/>
          <w:szCs w:val="22"/>
        </w:rPr>
        <w:t>ensuring proportional and transparent enforcement.</w:t>
      </w:r>
      <w:r w:rsidRPr="003617BE" w:rsidR="001D3572">
        <w:rPr>
          <w:rFonts w:ascii="Aptos" w:hAnsi="Aptos"/>
          <w:sz w:val="22"/>
          <w:szCs w:val="22"/>
        </w:rPr>
        <w:t xml:space="preserve"> </w:t>
      </w:r>
      <w:r w:rsidRPr="003617BE" w:rsidR="00DD6CDF">
        <w:rPr>
          <w:rFonts w:ascii="Aptos" w:hAnsi="Aptos"/>
          <w:sz w:val="22"/>
          <w:szCs w:val="22"/>
        </w:rPr>
        <w:t xml:space="preserve">The establishment of </w:t>
      </w:r>
      <w:r w:rsidRPr="003617BE">
        <w:rPr>
          <w:rFonts w:ascii="Aptos" w:hAnsi="Aptos"/>
          <w:sz w:val="22"/>
          <w:szCs w:val="22"/>
        </w:rPr>
        <w:lastRenderedPageBreak/>
        <w:t xml:space="preserve">objective and transparent criteria for applying penalties, </w:t>
      </w:r>
      <w:r w:rsidRPr="003617BE" w:rsidR="00DD6CDF">
        <w:rPr>
          <w:rFonts w:ascii="Aptos" w:hAnsi="Aptos"/>
          <w:sz w:val="22"/>
          <w:szCs w:val="22"/>
        </w:rPr>
        <w:t>aligned</w:t>
      </w:r>
      <w:r w:rsidRPr="003617BE">
        <w:rPr>
          <w:rFonts w:ascii="Aptos" w:hAnsi="Aptos"/>
          <w:sz w:val="22"/>
          <w:szCs w:val="22"/>
        </w:rPr>
        <w:t xml:space="preserve"> with global standards</w:t>
      </w:r>
      <w:r w:rsidRPr="003617BE" w:rsidR="00DD6CDF">
        <w:rPr>
          <w:rFonts w:ascii="Aptos" w:hAnsi="Aptos"/>
          <w:sz w:val="22"/>
          <w:szCs w:val="22"/>
        </w:rPr>
        <w:t>, will help</w:t>
      </w:r>
      <w:r w:rsidRPr="003617BE">
        <w:rPr>
          <w:rFonts w:ascii="Aptos" w:hAnsi="Aptos"/>
          <w:sz w:val="22"/>
          <w:szCs w:val="22"/>
        </w:rPr>
        <w:t xml:space="preserve"> and provid</w:t>
      </w:r>
      <w:r w:rsidRPr="003617BE" w:rsidR="00DD6CDF">
        <w:rPr>
          <w:rFonts w:ascii="Aptos" w:hAnsi="Aptos"/>
          <w:sz w:val="22"/>
          <w:szCs w:val="22"/>
        </w:rPr>
        <w:t>e</w:t>
      </w:r>
      <w:r w:rsidRPr="003617BE">
        <w:rPr>
          <w:rFonts w:ascii="Aptos" w:hAnsi="Aptos"/>
          <w:sz w:val="22"/>
          <w:szCs w:val="22"/>
        </w:rPr>
        <w:t xml:space="preserve"> legal certainty for the operators within the system.</w:t>
      </w:r>
    </w:p>
    <w:sectPr w:rsidRPr="001B7DCD" w:rsidR="00CB423A" w:rsidSect="00183284">
      <w:headerReference w:type="even" r:id="rId11"/>
      <w:headerReference w:type="default" r:id="rId12"/>
      <w:footerReference w:type="default" r:id="rId13"/>
      <w:headerReference w:type="first" r:id="rId14"/>
      <w:type w:val="continuous"/>
      <w:pgSz w:w="11906" w:h="16838" w:orient="portrait"/>
      <w:pgMar w:top="3119" w:right="567" w:bottom="2268" w:left="113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Pr="001B7DCD" w:rsidR="00FE08AA" w:rsidP="007F381F" w:rsidRDefault="00FE08AA" w14:paraId="199BA371" w14:textId="77777777">
      <w:r w:rsidRPr="001B7DCD">
        <w:separator/>
      </w:r>
    </w:p>
  </w:endnote>
  <w:endnote w:type="continuationSeparator" w:id="0">
    <w:p w:rsidRPr="001B7DCD" w:rsidR="00FE08AA" w:rsidP="007F381F" w:rsidRDefault="00FE08AA" w14:paraId="7A4FC3A7" w14:textId="77777777">
      <w:r w:rsidRPr="001B7DCD">
        <w:continuationSeparator/>
      </w:r>
    </w:p>
  </w:endnote>
  <w:endnote w:type="continuationNotice" w:id="1">
    <w:p w:rsidRPr="001B7DCD" w:rsidR="00FE08AA" w:rsidRDefault="00FE08AA" w14:paraId="032C5747" w14:textId="77777777"/>
  </w:endnote>
  <w:endnote w:id="2">
    <w:p w:rsidR="00E61E87" w:rsidRDefault="00E61E87" w14:paraId="2DEC9393" w14:textId="54B693E2">
      <w:pPr>
        <w:pStyle w:val="EndnoteText"/>
      </w:pPr>
      <w:r>
        <w:rPr>
          <w:rStyle w:val="EndnoteReference"/>
        </w:rPr>
        <w:endnoteRef/>
      </w:r>
      <w:r>
        <w:t xml:space="preserve"> </w:t>
      </w:r>
      <w:r w:rsidRPr="00E61E87">
        <w:rPr>
          <w:b/>
          <w:bCs/>
        </w:rPr>
        <w:t>Climate Watch, 2024.</w:t>
      </w:r>
      <w:r w:rsidRPr="00E61E87">
        <w:t xml:space="preserve"> </w:t>
      </w:r>
      <w:r w:rsidRPr="00E61E87">
        <w:rPr>
          <w:i/>
          <w:iCs/>
        </w:rPr>
        <w:t>Brazil: Greenhouse gas emissions by sector</w:t>
      </w:r>
      <w:r w:rsidRPr="00E61E87">
        <w:t xml:space="preserve"> [Data set]. World Resources Institute.</w:t>
      </w:r>
    </w:p>
  </w:endnote>
  <w:endnote w:id="3">
    <w:p w:rsidR="00CF6653" w:rsidRDefault="00CF6653" w14:paraId="3AAF1950" w14:textId="40EAD080">
      <w:pPr>
        <w:pStyle w:val="EndnoteText"/>
      </w:pPr>
      <w:r>
        <w:rPr>
          <w:rStyle w:val="EndnoteReference"/>
        </w:rPr>
        <w:endnoteRef/>
      </w:r>
      <w:r>
        <w:t xml:space="preserve"> </w:t>
      </w:r>
      <w:r w:rsidRPr="001C1FC1" w:rsidR="001C1FC1">
        <w:rPr>
          <w:b/>
          <w:bCs/>
        </w:rPr>
        <w:t xml:space="preserve">United Nations Framework Convention on Climate Change, 2025. </w:t>
      </w:r>
      <w:r w:rsidRPr="009F25DB" w:rsidR="001C1FC1">
        <w:rPr>
          <w:i/>
          <w:iCs/>
        </w:rPr>
        <w:t>Key rules agreed for credible climate project crediting under UN carbon market</w:t>
      </w:r>
      <w:r w:rsidRPr="001C1FC1" w:rsidR="001C1FC1">
        <w:rPr>
          <w:b/>
          <w:bCs/>
        </w:rPr>
        <w:t>. UNFCC</w:t>
      </w:r>
      <w:r w:rsidR="00E61E87">
        <w:rPr>
          <w:b/>
          <w:bCs/>
        </w:rPr>
        <w:t>C</w:t>
      </w:r>
      <w:r w:rsidRPr="000F38B6" w:rsidR="000F38B6">
        <w:t xml:space="preserve">. </w:t>
      </w:r>
      <w:r w:rsidR="000F38B6">
        <w:t xml:space="preserve">Available </w:t>
      </w:r>
      <w:hyperlink w:history="1" r:id="rId1">
        <w:r w:rsidRPr="00431EB0" w:rsidR="000F38B6">
          <w:rPr>
            <w:rStyle w:val="Hyperlink"/>
          </w:rPr>
          <w:t>here</w:t>
        </w:r>
      </w:hyperlink>
      <w:r w:rsidR="00431EB0">
        <w:t>.</w:t>
      </w:r>
      <w:r w:rsidR="000F38B6">
        <w:t xml:space="preserve"> </w:t>
      </w:r>
    </w:p>
  </w:endnote>
  <w:endnote w:id="4">
    <w:p w:rsidR="00CD319A" w:rsidRDefault="00CD319A" w14:paraId="4FCDEDEC" w14:textId="7FBD9CF0">
      <w:pPr>
        <w:pStyle w:val="EndnoteText"/>
      </w:pPr>
      <w:r>
        <w:rPr>
          <w:rStyle w:val="EndnoteReference"/>
        </w:rPr>
        <w:endnoteRef/>
      </w:r>
      <w:r>
        <w:t xml:space="preserve"> </w:t>
      </w:r>
      <w:r w:rsidRPr="00171AD4" w:rsidR="00BA54EB">
        <w:rPr>
          <w:b/>
          <w:bCs/>
        </w:rPr>
        <w:t>Government of Singapore</w:t>
      </w:r>
      <w:r w:rsidRPr="00BA54EB" w:rsidR="00BA54EB">
        <w:t xml:space="preserve">, 2023. </w:t>
      </w:r>
      <w:r w:rsidRPr="00BA54EB" w:rsidR="00BA54EB">
        <w:rPr>
          <w:i/>
          <w:iCs/>
        </w:rPr>
        <w:t>Eligibility criteria for environmental integrity</w:t>
      </w:r>
      <w:r w:rsidRPr="00BA54EB" w:rsidR="00BA54EB">
        <w:t xml:space="preserve">. Carbon Markets Cooperation. Available </w:t>
      </w:r>
      <w:hyperlink w:tgtFrame="_new" w:history="1" r:id="rId2">
        <w:r w:rsidRPr="00BA54EB" w:rsidR="00BA54EB">
          <w:rPr>
            <w:rStyle w:val="Hyperlink"/>
          </w:rPr>
          <w:t>here.</w:t>
        </w:r>
      </w:hyperlink>
    </w:p>
  </w:endnote>
  <w:endnote w:id="5">
    <w:p w:rsidR="00DA335F" w:rsidRDefault="00DA335F" w14:paraId="2BBDA319" w14:textId="5A29356D">
      <w:pPr>
        <w:pStyle w:val="EndnoteText"/>
      </w:pPr>
      <w:r>
        <w:rPr>
          <w:rStyle w:val="EndnoteReference"/>
        </w:rPr>
        <w:endnoteRef/>
      </w:r>
      <w:r>
        <w:t xml:space="preserve"> </w:t>
      </w:r>
      <w:r w:rsidRPr="009F25DB" w:rsidR="009F25DB">
        <w:rPr>
          <w:b/>
          <w:bCs/>
        </w:rPr>
        <w:t>World Bank</w:t>
      </w:r>
      <w:r w:rsidR="009F25DB">
        <w:t xml:space="preserve">, </w:t>
      </w:r>
      <w:r w:rsidRPr="009F25DB" w:rsidR="009F25DB">
        <w:t xml:space="preserve">2022. </w:t>
      </w:r>
      <w:r w:rsidRPr="009F25DB" w:rsidR="009F25DB">
        <w:rPr>
          <w:i/>
          <w:iCs/>
        </w:rPr>
        <w:t>What you need to know about Article 6 of the Paris Agreement</w:t>
      </w:r>
      <w:r w:rsidRPr="009F25DB" w:rsidR="009F25DB">
        <w:t xml:space="preserve">. </w:t>
      </w:r>
      <w:r w:rsidR="009F25DB">
        <w:t xml:space="preserve">Available </w:t>
      </w:r>
      <w:hyperlink w:history="1" r:id="rId3">
        <w:r w:rsidRPr="009F25DB" w:rsidR="009F25DB">
          <w:rPr>
            <w:rStyle w:val="Hyperlink"/>
          </w:rPr>
          <w:t>here</w:t>
        </w:r>
      </w:hyperlink>
      <w:r w:rsidR="009F25DB">
        <w:t xml:space="preserve">. </w:t>
      </w:r>
    </w:p>
  </w:endnote>
  <w:endnote w:id="6">
    <w:p w:rsidR="00A16E62" w:rsidP="00A16E62" w:rsidRDefault="00A16E62" w14:paraId="0D14C0AB" w14:textId="77777777">
      <w:pPr>
        <w:pStyle w:val="EndnoteText"/>
      </w:pPr>
      <w:r>
        <w:rPr>
          <w:rStyle w:val="EndnoteReference"/>
        </w:rPr>
        <w:endnoteRef/>
      </w:r>
      <w:r>
        <w:t xml:space="preserve"> </w:t>
      </w:r>
      <w:r w:rsidRPr="00D628E6">
        <w:rPr>
          <w:b/>
          <w:bCs/>
        </w:rPr>
        <w:t>Brazil</w:t>
      </w:r>
      <w:r w:rsidRPr="00B463CF">
        <w:t xml:space="preserve">, </w:t>
      </w:r>
      <w:r w:rsidRPr="00B463CF">
        <w:rPr>
          <w:i/>
          <w:iCs/>
        </w:rPr>
        <w:t xml:space="preserve">Law No. 15.042 of </w:t>
      </w:r>
      <w:r>
        <w:rPr>
          <w:i/>
          <w:iCs/>
        </w:rPr>
        <w:t>December</w:t>
      </w:r>
      <w:r w:rsidRPr="00B463CF">
        <w:rPr>
          <w:i/>
          <w:iCs/>
        </w:rPr>
        <w:t xml:space="preserve"> </w:t>
      </w:r>
      <w:r>
        <w:rPr>
          <w:i/>
          <w:iCs/>
        </w:rPr>
        <w:t>11</w:t>
      </w:r>
      <w:r w:rsidRPr="00B463CF">
        <w:rPr>
          <w:i/>
          <w:iCs/>
        </w:rPr>
        <w:t>, 2024</w:t>
      </w:r>
      <w:r w:rsidRPr="00B463CF">
        <w:t xml:space="preserve">, art. </w:t>
      </w:r>
      <w:r>
        <w:t>43</w:t>
      </w:r>
      <w:r w:rsidRPr="00B463CF">
        <w:t>,</w:t>
      </w:r>
      <w:r w:rsidRPr="00C13EE5">
        <w:t xml:space="preserve"> </w:t>
      </w:r>
      <w:r w:rsidRPr="000E441C">
        <w:t xml:space="preserve">§ </w:t>
      </w:r>
      <w:r>
        <w:t>6</w:t>
      </w:r>
      <w:r w:rsidRPr="000E441C">
        <w:t>º</w:t>
      </w:r>
      <w:r w:rsidRPr="00B463CF">
        <w:t xml:space="preserve">. Official Gazette of the Union, </w:t>
      </w:r>
      <w:r>
        <w:t>Dec</w:t>
      </w:r>
      <w:r w:rsidRPr="00B463CF">
        <w:t>. 1</w:t>
      </w:r>
      <w:r>
        <w:t>2</w:t>
      </w:r>
      <w:r w:rsidRPr="00B463CF">
        <w:t xml:space="preserve">, 2024. </w:t>
      </w:r>
      <w:r w:rsidRPr="000E441C">
        <w:t xml:space="preserve">Available </w:t>
      </w:r>
      <w:hyperlink w:history="1" r:id="rId4">
        <w:r w:rsidRPr="000E441C">
          <w:rPr>
            <w:rStyle w:val="Hyperlink"/>
          </w:rPr>
          <w:t>here</w:t>
        </w:r>
      </w:hyperlink>
      <w:r w:rsidRPr="000E441C">
        <w:t>.</w:t>
      </w:r>
    </w:p>
  </w:endnote>
  <w:endnote w:id="7">
    <w:p w:rsidRPr="00171AD4" w:rsidR="00A16E62" w:rsidP="00A16E62" w:rsidRDefault="00A16E62" w14:paraId="70300BA7" w14:textId="77777777">
      <w:pPr>
        <w:pStyle w:val="EndnoteText"/>
        <w:rPr>
          <w:lang w:val="pt-BR"/>
        </w:rPr>
      </w:pPr>
      <w:r>
        <w:rPr>
          <w:rStyle w:val="EndnoteReference"/>
        </w:rPr>
        <w:endnoteRef/>
      </w:r>
      <w:r w:rsidRPr="00AC3F9F">
        <w:t xml:space="preserve"> </w:t>
      </w:r>
      <w:r w:rsidRPr="007F0D95">
        <w:rPr>
          <w:b/>
          <w:bCs/>
        </w:rPr>
        <w:t>Brazil,</w:t>
      </w:r>
      <w:r>
        <w:t xml:space="preserve"> </w:t>
      </w:r>
      <w:r w:rsidRPr="00B463CF">
        <w:rPr>
          <w:i/>
          <w:iCs/>
        </w:rPr>
        <w:t xml:space="preserve">Law No. 15.042 of </w:t>
      </w:r>
      <w:r>
        <w:rPr>
          <w:i/>
          <w:iCs/>
        </w:rPr>
        <w:t>December</w:t>
      </w:r>
      <w:r w:rsidRPr="00B463CF">
        <w:rPr>
          <w:i/>
          <w:iCs/>
        </w:rPr>
        <w:t xml:space="preserve"> </w:t>
      </w:r>
      <w:r>
        <w:rPr>
          <w:i/>
          <w:iCs/>
        </w:rPr>
        <w:t>11</w:t>
      </w:r>
      <w:r w:rsidRPr="00B463CF">
        <w:rPr>
          <w:i/>
          <w:iCs/>
        </w:rPr>
        <w:t>, 2024</w:t>
      </w:r>
      <w:r w:rsidRPr="00B463CF">
        <w:t xml:space="preserve">, art. </w:t>
      </w:r>
      <w:r>
        <w:t>43</w:t>
      </w:r>
      <w:r w:rsidRPr="00B463CF">
        <w:t>,</w:t>
      </w:r>
      <w:r>
        <w:t xml:space="preserve"> </w:t>
      </w:r>
      <w:r w:rsidRPr="000E441C">
        <w:t>§ 6º</w:t>
      </w:r>
      <w:r w:rsidRPr="00B463CF">
        <w:t xml:space="preserve">. Official Gazette of the Union, </w:t>
      </w:r>
      <w:r>
        <w:t>Dec</w:t>
      </w:r>
      <w:r w:rsidRPr="00B463CF">
        <w:t>. 1</w:t>
      </w:r>
      <w:r>
        <w:t>2</w:t>
      </w:r>
      <w:r w:rsidRPr="00B463CF">
        <w:t xml:space="preserve">, 2024. </w:t>
      </w:r>
      <w:r w:rsidRPr="00171AD4">
        <w:rPr>
          <w:lang w:val="pt-BR"/>
        </w:rPr>
        <w:t xml:space="preserve">Available </w:t>
      </w:r>
      <w:r>
        <w:fldChar w:fldCharType="begin"/>
      </w:r>
      <w:r w:rsidRPr="005355E5">
        <w:rPr>
          <w:lang w:val="pt-BR"/>
        </w:rPr>
        <w:instrText>HYPERLINK "https://legislacao.presidencia.gov.br/atos/?tipo=LEI&amp;numero=15042&amp;ano=2024&amp;ato=997QTQE1UNZpWTb27"</w:instrText>
      </w:r>
      <w:r>
        <w:fldChar w:fldCharType="separate"/>
      </w:r>
      <w:r w:rsidRPr="00171AD4">
        <w:rPr>
          <w:rStyle w:val="Hyperlink"/>
          <w:lang w:val="pt-BR"/>
        </w:rPr>
        <w:t>here</w:t>
      </w:r>
      <w:r>
        <w:fldChar w:fldCharType="end"/>
      </w:r>
      <w:r w:rsidRPr="00171AD4">
        <w:rPr>
          <w:lang w:val="pt-BR"/>
        </w:rPr>
        <w:t>.</w:t>
      </w:r>
    </w:p>
  </w:endnote>
  <w:endnote w:id="8">
    <w:p w:rsidRPr="00131852" w:rsidR="00A16E62" w:rsidP="00A16E62" w:rsidRDefault="00A16E62" w14:paraId="7E3BF3F5" w14:textId="77777777">
      <w:pPr>
        <w:pStyle w:val="EndnoteText"/>
        <w:rPr>
          <w:lang w:val="en-CA"/>
        </w:rPr>
      </w:pPr>
      <w:r>
        <w:rPr>
          <w:rStyle w:val="EndnoteReference"/>
        </w:rPr>
        <w:endnoteRef/>
      </w:r>
      <w:r w:rsidRPr="008F3066">
        <w:rPr>
          <w:lang w:val="pt-BR"/>
        </w:rPr>
        <w:t xml:space="preserve"> </w:t>
      </w:r>
      <w:r w:rsidRPr="00D059FB">
        <w:rPr>
          <w:b/>
          <w:bCs/>
          <w:lang w:val="pt-BR"/>
        </w:rPr>
        <w:t>Plano de Ação para Prevenção e Controle do Desmatamento na Amazônia Legal (PPCDAm)</w:t>
      </w:r>
      <w:r w:rsidRPr="008F3066">
        <w:rPr>
          <w:lang w:val="pt-BR"/>
        </w:rPr>
        <w:t xml:space="preserve"> </w:t>
      </w:r>
      <w:r w:rsidRPr="009F25DB">
        <w:rPr>
          <w:i/>
          <w:iCs/>
          <w:lang w:val="pt-BR"/>
        </w:rPr>
        <w:t>- 5ª Fase (2023 a 2027).</w:t>
      </w:r>
      <w:r>
        <w:rPr>
          <w:lang w:val="pt-BR"/>
        </w:rPr>
        <w:t xml:space="preserve"> </w:t>
      </w:r>
      <w:r w:rsidRPr="00131852">
        <w:rPr>
          <w:lang w:val="en-CA"/>
        </w:rPr>
        <w:t xml:space="preserve">Available </w:t>
      </w:r>
      <w:hyperlink w:history="1" r:id="rId5">
        <w:r w:rsidRPr="00131852">
          <w:rPr>
            <w:rStyle w:val="Hyperlink"/>
            <w:lang w:val="en-CA"/>
          </w:rPr>
          <w:t>here</w:t>
        </w:r>
      </w:hyperlink>
      <w:r w:rsidRPr="00131852">
        <w:rPr>
          <w:lang w:val="en-CA"/>
        </w:rPr>
        <w:t xml:space="preserve">. </w:t>
      </w:r>
    </w:p>
  </w:endnote>
  <w:endnote w:id="9">
    <w:p w:rsidR="00CE354D" w:rsidRDefault="00CE354D" w14:paraId="7197FB2D" w14:textId="61AB5C58">
      <w:pPr>
        <w:pStyle w:val="EndnoteText"/>
      </w:pPr>
      <w:r>
        <w:rPr>
          <w:rStyle w:val="EndnoteReference"/>
        </w:rPr>
        <w:endnoteRef/>
      </w:r>
      <w:r>
        <w:t xml:space="preserve"> </w:t>
      </w:r>
      <w:r w:rsidRPr="009B3B74">
        <w:rPr>
          <w:b/>
          <w:bCs/>
        </w:rPr>
        <w:t>European Commission</w:t>
      </w:r>
      <w:r>
        <w:t>,</w:t>
      </w:r>
      <w:r w:rsidRPr="00CE354D">
        <w:t xml:space="preserve"> 2012</w:t>
      </w:r>
      <w:r>
        <w:t xml:space="preserve">. </w:t>
      </w:r>
      <w:r w:rsidRPr="00CE354D">
        <w:rPr>
          <w:i/>
          <w:iCs/>
        </w:rPr>
        <w:t>Commission launches public consultation on structural options to strengthen the EU emissions trading system</w:t>
      </w:r>
      <w:r w:rsidRPr="00CE354D">
        <w:t>. Climate Action.</w:t>
      </w:r>
      <w:r>
        <w:t xml:space="preserve"> Available</w:t>
      </w:r>
      <w:r w:rsidRPr="00CE354D">
        <w:t xml:space="preserve"> </w:t>
      </w:r>
      <w:hyperlink w:tgtFrame="_new" w:history="1" r:id="rId6">
        <w:r>
          <w:rPr>
            <w:rStyle w:val="Hyperlink"/>
          </w:rPr>
          <w:t xml:space="preserve">here. </w:t>
        </w:r>
      </w:hyperlink>
    </w:p>
  </w:endnote>
  <w:endnote w:id="10">
    <w:p w:rsidR="0066300F" w:rsidRDefault="0066300F" w14:paraId="27D24ED3" w14:textId="1DDB5953">
      <w:pPr>
        <w:pStyle w:val="EndnoteText"/>
      </w:pPr>
      <w:r>
        <w:rPr>
          <w:rStyle w:val="EndnoteReference"/>
        </w:rPr>
        <w:endnoteRef/>
      </w:r>
      <w:r>
        <w:t xml:space="preserve"> </w:t>
      </w:r>
      <w:r w:rsidRPr="009B3B74">
        <w:rPr>
          <w:b/>
          <w:bCs/>
        </w:rPr>
        <w:t>European Commission</w:t>
      </w:r>
      <w:r>
        <w:t>, 2025.</w:t>
      </w:r>
      <w:r w:rsidRPr="0066300F">
        <w:t xml:space="preserve"> </w:t>
      </w:r>
      <w:r w:rsidRPr="0066300F">
        <w:rPr>
          <w:i/>
          <w:iCs/>
        </w:rPr>
        <w:t>Commission launches public consultation on the EU Emissions Trading System and the Market Stability Reserve</w:t>
      </w:r>
      <w:r w:rsidRPr="0066300F">
        <w:t>. Climate Action.</w:t>
      </w:r>
      <w:r>
        <w:t xml:space="preserve"> Available</w:t>
      </w:r>
      <w:r w:rsidRPr="0066300F">
        <w:t xml:space="preserve"> </w:t>
      </w:r>
      <w:hyperlink w:tgtFrame="_new" w:history="1" r:id="rId7">
        <w:r>
          <w:rPr>
            <w:rStyle w:val="Hyperlink"/>
          </w:rPr>
          <w:t xml:space="preserve">here. </w:t>
        </w:r>
      </w:hyperlink>
    </w:p>
  </w:endnote>
  <w:endnote w:id="11">
    <w:p w:rsidRPr="00DA1B8F" w:rsidR="005E2A33" w:rsidP="005E2A33" w:rsidRDefault="005E2A33" w14:paraId="179AA90B" w14:textId="4E1923E3">
      <w:pPr>
        <w:pStyle w:val="EndnoteText"/>
      </w:pPr>
      <w:r w:rsidRPr="00DA1B8F">
        <w:rPr>
          <w:rStyle w:val="EndnoteReference"/>
        </w:rPr>
        <w:endnoteRef/>
      </w:r>
      <w:r w:rsidRPr="00DA1B8F">
        <w:t xml:space="preserve"> </w:t>
      </w:r>
      <w:r w:rsidRPr="007F0D95">
        <w:rPr>
          <w:b/>
          <w:bCs/>
        </w:rPr>
        <w:t>European Commission,</w:t>
      </w:r>
      <w:r w:rsidR="009F25DB">
        <w:rPr>
          <w:b/>
          <w:bCs/>
        </w:rPr>
        <w:t xml:space="preserve"> 2015.</w:t>
      </w:r>
      <w:r w:rsidRPr="00DA1B8F">
        <w:t xml:space="preserve"> </w:t>
      </w:r>
      <w:r w:rsidRPr="00D628E6" w:rsidR="00D628E6">
        <w:rPr>
          <w:bCs/>
        </w:rPr>
        <w:t>EU ETS Handbook (Brussels: Directorate-General for Climate Action, 2015)</w:t>
      </w:r>
      <w:r w:rsidR="00D628E6">
        <w:rPr>
          <w:bCs/>
        </w:rPr>
        <w:t xml:space="preserve">. Available </w:t>
      </w:r>
      <w:hyperlink w:tgtFrame="_new" w:history="1" r:id="rId8">
        <w:r w:rsidR="00D628E6">
          <w:rPr>
            <w:rStyle w:val="Hyperlink"/>
            <w:b w:val="0"/>
            <w:bCs/>
          </w:rPr>
          <w:t>here.</w:t>
        </w:r>
      </w:hyperlink>
    </w:p>
  </w:endnote>
  <w:endnote w:id="12">
    <w:p w:rsidRPr="00DA1B8F" w:rsidR="005E2A33" w:rsidP="005E2A33" w:rsidRDefault="005E2A33" w14:paraId="55A0DF7E" w14:textId="514EE23C">
      <w:pPr>
        <w:pStyle w:val="EndnoteText"/>
        <w:rPr>
          <w:b/>
          <w:bCs/>
        </w:rPr>
      </w:pPr>
      <w:r w:rsidRPr="00DA1B8F">
        <w:rPr>
          <w:rStyle w:val="EndnoteReference"/>
        </w:rPr>
        <w:endnoteRef/>
      </w:r>
      <w:r w:rsidRPr="00DA1B8F">
        <w:t xml:space="preserve"> </w:t>
      </w:r>
      <w:r w:rsidRPr="007F0D95">
        <w:rPr>
          <w:b/>
          <w:bCs/>
        </w:rPr>
        <w:t>California Air Resources Board</w:t>
      </w:r>
      <w:r w:rsidR="00F875BA">
        <w:rPr>
          <w:b/>
          <w:bCs/>
        </w:rPr>
        <w:t>.</w:t>
      </w:r>
      <w:r w:rsidRPr="00DA1B8F">
        <w:t xml:space="preserve"> </w:t>
      </w:r>
      <w:hyperlink w:history="1" r:id="rId9">
        <w:r w:rsidRPr="00F875BA" w:rsidR="00D628E6">
          <w:rPr>
            <w:i/>
            <w:iCs/>
          </w:rPr>
          <w:t>Chapter 3: What Does My Company Need to Do to Comply with the Cap-and-Trade Regulation?</w:t>
        </w:r>
        <w:r w:rsidRPr="007F0D95" w:rsidR="00D628E6">
          <w:rPr>
            <w:i/>
            <w:iCs/>
          </w:rPr>
          <w:t xml:space="preserve"> </w:t>
        </w:r>
        <w:r w:rsidRPr="00F875BA" w:rsidR="00F875BA">
          <w:t>Available</w:t>
        </w:r>
      </w:hyperlink>
      <w:r w:rsidRPr="009B3B74" w:rsidR="00D628E6">
        <w:rPr>
          <w:b/>
        </w:rPr>
        <w:t xml:space="preserve"> </w:t>
      </w:r>
      <w:hyperlink w:history="1" r:id="rId10">
        <w:r w:rsidR="00D628E6">
          <w:rPr>
            <w:rStyle w:val="Hyperlink"/>
            <w:b w:val="0"/>
            <w:bCs/>
          </w:rPr>
          <w:t>here.</w:t>
        </w:r>
      </w:hyperlink>
    </w:p>
  </w:endnote>
  <w:endnote w:id="13">
    <w:p w:rsidR="00063D14" w:rsidP="00063D14" w:rsidRDefault="00063D14" w14:paraId="75EDC9CB" w14:textId="05B1365B">
      <w:pPr>
        <w:pStyle w:val="EndnoteText"/>
      </w:pPr>
      <w:r>
        <w:rPr>
          <w:rStyle w:val="EndnoteReference"/>
        </w:rPr>
        <w:endnoteRef/>
      </w:r>
      <w:r>
        <w:t xml:space="preserve"> </w:t>
      </w:r>
      <w:r w:rsidRPr="00F875BA" w:rsidR="00F875BA">
        <w:rPr>
          <w:b/>
          <w:bCs/>
        </w:rPr>
        <w:t>California Air Resources Board.</w:t>
      </w:r>
      <w:r w:rsidR="00F875BA">
        <w:t xml:space="preserve"> </w:t>
      </w:r>
      <w:r w:rsidRPr="00F875BA" w:rsidR="00F875BA">
        <w:rPr>
          <w:i/>
          <w:iCs/>
        </w:rPr>
        <w:t>Allowance allocation</w:t>
      </w:r>
      <w:r w:rsidRPr="00F875BA" w:rsidR="00F875BA">
        <w:t xml:space="preserve">. </w:t>
      </w:r>
      <w:r w:rsidR="00F875BA">
        <w:t xml:space="preserve">Available </w:t>
      </w:r>
      <w:hyperlink w:history="1" r:id="rId11">
        <w:r w:rsidRPr="00F875BA" w:rsidR="00F875BA">
          <w:rPr>
            <w:rStyle w:val="Hyperlink"/>
          </w:rPr>
          <w:t>here</w:t>
        </w:r>
      </w:hyperlink>
      <w:r w:rsidR="00F875BA">
        <w:t xml:space="preserve">. </w:t>
      </w:r>
    </w:p>
  </w:endnote>
  <w:endnote w:id="14">
    <w:p w:rsidRPr="00131852" w:rsidR="00705B36" w:rsidP="00705B36" w:rsidRDefault="00705B36" w14:paraId="3C69186F" w14:textId="77777777">
      <w:pPr>
        <w:pStyle w:val="EndnoteText"/>
        <w:rPr>
          <w:lang w:val="en-CA"/>
        </w:rPr>
      </w:pPr>
      <w:r>
        <w:rPr>
          <w:rStyle w:val="EndnoteReference"/>
        </w:rPr>
        <w:endnoteRef/>
      </w:r>
      <w:r w:rsidRPr="00B463CF">
        <w:t xml:space="preserve"> </w:t>
      </w:r>
      <w:r w:rsidRPr="007F0D95">
        <w:rPr>
          <w:b/>
          <w:bCs/>
        </w:rPr>
        <w:t>Brazi</w:t>
      </w:r>
      <w:r w:rsidRPr="00D059FB">
        <w:t>l</w:t>
      </w:r>
      <w:r w:rsidRPr="00B463CF">
        <w:t xml:space="preserve">, </w:t>
      </w:r>
      <w:r w:rsidRPr="00B463CF">
        <w:rPr>
          <w:i/>
          <w:iCs/>
        </w:rPr>
        <w:t xml:space="preserve">Law No. 15.042 of </w:t>
      </w:r>
      <w:r>
        <w:rPr>
          <w:i/>
          <w:iCs/>
        </w:rPr>
        <w:t>December</w:t>
      </w:r>
      <w:r w:rsidRPr="00B463CF">
        <w:rPr>
          <w:i/>
          <w:iCs/>
        </w:rPr>
        <w:t xml:space="preserve"> </w:t>
      </w:r>
      <w:r>
        <w:rPr>
          <w:i/>
          <w:iCs/>
        </w:rPr>
        <w:t>11</w:t>
      </w:r>
      <w:r w:rsidRPr="00B463CF">
        <w:rPr>
          <w:i/>
          <w:iCs/>
        </w:rPr>
        <w:t>, 2024</w:t>
      </w:r>
      <w:r w:rsidRPr="00B463CF">
        <w:t xml:space="preserve">, art. 28, I. Official Gazette of the Union, </w:t>
      </w:r>
      <w:r>
        <w:t>Dec</w:t>
      </w:r>
      <w:r w:rsidRPr="00B463CF">
        <w:t>. 1</w:t>
      </w:r>
      <w:r>
        <w:t>2</w:t>
      </w:r>
      <w:r w:rsidRPr="00B463CF">
        <w:t xml:space="preserve">, 2024. </w:t>
      </w:r>
      <w:r w:rsidRPr="000E441C">
        <w:t xml:space="preserve">Available </w:t>
      </w:r>
      <w:hyperlink w:history="1" r:id="rId12">
        <w:r w:rsidRPr="000E441C">
          <w:rPr>
            <w:rStyle w:val="Hyperlink"/>
          </w:rPr>
          <w:t>here</w:t>
        </w:r>
      </w:hyperlink>
      <w:r w:rsidRPr="000E441C">
        <w:t>.</w:t>
      </w:r>
    </w:p>
  </w:endnote>
  <w:endnote w:id="15">
    <w:p w:rsidR="00D83B49" w:rsidRDefault="00D83B49" w14:paraId="30ECA0FE" w14:textId="22D06DD2">
      <w:pPr>
        <w:pStyle w:val="EndnoteText"/>
      </w:pPr>
      <w:r>
        <w:rPr>
          <w:rStyle w:val="EndnoteReference"/>
        </w:rPr>
        <w:endnoteRef/>
      </w:r>
      <w:r>
        <w:t xml:space="preserve"> </w:t>
      </w:r>
      <w:r w:rsidRPr="0094242C">
        <w:rPr>
          <w:b/>
          <w:bCs/>
        </w:rPr>
        <w:t>International Labour Organization</w:t>
      </w:r>
      <w:r w:rsidRPr="00360072">
        <w:t xml:space="preserve">, </w:t>
      </w:r>
      <w:r w:rsidRPr="00360072">
        <w:rPr>
          <w:i/>
          <w:iCs/>
        </w:rPr>
        <w:t>C169 - Indigenous and Tribal Peoples Convention, 1989 (No. 169)</w:t>
      </w:r>
      <w:r w:rsidRPr="00360072">
        <w:t xml:space="preserve">, adopted June 27, 1989, entered into force September 5, 1991. Available </w:t>
      </w:r>
      <w:hyperlink w:history="1" r:id="rId13">
        <w:r w:rsidRPr="00360072">
          <w:rPr>
            <w:rStyle w:val="Hyperlink"/>
          </w:rPr>
          <w:t>here</w:t>
        </w:r>
      </w:hyperlink>
      <w:r>
        <w:t>.</w:t>
      </w:r>
    </w:p>
  </w:endnote>
  <w:endnote w:id="16">
    <w:p w:rsidR="00D83B49" w:rsidRDefault="00D83B49" w14:paraId="661845A5" w14:textId="31AF1C36">
      <w:pPr>
        <w:pStyle w:val="EndnoteText"/>
      </w:pPr>
      <w:r>
        <w:rPr>
          <w:rStyle w:val="EndnoteReference"/>
        </w:rPr>
        <w:endnoteRef/>
      </w:r>
      <w:r>
        <w:t xml:space="preserve"> </w:t>
      </w:r>
      <w:r w:rsidRPr="007F0D95">
        <w:rPr>
          <w:b/>
          <w:bCs/>
        </w:rPr>
        <w:t>Brazil</w:t>
      </w:r>
      <w:r w:rsidRPr="00B463CF">
        <w:t xml:space="preserve">, </w:t>
      </w:r>
      <w:r w:rsidRPr="00B463CF">
        <w:rPr>
          <w:i/>
          <w:iCs/>
        </w:rPr>
        <w:t xml:space="preserve">Law No. 15.042 of </w:t>
      </w:r>
      <w:r>
        <w:rPr>
          <w:i/>
          <w:iCs/>
        </w:rPr>
        <w:t>December</w:t>
      </w:r>
      <w:r w:rsidRPr="00B463CF">
        <w:rPr>
          <w:i/>
          <w:iCs/>
        </w:rPr>
        <w:t xml:space="preserve"> </w:t>
      </w:r>
      <w:r>
        <w:rPr>
          <w:i/>
          <w:iCs/>
        </w:rPr>
        <w:t>11</w:t>
      </w:r>
      <w:r w:rsidRPr="00B463CF">
        <w:rPr>
          <w:i/>
          <w:iCs/>
        </w:rPr>
        <w:t>, 2024</w:t>
      </w:r>
      <w:r w:rsidRPr="00B463CF">
        <w:t xml:space="preserve">, art. </w:t>
      </w:r>
      <w:r>
        <w:t>47</w:t>
      </w:r>
      <w:r w:rsidRPr="00B463CF">
        <w:t>,</w:t>
      </w:r>
      <w:r>
        <w:t xml:space="preserve"> caput</w:t>
      </w:r>
      <w:r w:rsidRPr="00B463CF">
        <w:t xml:space="preserve">. Official Gazette of the Union, </w:t>
      </w:r>
      <w:r>
        <w:t>Dec</w:t>
      </w:r>
      <w:r w:rsidRPr="00B463CF">
        <w:t>. 1</w:t>
      </w:r>
      <w:r>
        <w:t>2</w:t>
      </w:r>
      <w:r w:rsidRPr="00B463CF">
        <w:t xml:space="preserve">, 2024. </w:t>
      </w:r>
      <w:r w:rsidRPr="000E441C">
        <w:t xml:space="preserve">Available </w:t>
      </w:r>
      <w:hyperlink w:history="1" r:id="rId14">
        <w:r w:rsidRPr="000E441C">
          <w:rPr>
            <w:rStyle w:val="Hyperlink"/>
          </w:rPr>
          <w:t>here</w:t>
        </w:r>
      </w:hyperlink>
      <w:r w:rsidRPr="000E441C">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Neue">
    <w:panose1 w:val="02000603040000090004"/>
    <w:charset w:val="CC"/>
    <w:family w:val="auto"/>
    <w:pitch w:val="variable"/>
    <w:sig w:usb0="8000020B" w:usb1="10000048" w:usb2="00000000" w:usb3="00000000" w:csb0="00000004"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Pr="001B7DCD" w:rsidR="00AB29DC" w:rsidRDefault="00DA0476" w14:paraId="67D12C28" w14:textId="5A30A657">
    <w:pPr>
      <w:pStyle w:val="Footer"/>
    </w:pPr>
    <w:r w:rsidRPr="001B7DCD">
      <w:rPr>
        <w:noProof/>
        <w:color w:val="2B579A"/>
        <w:shd w:val="clear" w:color="auto" w:fill="E6E6E6"/>
      </w:rPr>
      <w:drawing>
        <wp:anchor distT="0" distB="0" distL="114300" distR="114300" simplePos="0" relativeHeight="251658242" behindDoc="1" locked="0" layoutInCell="1" allowOverlap="1" wp14:anchorId="3FF9DB75" wp14:editId="24F8B574">
          <wp:simplePos x="0" y="0"/>
          <wp:positionH relativeFrom="column">
            <wp:posOffset>-344805</wp:posOffset>
          </wp:positionH>
          <wp:positionV relativeFrom="paragraph">
            <wp:posOffset>-415636</wp:posOffset>
          </wp:positionV>
          <wp:extent cx="199176" cy="426006"/>
          <wp:effectExtent l="0" t="0" r="0" b="0"/>
          <wp:wrapNone/>
          <wp:docPr id="1702155621" name="Picture 1702155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176" cy="42600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B7DCD" w:rsidR="00AB29DC">
      <w:rPr>
        <w:rFonts w:ascii="Helvetica Neue" w:hAnsi="Helvetica Neue"/>
        <w:b/>
        <w:bCs/>
        <w:noProof/>
        <w:color w:val="2B579A"/>
        <w:shd w:val="clear" w:color="auto" w:fill="E6E6E6"/>
      </w:rPr>
      <mc:AlternateContent>
        <mc:Choice Requires="wps">
          <w:drawing>
            <wp:anchor distT="0" distB="0" distL="114300" distR="114300" simplePos="0" relativeHeight="251658241" behindDoc="0" locked="1" layoutInCell="1" allowOverlap="1" wp14:anchorId="29ACD04F" wp14:editId="50007F8A">
              <wp:simplePos x="0" y="0"/>
              <wp:positionH relativeFrom="page">
                <wp:align>right</wp:align>
              </wp:positionH>
              <wp:positionV relativeFrom="paragraph">
                <wp:posOffset>-608965</wp:posOffset>
              </wp:positionV>
              <wp:extent cx="7848600" cy="16510"/>
              <wp:effectExtent l="0" t="0" r="19050" b="21590"/>
              <wp:wrapNone/>
              <wp:docPr id="1246134371" name="Straight Connector 1246134371"/>
              <wp:cNvGraphicFramePr/>
              <a:graphic xmlns:a="http://schemas.openxmlformats.org/drawingml/2006/main">
                <a:graphicData uri="http://schemas.microsoft.com/office/word/2010/wordprocessingShape">
                  <wps:wsp>
                    <wps:cNvCnPr/>
                    <wps:spPr>
                      <a:xfrm>
                        <a:off x="0" y="0"/>
                        <a:ext cx="7848600" cy="16510"/>
                      </a:xfrm>
                      <a:prstGeom prst="line">
                        <a:avLst/>
                      </a:prstGeom>
                      <a:ln w="3175">
                        <a:solidFill>
                          <a:srgbClr val="00161E"/>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id="Straight Connector 1246134371" style="position:absolute;z-index:251658241;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o:spid="_x0000_s1026" strokecolor="#00161e" strokeweight=".25pt" from="566.8pt,-47.95pt" to="1184.8pt,-46.65pt" w14:anchorId="3FF6F0E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ln/xAEAAOIDAAAOAAAAZHJzL2Uyb0RvYy54bWysU8tu2zAQvBfIPxC8xxLTxjEEyznk0UvR&#10;Bk37ATS1tAjwBZK15L/vkrLloClQJOiFIpc7szvD1fp2NJrsIUTlbEvZoqYErHCdsruW/vzxeLmi&#10;JCZuO66dhZYeINLbzcWH9eAbuHK90x0EgiQ2NoNvaZ+Sb6oqih4MjwvnweKldMHwhMewq7rAB2Q3&#10;urqq62U1uND54ATEiNH76ZJuCr+UINI3KSMkoluKvaWyhrJu81pt1rzZBe57JY5t8Hd0YbiyWHSm&#10;uueJk19BvaIySgQXnUwL4UzlpFQCigZUw+o/1Dz33EPRguZEP9sU/x+t+Lq/s08BbRh8bKJ/ClnF&#10;KIPJX+yPjMWsw2wWjIkIDN6sPq2WNXoq8I4tr1kxszqDfYjpMzhD8qalWtmshTd8/yUmLIipp5Qc&#10;1pYMLf3Ibq5LVnRadY9K63wXw257pwPZ8/yMNVuyh/xyyPAiDU/aYvAspOzSQcPE/x0kUR22zqYK&#10;ecZgpuVCgE3syKstZmeYxBZmYP1v4DE/Q6HM31vAM6JUdjbNYKOsC3+rnsZTy3LKPzkw6c4WbF13&#10;KE9crMFBKs4dhz5P6stzgZ9/zc1vAAAA//8DAFBLAwQUAAYACAAAACEAiUgCvt0AAAAJAQAADwAA&#10;AGRycy9kb3ducmV2LnhtbEyPwU7DMBBE70j8g7VI3FqHGiqSxqkQEuLEgRChHt14SaLa6zR2W/P3&#10;OCd63JnR7JtyG61hZ5z84EjCwzIDhtQ6PVAnofl6WzwD80GRVsYRSvhFD9vq9qZUhXYX+sRzHTqW&#10;SsgXSkIfwlhw7tserfJLNyIl78dNVoV0Th3Xk7qkcmv4KsvW3KqB0odejfjaY3uoT1bCey2aHUUa&#10;p0Yc8yYed9/m41HK+7v4sgEWMIb/MMz4CR2qxLR3J9KeGQlpSJCwyJ9yYLO9Eusk7WdJCOBVya8X&#10;VH8AAAD//wMAUEsBAi0AFAAGAAgAAAAhALaDOJL+AAAA4QEAABMAAAAAAAAAAAAAAAAAAAAAAFtD&#10;b250ZW50X1R5cGVzXS54bWxQSwECLQAUAAYACAAAACEAOP0h/9YAAACUAQAACwAAAAAAAAAAAAAA&#10;AAAvAQAAX3JlbHMvLnJlbHNQSwECLQAUAAYACAAAACEA+d5Z/8QBAADiAwAADgAAAAAAAAAAAAAA&#10;AAAuAgAAZHJzL2Uyb0RvYy54bWxQSwECLQAUAAYACAAAACEAiUgCvt0AAAAJAQAADwAAAAAAAAAA&#10;AAAAAAAeBAAAZHJzL2Rvd25yZXYueG1sUEsFBgAAAAAEAAQA8wAAACgFAAAAAA==&#10;">
              <v:stroke joinstyle="miter"/>
              <w10:wrap anchorx="page"/>
              <w10:anchorlock/>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Pr="001B7DCD" w:rsidR="00FE08AA" w:rsidP="007F381F" w:rsidRDefault="00FE08AA" w14:paraId="0492A62E" w14:textId="77777777">
      <w:r w:rsidRPr="001B7DCD">
        <w:separator/>
      </w:r>
    </w:p>
  </w:footnote>
  <w:footnote w:type="continuationSeparator" w:id="0">
    <w:p w:rsidRPr="001B7DCD" w:rsidR="00FE08AA" w:rsidP="007F381F" w:rsidRDefault="00FE08AA" w14:paraId="11041F23" w14:textId="77777777">
      <w:r w:rsidRPr="001B7DCD">
        <w:continuationSeparator/>
      </w:r>
    </w:p>
  </w:footnote>
  <w:footnote w:type="continuationNotice" w:id="1">
    <w:p w:rsidRPr="001B7DCD" w:rsidR="00FE08AA" w:rsidRDefault="00FE08AA" w14:paraId="22F7C6B9"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16sdtfl w16du wp14">
  <w:p w:rsidR="00572EF3" w:rsidRDefault="008B31FA" w14:paraId="4B487CBA" w14:textId="2291D9B0">
    <w:pPr>
      <w:pStyle w:val="Header"/>
    </w:pPr>
    <w:r>
      <w:rPr>
        <w:noProof/>
      </w:rPr>
      <mc:AlternateContent>
        <mc:Choice Requires="wps">
          <w:drawing>
            <wp:anchor distT="0" distB="0" distL="114300" distR="114300" simplePos="0" relativeHeight="251658244" behindDoc="1" locked="0" layoutInCell="0" allowOverlap="1" wp14:anchorId="5F38D6B5" wp14:editId="408966B7">
              <wp:simplePos x="0" y="0"/>
              <wp:positionH relativeFrom="margin">
                <wp:align>center</wp:align>
              </wp:positionH>
              <wp:positionV relativeFrom="margin">
                <wp:align>center</wp:align>
              </wp:positionV>
              <wp:extent cx="7308850" cy="1826895"/>
              <wp:effectExtent l="0" t="0" r="0" b="0"/>
              <wp:wrapNone/>
              <wp:docPr id="1481545416" name="PowerPlusWaterMarkObject364437641"/>
              <wp:cNvGraphicFramePr>
                <a:graphicFrameLocks xmlns:a="http://schemas.openxmlformats.org/drawingml/2006/main" noGrp="1" noChangeAspect="1" noResize="1"/>
              </wp:cNvGraphicFramePr>
              <a:graphic xmlns:a="http://schemas.openxmlformats.org/drawingml/2006/main">
                <a:graphicData uri="http://schemas.microsoft.com/office/word/2010/wordprocessingShape">
                  <wps:wsp>
                    <wps:cNvSpPr txBox="1">
                      <a:spLocks noGrp="1" noRot="1" noChangeAspect="1" noResize="1" noEditPoints="1" noAdjustHandles="1" noChangeArrowheads="1" noChangeShapeType="1" noTextEdit="1"/>
                    </wps:cNvSpPr>
                    <wps:spPr bwMode="auto">
                      <a:xfrm rot="18900000">
                        <a:off x="0" y="0"/>
                        <a:ext cx="7308850" cy="182689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8B31FA" w:rsidP="008B31FA" w:rsidRDefault="008B31FA" w14:paraId="334D7334" w14:textId="77777777">
                          <w:pPr>
                            <w:jc w:val="center"/>
                            <w:rPr>
                              <w:rFonts w:ascii="Calibri" w:hAnsi="Calibri" w:cs="Calibri"/>
                              <w:color w:val="C0C0C0"/>
                              <w:kern w:val="0"/>
                              <w:sz w:val="16"/>
                              <w:szCs w:val="16"/>
                              <w:lang w:val="en-US"/>
                              <w14:textFill>
                                <w14:solidFill>
                                  <w14:srgbClr w14:val="C0C0C0">
                                    <w14:alpha w14:val="50000"/>
                                  </w14:srgbClr>
                                </w14:solidFill>
                              </w14:textFill>
                              <w14:ligatures w14:val="none"/>
                            </w:rPr>
                          </w:pPr>
                          <w:r>
                            <w:rPr>
                              <w:rFonts w:ascii="Calibri" w:hAnsi="Calibri" w:cs="Calibri"/>
                              <w:color w:val="C0C0C0"/>
                              <w:sz w:val="16"/>
                              <w:szCs w:val="16"/>
                              <w:lang w:val="en-US"/>
                              <w14:textFill>
                                <w14:solidFill>
                                  <w14:srgbClr w14:val="C0C0C0">
                                    <w14:alpha w14:val="50000"/>
                                  </w14:srgbClr>
                                </w14:solidFill>
                              </w14:textFill>
                            </w:rPr>
                            <w:t>CONFIDENTIAL</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5F38D6B5">
              <v:stroke joinstyle="miter"/>
              <v:path gradientshapeok="t" o:connecttype="rect"/>
            </v:shapetype>
            <v:shape id="PowerPlusWaterMarkObject364437641" style="position:absolute;margin-left:0;margin-top:0;width:575.5pt;height:143.85pt;rotation:-45;z-index:-25165823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spid="_x0000_s1027" o:allowincell="f"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XVdGwIAAB4EAAAOAAAAZHJzL2Uyb0RvYy54bWysU02P0zAQvSPxHyzfadKiLt2o6arswnJY&#10;oGKL9uzaTpMl9pix26T8esZu2vJxQ+RgOTPO83tvXuY3vWnZXqNvwJZ8PMo501aCauy25F/X71/N&#10;OPNBWCVasLrkB+35zeLli3nnCj2BGlqlkRGI9UXnSl6H4Ios87LWRvgROG2pWQEaEegVt5lC0RG6&#10;abNJnl9lHaByCFJ7T9W7Y5MvEn5VaRk+V5XXgbUlJ24hrZjWTVyzxVwUWxSubuRAQ/wDCyMaS5ee&#10;oe5EEGyHzV9QppEIHqowkmAyqKpG6qSB1IzzP9Q81sLppIXM8e5sk/9/sPLT/tGtkIX+LfQ0wCTC&#10;uweQ3zyzcI80kzGn3Rcg79LuthZ2q5fekbmnpvbND5pu6r9TTVhBYwPRTIWlet758IFC0OpTbQBB&#10;hK7WQv1eTrrXB3dCXOs+RNSIRwPLOueLgXgctC98lLDpPoKiT8QuQJLRV2gYJt6z6zw+qUymM5JK&#10;aTicE0AXMEnFN6/z2WxKLUm98WxyNbuepitFEdHihB36cK/BsLgpOZILCVbsH3yI7C5HBqqR3ZFn&#10;6Dc9HYmUN6AORLqj6JXcf98J1GTzztwCJZVsqxDME2V7iUn26eZ1/yTQDXcHor1qT9FLBFIGFbPC&#10;RCfUMwGZlhK9Fy2bJguOFIfDA9kjavzWwpLsq5qk5MJzUEIhTAKHHyam/Nf3dOryWy9+AgAA//8D&#10;AFBLAwQUAAYACAAAACEAze7uk90AAAAGAQAADwAAAGRycy9kb3ducmV2LnhtbEyPQU/CQBCF7yb+&#10;h82YeDGyLQlCaqdESDjJReTgcegObWN3tnS3UP31Ll708pKXN3nvm3w52ladufeNE4R0koBiKZ1p&#10;pELYv28eF6B8IDHUOmGEL/awLG5vcsqMu8gbn3ehUrFEfEYIdQhdprUva7bkJ65jidnR9ZZCtH2l&#10;TU+XWG5bPU2SJ22pkbhQU8frmsvP3WARquPHaTg9bNevm/1YstuuvmfNCvH+bnx5BhV4DH/HcMWP&#10;6FBEpoMbxHjVIsRHwq9es3SWRn9AmC7mc9BFrv/jFz8AAAD//wMAUEsBAi0AFAAGAAgAAAAhALaD&#10;OJL+AAAA4QEAABMAAAAAAAAAAAAAAAAAAAAAAFtDb250ZW50X1R5cGVzXS54bWxQSwECLQAUAAYA&#10;CAAAACEAOP0h/9YAAACUAQAACwAAAAAAAAAAAAAAAAAvAQAAX3JlbHMvLnJlbHNQSwECLQAUAAYA&#10;CAAAACEAuUl1XRsCAAAeBAAADgAAAAAAAAAAAAAAAAAuAgAAZHJzL2Uyb0RvYy54bWxQSwECLQAU&#10;AAYACAAAACEAze7uk90AAAAGAQAADwAAAAAAAAAAAAAAAAB1BAAAZHJzL2Rvd25yZXYueG1sUEsF&#10;BgAAAAAEAAQA8wAAAH8FAAAAAA==&#10;">
              <v:stroke joinstyle="round"/>
              <o:lock v:ext="edit" grouping="t" rotation="t" verticies="t" adjusthandles="t" aspectratio="t" shapetype="t"/>
              <v:textbox>
                <w:txbxContent>
                  <w:p w:rsidR="008B31FA" w:rsidP="008B31FA" w:rsidRDefault="008B31FA" w14:paraId="334D7334" w14:textId="77777777">
                    <w:pPr>
                      <w:jc w:val="center"/>
                      <w:rPr>
                        <w:rFonts w:ascii="Calibri" w:hAnsi="Calibri" w:cs="Calibri"/>
                        <w:color w:val="C0C0C0"/>
                        <w:kern w:val="0"/>
                        <w:sz w:val="16"/>
                        <w:szCs w:val="16"/>
                        <w:lang w:val="en-US"/>
                        <w14:textFill>
                          <w14:solidFill>
                            <w14:srgbClr w14:val="C0C0C0">
                              <w14:alpha w14:val="50000"/>
                            </w14:srgbClr>
                          </w14:solidFill>
                        </w14:textFill>
                        <w14:ligatures w14:val="none"/>
                      </w:rPr>
                    </w:pPr>
                    <w:r>
                      <w:rPr>
                        <w:rFonts w:ascii="Calibri" w:hAnsi="Calibri" w:cs="Calibri"/>
                        <w:color w:val="C0C0C0"/>
                        <w:sz w:val="16"/>
                        <w:szCs w:val="16"/>
                        <w:lang w:val="en-US"/>
                        <w14:textFill>
                          <w14:solidFill>
                            <w14:srgbClr w14:val="C0C0C0">
                              <w14:alpha w14:val="50000"/>
                            </w14:srgbClr>
                          </w14:solidFill>
                        </w14:textFill>
                      </w:rPr>
                      <w:t>CONFIDENTIAL</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16sdtfl w16du wp14">
  <w:p w:rsidRPr="001B7DCD" w:rsidR="007F381F" w:rsidRDefault="008B31FA" w14:paraId="062FC002" w14:textId="36192D0E">
    <w:pPr>
      <w:pStyle w:val="Header"/>
    </w:pPr>
    <w:r>
      <w:rPr>
        <w:noProof/>
      </w:rPr>
      <mc:AlternateContent>
        <mc:Choice Requires="wps">
          <w:drawing>
            <wp:anchor distT="0" distB="0" distL="114300" distR="114300" simplePos="0" relativeHeight="251658245" behindDoc="1" locked="0" layoutInCell="0" allowOverlap="1" wp14:anchorId="20C80FF7" wp14:editId="7236525E">
              <wp:simplePos x="0" y="0"/>
              <wp:positionH relativeFrom="margin">
                <wp:align>center</wp:align>
              </wp:positionH>
              <wp:positionV relativeFrom="margin">
                <wp:align>center</wp:align>
              </wp:positionV>
              <wp:extent cx="7308850" cy="1826895"/>
              <wp:effectExtent l="0" t="0" r="0" b="0"/>
              <wp:wrapNone/>
              <wp:docPr id="1924279940" name="PowerPlusWaterMarkObject364437642"/>
              <wp:cNvGraphicFramePr>
                <a:graphicFrameLocks xmlns:a="http://schemas.openxmlformats.org/drawingml/2006/main" noGrp="1" noChangeAspect="1" noResize="1"/>
              </wp:cNvGraphicFramePr>
              <a:graphic xmlns:a="http://schemas.openxmlformats.org/drawingml/2006/main">
                <a:graphicData uri="http://schemas.microsoft.com/office/word/2010/wordprocessingShape">
                  <wps:wsp>
                    <wps:cNvSpPr txBox="1">
                      <a:spLocks noGrp="1" noRot="1" noChangeAspect="1" noResize="1" noEditPoints="1" noAdjustHandles="1" noChangeArrowheads="1" noChangeShapeType="1" noTextEdit="1"/>
                    </wps:cNvSpPr>
                    <wps:spPr bwMode="auto">
                      <a:xfrm rot="18900000">
                        <a:off x="0" y="0"/>
                        <a:ext cx="7308850" cy="182689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8B31FA" w:rsidP="008B31FA" w:rsidRDefault="008B31FA" w14:paraId="187385CF" w14:textId="77777777">
                          <w:pPr>
                            <w:jc w:val="center"/>
                            <w:rPr>
                              <w:rFonts w:ascii="Calibri" w:hAnsi="Calibri" w:cs="Calibri"/>
                              <w:color w:val="C0C0C0"/>
                              <w:kern w:val="0"/>
                              <w:sz w:val="16"/>
                              <w:szCs w:val="16"/>
                              <w:lang w:val="en-US"/>
                              <w14:textFill>
                                <w14:solidFill>
                                  <w14:srgbClr w14:val="C0C0C0">
                                    <w14:alpha w14:val="50000"/>
                                  </w14:srgbClr>
                                </w14:solidFill>
                              </w14:textFill>
                              <w14:ligatures w14:val="none"/>
                            </w:rPr>
                          </w:pPr>
                          <w:r>
                            <w:rPr>
                              <w:rFonts w:ascii="Calibri" w:hAnsi="Calibri" w:cs="Calibri"/>
                              <w:color w:val="C0C0C0"/>
                              <w:sz w:val="16"/>
                              <w:szCs w:val="16"/>
                              <w:lang w:val="en-US"/>
                              <w14:textFill>
                                <w14:solidFill>
                                  <w14:srgbClr w14:val="C0C0C0">
                                    <w14:alpha w14:val="50000"/>
                                  </w14:srgbClr>
                                </w14:solidFill>
                              </w14:textFill>
                            </w:rPr>
                            <w:t>CONFIDENTIAL</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20C80FF7">
              <v:stroke joinstyle="miter"/>
              <v:path gradientshapeok="t" o:connecttype="rect"/>
            </v:shapetype>
            <v:shape id="PowerPlusWaterMarkObject364437642" style="position:absolute;margin-left:0;margin-top:0;width:575.5pt;height:143.85pt;rotation:-45;z-index:-251658235;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spid="_x0000_s1028" o:allowincell="f"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7T8HQIAACUEAAAOAAAAZHJzL2Uyb0RvYy54bWysU01z0zAUvDPDf9DoTuyESXE9cTqhhXIo&#10;kKFhelYkOVax9ISkxA6/nifFTvi4Mfigkd+TV7v71oubXrfkIJ1XYCo6neSUSMNBKLOr6NfN+1cF&#10;JT4wI1gLRlb0KD29Wb58sehsKWfQQCukIwhifNnZijYh2DLLPG+kZn4CVhps1uA0C/jqdplwrEN0&#10;3WazPL/KOnDCOuDSe6zenZp0mfDrWvLwua69DKStKHILaXVp3cY1Wy5YuXPMNooPNNg/sNBMGbz0&#10;DHXHAiN7p/6C0oo78FCHCQedQV0rLpMGVDPN/1Dz2DArkxY0x9uzTf7/wfJPh0e7diT0b6HHASYR&#10;3j4A/+aJgXuHM5lS3H0B9C7tbhtmdnLlLZo7NqVXP3C6qf9OqLAGZQLSTIWVeN778AFD0MqxNoA4&#10;B10jmfi9nHRvjnZE3Mg+RNSIhwPLOuvLgXgctC99lLDtPoLAT9g+QJLR104Tl3gX13l8UhlNJygV&#10;03A8JwAvIByLb17nRTHHFsfetJhdFdfzdCUrI1qcsHU+3EvQJG4q6tCFBMsODz5EdpcjA9XI7sQz&#10;9NueKDHoiMy3II7IvcMEVtR/3zMn0e29vgUMLLpXO9BPGPGVS+pHApv+iTk7UAjIft2OCUw8UhQF&#10;MUxHQ8QzAukWg31gLZknJ05Mh8MD5xNq/NbACl2sVRJ04TkIwiwmncN/E8P+63s6dfm7lz8BAAD/&#10;/wMAUEsDBBQABgAIAAAAIQDN7u6T3QAAAAYBAAAPAAAAZHJzL2Rvd25yZXYueG1sTI9BT8JAEIXv&#10;Jv6HzZh4MbItCUJqp0RIOMlF5OBx6A5tY3e2dLdQ/fUuXvTykpc3ee+bfDnaVp25940ThHSSgGIp&#10;nWmkQti/bx4XoHwgMdQ6YYQv9rAsbm9yyoy7yBufd6FSsUR8Rgh1CF2mtS9rtuQnrmOJ2dH1lkK0&#10;faVNT5dYbls9TZInbamRuFBTx+uay8/dYBGq48dpOD1s16+b/Viy266+Z80K8f5ufHkGFXgMf8dw&#10;xY/oUESmgxvEeNUixEfCr16zdJZGf0CYLuZz0EWu/+MXPwAAAP//AwBQSwECLQAUAAYACAAAACEA&#10;toM4kv4AAADhAQAAEwAAAAAAAAAAAAAAAAAAAAAAW0NvbnRlbnRfVHlwZXNdLnhtbFBLAQItABQA&#10;BgAIAAAAIQA4/SH/1gAAAJQBAAALAAAAAAAAAAAAAAAAAC8BAABfcmVscy8ucmVsc1BLAQItABQA&#10;BgAIAAAAIQCll7T8HQIAACUEAAAOAAAAAAAAAAAAAAAAAC4CAABkcnMvZTJvRG9jLnhtbFBLAQIt&#10;ABQABgAIAAAAIQDN7u6T3QAAAAYBAAAPAAAAAAAAAAAAAAAAAHcEAABkcnMvZG93bnJldi54bWxQ&#10;SwUGAAAAAAQABADzAAAAgQUAAAAA&#10;">
              <v:stroke joinstyle="round"/>
              <o:lock v:ext="edit" grouping="t" rotation="t" verticies="t" adjusthandles="t" aspectratio="t" shapetype="t"/>
              <v:textbox>
                <w:txbxContent>
                  <w:p w:rsidR="008B31FA" w:rsidP="008B31FA" w:rsidRDefault="008B31FA" w14:paraId="187385CF" w14:textId="77777777">
                    <w:pPr>
                      <w:jc w:val="center"/>
                      <w:rPr>
                        <w:rFonts w:ascii="Calibri" w:hAnsi="Calibri" w:cs="Calibri"/>
                        <w:color w:val="C0C0C0"/>
                        <w:kern w:val="0"/>
                        <w:sz w:val="16"/>
                        <w:szCs w:val="16"/>
                        <w:lang w:val="en-US"/>
                        <w14:textFill>
                          <w14:solidFill>
                            <w14:srgbClr w14:val="C0C0C0">
                              <w14:alpha w14:val="50000"/>
                            </w14:srgbClr>
                          </w14:solidFill>
                        </w14:textFill>
                        <w14:ligatures w14:val="none"/>
                      </w:rPr>
                    </w:pPr>
                    <w:r>
                      <w:rPr>
                        <w:rFonts w:ascii="Calibri" w:hAnsi="Calibri" w:cs="Calibri"/>
                        <w:color w:val="C0C0C0"/>
                        <w:sz w:val="16"/>
                        <w:szCs w:val="16"/>
                        <w:lang w:val="en-US"/>
                        <w14:textFill>
                          <w14:solidFill>
                            <w14:srgbClr w14:val="C0C0C0">
                              <w14:alpha w14:val="50000"/>
                            </w14:srgbClr>
                          </w14:solidFill>
                        </w14:textFill>
                      </w:rPr>
                      <w:t>CONFIDENTIAL</w:t>
                    </w:r>
                  </w:p>
                </w:txbxContent>
              </v:textbox>
              <w10:wrap anchorx="margin" anchory="margin"/>
            </v:shape>
          </w:pict>
        </mc:Fallback>
      </mc:AlternateContent>
    </w:r>
    <w:r w:rsidRPr="001B7DCD" w:rsidR="007F381F">
      <w:rPr>
        <w:noProof/>
        <w:color w:val="2B579A"/>
        <w:shd w:val="clear" w:color="auto" w:fill="E6E6E6"/>
      </w:rPr>
      <w:drawing>
        <wp:anchor distT="0" distB="0" distL="114300" distR="114300" simplePos="0" relativeHeight="251658240" behindDoc="0" locked="0" layoutInCell="1" allowOverlap="1" wp14:anchorId="6BC8FFD3" wp14:editId="5493260C">
          <wp:simplePos x="0" y="0"/>
          <wp:positionH relativeFrom="page">
            <wp:align>left</wp:align>
          </wp:positionH>
          <wp:positionV relativeFrom="page">
            <wp:posOffset>-635</wp:posOffset>
          </wp:positionV>
          <wp:extent cx="7556400" cy="1522800"/>
          <wp:effectExtent l="0" t="0" r="635" b="1270"/>
          <wp:wrapNone/>
          <wp:docPr id="1549316" name="Picture 1549316" descr="A purple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686143" name="Picture 1" descr="A purple and blu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556400" cy="1522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16sdtfl w16du wp14">
  <w:p w:rsidR="00572EF3" w:rsidRDefault="008B31FA" w14:paraId="1D8F1CEF" w14:textId="3CF1D4D3">
    <w:pPr>
      <w:pStyle w:val="Header"/>
    </w:pPr>
    <w:r>
      <w:rPr>
        <w:noProof/>
      </w:rPr>
      <mc:AlternateContent>
        <mc:Choice Requires="wps">
          <w:drawing>
            <wp:anchor distT="0" distB="0" distL="114300" distR="114300" simplePos="0" relativeHeight="251658243" behindDoc="1" locked="0" layoutInCell="0" allowOverlap="1" wp14:anchorId="7AA5927E" wp14:editId="2902E2D3">
              <wp:simplePos x="0" y="0"/>
              <wp:positionH relativeFrom="margin">
                <wp:align>center</wp:align>
              </wp:positionH>
              <wp:positionV relativeFrom="margin">
                <wp:align>center</wp:align>
              </wp:positionV>
              <wp:extent cx="7308850" cy="1826895"/>
              <wp:effectExtent l="0" t="0" r="0" b="0"/>
              <wp:wrapNone/>
              <wp:docPr id="502382834" name="PowerPlusWaterMarkObject364437640"/>
              <wp:cNvGraphicFramePr>
                <a:graphicFrameLocks xmlns:a="http://schemas.openxmlformats.org/drawingml/2006/main" noGrp="1" noChangeAspect="1" noResize="1"/>
              </wp:cNvGraphicFramePr>
              <a:graphic xmlns:a="http://schemas.openxmlformats.org/drawingml/2006/main">
                <a:graphicData uri="http://schemas.microsoft.com/office/word/2010/wordprocessingShape">
                  <wps:wsp>
                    <wps:cNvSpPr txBox="1">
                      <a:spLocks noGrp="1" noRot="1" noChangeAspect="1" noResize="1" noEditPoints="1" noAdjustHandles="1" noChangeArrowheads="1" noChangeShapeType="1" noTextEdit="1"/>
                    </wps:cNvSpPr>
                    <wps:spPr bwMode="auto">
                      <a:xfrm rot="18900000">
                        <a:off x="0" y="0"/>
                        <a:ext cx="7308850" cy="182689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8B31FA" w:rsidP="008B31FA" w:rsidRDefault="008B31FA" w14:paraId="2D42A30A" w14:textId="77777777">
                          <w:pPr>
                            <w:jc w:val="center"/>
                            <w:rPr>
                              <w:rFonts w:ascii="Calibri" w:hAnsi="Calibri" w:cs="Calibri"/>
                              <w:color w:val="C0C0C0"/>
                              <w:kern w:val="0"/>
                              <w:sz w:val="16"/>
                              <w:szCs w:val="16"/>
                              <w:lang w:val="en-US"/>
                              <w14:textFill>
                                <w14:solidFill>
                                  <w14:srgbClr w14:val="C0C0C0">
                                    <w14:alpha w14:val="50000"/>
                                  </w14:srgbClr>
                                </w14:solidFill>
                              </w14:textFill>
                              <w14:ligatures w14:val="none"/>
                            </w:rPr>
                          </w:pPr>
                          <w:r>
                            <w:rPr>
                              <w:rFonts w:ascii="Calibri" w:hAnsi="Calibri" w:cs="Calibri"/>
                              <w:color w:val="C0C0C0"/>
                              <w:sz w:val="16"/>
                              <w:szCs w:val="16"/>
                              <w:lang w:val="en-US"/>
                              <w14:textFill>
                                <w14:solidFill>
                                  <w14:srgbClr w14:val="C0C0C0">
                                    <w14:alpha w14:val="50000"/>
                                  </w14:srgbClr>
                                </w14:solidFill>
                              </w14:textFill>
                            </w:rPr>
                            <w:t>CONFIDENTIAL</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7AA5927E">
              <v:stroke joinstyle="miter"/>
              <v:path gradientshapeok="t" o:connecttype="rect"/>
            </v:shapetype>
            <v:shape id="PowerPlusWaterMarkObject364437640" style="position:absolute;margin-left:0;margin-top:0;width:575.5pt;height:143.85pt;rotation:-45;z-index:-251658237;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spid="_x0000_s1029" o:allowincell="f"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vccHwIAACUEAAAOAAAAZHJzL2Uyb0RvYy54bWysU01z0zAUvDPDf9DoTuyESXE9cTqhhXIo&#10;kKFhelYkOVax9ISkxA6/nifFTvi4Mfigkd+TV7v71oubXrfkIJ1XYCo6neSUSMNBKLOr6NfN+1cF&#10;JT4wI1gLRlb0KD29Wb58sehsKWfQQCukIwhifNnZijYh2DLLPG+kZn4CVhps1uA0C/jqdplwrEN0&#10;3WazPL/KOnDCOuDSe6zenZp0mfDrWvLwua69DKStKHILaXVp3cY1Wy5YuXPMNooPNNg/sNBMGbz0&#10;DHXHAiN7p/6C0oo78FCHCQedQV0rLpMGVDPN/1Dz2DArkxY0x9uzTf7/wfJPh0e7diT0b6HHASYR&#10;3j4A/+aJgXuHM5lS3H0B9C7tbhtmdnLlLZo7NqVXP3C6qf9OqLAGZQLSTIWVeN778AFD0MqxNoA4&#10;B10jmfi9nHRvjnZE3Mg+RNSIhwPLOuvLgXgctC99lLDtPoLAT9g+QJLR104Tl3gX13l8UhlNJygV&#10;03A8JwAvIByLb17nRTHHFsfetJhdFdfzdCUrI1qcsHU+3EvQJG4q6tCFBMsODz5EdpcjA9XI7sQz&#10;9NueKFHRWQSNzLcgjsi9wwRW1H/fMyfR7b2+BQwsulc70E8Y8ZVL6kcCm/6JOTtQCMh+3Y4JTDxS&#10;FAUxTEdDxDMC6RaDfWAtmScnTkyHwwPnE2r81sAKXaxVEnThOQjCLCadw38Tw/7rezp1+buXPwEA&#10;AP//AwBQSwMEFAAGAAgAAAAhAM3u7pPdAAAABgEAAA8AAABkcnMvZG93bnJldi54bWxMj0FPwkAQ&#10;he8m/ofNmHgxsi0JQmqnREg4yUXk4HHoDm1jd7Z0t1D99S5e9PKSlzd575t8OdpWnbn3jROEdJKA&#10;YimdaaRC2L9vHhegfCAx1DphhC/2sCxub3LKjLvIG593oVKxRHxGCHUIXaa1L2u25CeuY4nZ0fWW&#10;QrR9pU1Pl1huWz1NkidtqZG4UFPH65rLz91gEarjx2k4PWzXr5v9WLLbrr5nzQrx/m58eQYVeAx/&#10;x3DFj+hQRKaDG8R41SLER8KvXrN0lkZ/QJgu5nPQRa7/4xc/AAAA//8DAFBLAQItABQABgAIAAAA&#10;IQC2gziS/gAAAOEBAAATAAAAAAAAAAAAAAAAAAAAAABbQ29udGVudF9UeXBlc10ueG1sUEsBAi0A&#10;FAAGAAgAAAAhADj9If/WAAAAlAEAAAsAAAAAAAAAAAAAAAAALwEAAF9yZWxzLy5yZWxzUEsBAi0A&#10;FAAGAAgAAAAhABly9xwfAgAAJQQAAA4AAAAAAAAAAAAAAAAALgIAAGRycy9lMm9Eb2MueG1sUEsB&#10;Ai0AFAAGAAgAAAAhAM3u7pPdAAAABgEAAA8AAAAAAAAAAAAAAAAAeQQAAGRycy9kb3ducmV2Lnht&#10;bFBLBQYAAAAABAAEAPMAAACDBQAAAAA=&#10;">
              <v:stroke joinstyle="round"/>
              <o:lock v:ext="edit" grouping="t" rotation="t" verticies="t" adjusthandles="t" aspectratio="t" shapetype="t"/>
              <v:textbox>
                <w:txbxContent>
                  <w:p w:rsidR="008B31FA" w:rsidP="008B31FA" w:rsidRDefault="008B31FA" w14:paraId="2D42A30A" w14:textId="77777777">
                    <w:pPr>
                      <w:jc w:val="center"/>
                      <w:rPr>
                        <w:rFonts w:ascii="Calibri" w:hAnsi="Calibri" w:cs="Calibri"/>
                        <w:color w:val="C0C0C0"/>
                        <w:kern w:val="0"/>
                        <w:sz w:val="16"/>
                        <w:szCs w:val="16"/>
                        <w:lang w:val="en-US"/>
                        <w14:textFill>
                          <w14:solidFill>
                            <w14:srgbClr w14:val="C0C0C0">
                              <w14:alpha w14:val="50000"/>
                            </w14:srgbClr>
                          </w14:solidFill>
                        </w14:textFill>
                        <w14:ligatures w14:val="none"/>
                      </w:rPr>
                    </w:pPr>
                    <w:r>
                      <w:rPr>
                        <w:rFonts w:ascii="Calibri" w:hAnsi="Calibri" w:cs="Calibri"/>
                        <w:color w:val="C0C0C0"/>
                        <w:sz w:val="16"/>
                        <w:szCs w:val="16"/>
                        <w:lang w:val="en-US"/>
                        <w14:textFill>
                          <w14:solidFill>
                            <w14:srgbClr w14:val="C0C0C0">
                              <w14:alpha w14:val="50000"/>
                            </w14:srgbClr>
                          </w14:solidFill>
                        </w14:textFill>
                      </w:rPr>
                      <w:t>CONFIDENTIAL</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009FF"/>
    <w:multiLevelType w:val="hybridMultilevel"/>
    <w:tmpl w:val="450C428A"/>
    <w:lvl w:ilvl="0" w:tplc="11182B74">
      <w:start w:val="1"/>
      <w:numFmt w:val="bullet"/>
      <w:lvlText w:val="•"/>
      <w:lvlJc w:val="left"/>
      <w:pPr>
        <w:tabs>
          <w:tab w:val="num" w:pos="720"/>
        </w:tabs>
        <w:ind w:left="720" w:hanging="360"/>
      </w:pPr>
      <w:rPr>
        <w:rFonts w:hint="default" w:ascii="Arial" w:hAnsi="Arial"/>
      </w:rPr>
    </w:lvl>
    <w:lvl w:ilvl="1" w:tplc="7F1AA654" w:tentative="1">
      <w:start w:val="1"/>
      <w:numFmt w:val="bullet"/>
      <w:lvlText w:val="•"/>
      <w:lvlJc w:val="left"/>
      <w:pPr>
        <w:tabs>
          <w:tab w:val="num" w:pos="1440"/>
        </w:tabs>
        <w:ind w:left="1440" w:hanging="360"/>
      </w:pPr>
      <w:rPr>
        <w:rFonts w:hint="default" w:ascii="Arial" w:hAnsi="Arial"/>
      </w:rPr>
    </w:lvl>
    <w:lvl w:ilvl="2" w:tplc="635C5E72" w:tentative="1">
      <w:start w:val="1"/>
      <w:numFmt w:val="bullet"/>
      <w:lvlText w:val="•"/>
      <w:lvlJc w:val="left"/>
      <w:pPr>
        <w:tabs>
          <w:tab w:val="num" w:pos="2160"/>
        </w:tabs>
        <w:ind w:left="2160" w:hanging="360"/>
      </w:pPr>
      <w:rPr>
        <w:rFonts w:hint="default" w:ascii="Arial" w:hAnsi="Arial"/>
      </w:rPr>
    </w:lvl>
    <w:lvl w:ilvl="3" w:tplc="A3F6C07A" w:tentative="1">
      <w:start w:val="1"/>
      <w:numFmt w:val="bullet"/>
      <w:lvlText w:val="•"/>
      <w:lvlJc w:val="left"/>
      <w:pPr>
        <w:tabs>
          <w:tab w:val="num" w:pos="2880"/>
        </w:tabs>
        <w:ind w:left="2880" w:hanging="360"/>
      </w:pPr>
      <w:rPr>
        <w:rFonts w:hint="default" w:ascii="Arial" w:hAnsi="Arial"/>
      </w:rPr>
    </w:lvl>
    <w:lvl w:ilvl="4" w:tplc="9162BFC2" w:tentative="1">
      <w:start w:val="1"/>
      <w:numFmt w:val="bullet"/>
      <w:lvlText w:val="•"/>
      <w:lvlJc w:val="left"/>
      <w:pPr>
        <w:tabs>
          <w:tab w:val="num" w:pos="3600"/>
        </w:tabs>
        <w:ind w:left="3600" w:hanging="360"/>
      </w:pPr>
      <w:rPr>
        <w:rFonts w:hint="default" w:ascii="Arial" w:hAnsi="Arial"/>
      </w:rPr>
    </w:lvl>
    <w:lvl w:ilvl="5" w:tplc="EF16A40C" w:tentative="1">
      <w:start w:val="1"/>
      <w:numFmt w:val="bullet"/>
      <w:lvlText w:val="•"/>
      <w:lvlJc w:val="left"/>
      <w:pPr>
        <w:tabs>
          <w:tab w:val="num" w:pos="4320"/>
        </w:tabs>
        <w:ind w:left="4320" w:hanging="360"/>
      </w:pPr>
      <w:rPr>
        <w:rFonts w:hint="default" w:ascii="Arial" w:hAnsi="Arial"/>
      </w:rPr>
    </w:lvl>
    <w:lvl w:ilvl="6" w:tplc="DA70B14E" w:tentative="1">
      <w:start w:val="1"/>
      <w:numFmt w:val="bullet"/>
      <w:lvlText w:val="•"/>
      <w:lvlJc w:val="left"/>
      <w:pPr>
        <w:tabs>
          <w:tab w:val="num" w:pos="5040"/>
        </w:tabs>
        <w:ind w:left="5040" w:hanging="360"/>
      </w:pPr>
      <w:rPr>
        <w:rFonts w:hint="default" w:ascii="Arial" w:hAnsi="Arial"/>
      </w:rPr>
    </w:lvl>
    <w:lvl w:ilvl="7" w:tplc="739CB7AC" w:tentative="1">
      <w:start w:val="1"/>
      <w:numFmt w:val="bullet"/>
      <w:lvlText w:val="•"/>
      <w:lvlJc w:val="left"/>
      <w:pPr>
        <w:tabs>
          <w:tab w:val="num" w:pos="5760"/>
        </w:tabs>
        <w:ind w:left="5760" w:hanging="360"/>
      </w:pPr>
      <w:rPr>
        <w:rFonts w:hint="default" w:ascii="Arial" w:hAnsi="Arial"/>
      </w:rPr>
    </w:lvl>
    <w:lvl w:ilvl="8" w:tplc="B2447B6A" w:tentative="1">
      <w:start w:val="1"/>
      <w:numFmt w:val="bullet"/>
      <w:lvlText w:val="•"/>
      <w:lvlJc w:val="left"/>
      <w:pPr>
        <w:tabs>
          <w:tab w:val="num" w:pos="6480"/>
        </w:tabs>
        <w:ind w:left="6480" w:hanging="360"/>
      </w:pPr>
      <w:rPr>
        <w:rFonts w:hint="default" w:ascii="Arial" w:hAnsi="Arial"/>
      </w:rPr>
    </w:lvl>
  </w:abstractNum>
  <w:abstractNum w:abstractNumId="1" w15:restartNumberingAfterBreak="0">
    <w:nsid w:val="0B1B32E1"/>
    <w:multiLevelType w:val="hybridMultilevel"/>
    <w:tmpl w:val="1A383D40"/>
    <w:lvl w:ilvl="0" w:tplc="17743290">
      <w:start w:val="1"/>
      <w:numFmt w:val="bullet"/>
      <w:lvlText w:val=""/>
      <w:lvlJc w:val="left"/>
      <w:pPr>
        <w:ind w:left="1080" w:hanging="360"/>
      </w:pPr>
      <w:rPr>
        <w:rFonts w:ascii="Symbol" w:hAnsi="Symbol"/>
      </w:rPr>
    </w:lvl>
    <w:lvl w:ilvl="1" w:tplc="42C27516">
      <w:start w:val="1"/>
      <w:numFmt w:val="bullet"/>
      <w:lvlText w:val=""/>
      <w:lvlJc w:val="left"/>
      <w:pPr>
        <w:ind w:left="1080" w:hanging="360"/>
      </w:pPr>
      <w:rPr>
        <w:rFonts w:ascii="Symbol" w:hAnsi="Symbol"/>
      </w:rPr>
    </w:lvl>
    <w:lvl w:ilvl="2" w:tplc="420C1A26">
      <w:start w:val="1"/>
      <w:numFmt w:val="bullet"/>
      <w:lvlText w:val=""/>
      <w:lvlJc w:val="left"/>
      <w:pPr>
        <w:ind w:left="1080" w:hanging="360"/>
      </w:pPr>
      <w:rPr>
        <w:rFonts w:ascii="Symbol" w:hAnsi="Symbol"/>
      </w:rPr>
    </w:lvl>
    <w:lvl w:ilvl="3" w:tplc="6D1079EE">
      <w:start w:val="1"/>
      <w:numFmt w:val="bullet"/>
      <w:lvlText w:val=""/>
      <w:lvlJc w:val="left"/>
      <w:pPr>
        <w:ind w:left="1080" w:hanging="360"/>
      </w:pPr>
      <w:rPr>
        <w:rFonts w:ascii="Symbol" w:hAnsi="Symbol"/>
      </w:rPr>
    </w:lvl>
    <w:lvl w:ilvl="4" w:tplc="25B61C92">
      <w:start w:val="1"/>
      <w:numFmt w:val="bullet"/>
      <w:lvlText w:val=""/>
      <w:lvlJc w:val="left"/>
      <w:pPr>
        <w:ind w:left="1080" w:hanging="360"/>
      </w:pPr>
      <w:rPr>
        <w:rFonts w:ascii="Symbol" w:hAnsi="Symbol"/>
      </w:rPr>
    </w:lvl>
    <w:lvl w:ilvl="5" w:tplc="64A44BD4">
      <w:start w:val="1"/>
      <w:numFmt w:val="bullet"/>
      <w:lvlText w:val=""/>
      <w:lvlJc w:val="left"/>
      <w:pPr>
        <w:ind w:left="1080" w:hanging="360"/>
      </w:pPr>
      <w:rPr>
        <w:rFonts w:ascii="Symbol" w:hAnsi="Symbol"/>
      </w:rPr>
    </w:lvl>
    <w:lvl w:ilvl="6" w:tplc="90F0C694">
      <w:start w:val="1"/>
      <w:numFmt w:val="bullet"/>
      <w:lvlText w:val=""/>
      <w:lvlJc w:val="left"/>
      <w:pPr>
        <w:ind w:left="1080" w:hanging="360"/>
      </w:pPr>
      <w:rPr>
        <w:rFonts w:ascii="Symbol" w:hAnsi="Symbol"/>
      </w:rPr>
    </w:lvl>
    <w:lvl w:ilvl="7" w:tplc="B9AC8ED6">
      <w:start w:val="1"/>
      <w:numFmt w:val="bullet"/>
      <w:lvlText w:val=""/>
      <w:lvlJc w:val="left"/>
      <w:pPr>
        <w:ind w:left="1080" w:hanging="360"/>
      </w:pPr>
      <w:rPr>
        <w:rFonts w:ascii="Symbol" w:hAnsi="Symbol"/>
      </w:rPr>
    </w:lvl>
    <w:lvl w:ilvl="8" w:tplc="44AAB5EC">
      <w:start w:val="1"/>
      <w:numFmt w:val="bullet"/>
      <w:lvlText w:val=""/>
      <w:lvlJc w:val="left"/>
      <w:pPr>
        <w:ind w:left="1080" w:hanging="360"/>
      </w:pPr>
      <w:rPr>
        <w:rFonts w:ascii="Symbol" w:hAnsi="Symbol"/>
      </w:rPr>
    </w:lvl>
  </w:abstractNum>
  <w:abstractNum w:abstractNumId="2" w15:restartNumberingAfterBreak="0">
    <w:nsid w:val="0F862D4F"/>
    <w:multiLevelType w:val="hybridMultilevel"/>
    <w:tmpl w:val="81729AE8"/>
    <w:lvl w:ilvl="0" w:tplc="B7CEEAA4">
      <w:start w:val="1"/>
      <w:numFmt w:val="bullet"/>
      <w:lvlText w:val=""/>
      <w:lvlJc w:val="left"/>
      <w:pPr>
        <w:ind w:left="720" w:hanging="360"/>
      </w:pPr>
      <w:rPr>
        <w:rFonts w:hint="default" w:ascii="Symbol" w:hAnsi="Symbol"/>
      </w:rPr>
    </w:lvl>
    <w:lvl w:ilvl="1" w:tplc="302A0820" w:tentative="1">
      <w:start w:val="1"/>
      <w:numFmt w:val="bullet"/>
      <w:lvlText w:val="o"/>
      <w:lvlJc w:val="left"/>
      <w:pPr>
        <w:ind w:left="1440" w:hanging="360"/>
      </w:pPr>
      <w:rPr>
        <w:rFonts w:hint="default" w:ascii="Courier New" w:hAnsi="Courier New"/>
      </w:rPr>
    </w:lvl>
    <w:lvl w:ilvl="2" w:tplc="21447BD2" w:tentative="1">
      <w:start w:val="1"/>
      <w:numFmt w:val="bullet"/>
      <w:lvlText w:val=""/>
      <w:lvlJc w:val="left"/>
      <w:pPr>
        <w:ind w:left="2160" w:hanging="360"/>
      </w:pPr>
      <w:rPr>
        <w:rFonts w:hint="default" w:ascii="Wingdings" w:hAnsi="Wingdings"/>
      </w:rPr>
    </w:lvl>
    <w:lvl w:ilvl="3" w:tplc="B1884534" w:tentative="1">
      <w:start w:val="1"/>
      <w:numFmt w:val="bullet"/>
      <w:lvlText w:val=""/>
      <w:lvlJc w:val="left"/>
      <w:pPr>
        <w:ind w:left="2880" w:hanging="360"/>
      </w:pPr>
      <w:rPr>
        <w:rFonts w:hint="default" w:ascii="Symbol" w:hAnsi="Symbol"/>
      </w:rPr>
    </w:lvl>
    <w:lvl w:ilvl="4" w:tplc="2C504C10" w:tentative="1">
      <w:start w:val="1"/>
      <w:numFmt w:val="bullet"/>
      <w:lvlText w:val="o"/>
      <w:lvlJc w:val="left"/>
      <w:pPr>
        <w:ind w:left="3600" w:hanging="360"/>
      </w:pPr>
      <w:rPr>
        <w:rFonts w:hint="default" w:ascii="Courier New" w:hAnsi="Courier New"/>
      </w:rPr>
    </w:lvl>
    <w:lvl w:ilvl="5" w:tplc="6E58905E" w:tentative="1">
      <w:start w:val="1"/>
      <w:numFmt w:val="bullet"/>
      <w:lvlText w:val=""/>
      <w:lvlJc w:val="left"/>
      <w:pPr>
        <w:ind w:left="4320" w:hanging="360"/>
      </w:pPr>
      <w:rPr>
        <w:rFonts w:hint="default" w:ascii="Wingdings" w:hAnsi="Wingdings"/>
      </w:rPr>
    </w:lvl>
    <w:lvl w:ilvl="6" w:tplc="D9C6FD4E" w:tentative="1">
      <w:start w:val="1"/>
      <w:numFmt w:val="bullet"/>
      <w:lvlText w:val=""/>
      <w:lvlJc w:val="left"/>
      <w:pPr>
        <w:ind w:left="5040" w:hanging="360"/>
      </w:pPr>
      <w:rPr>
        <w:rFonts w:hint="default" w:ascii="Symbol" w:hAnsi="Symbol"/>
      </w:rPr>
    </w:lvl>
    <w:lvl w:ilvl="7" w:tplc="648E2C46" w:tentative="1">
      <w:start w:val="1"/>
      <w:numFmt w:val="bullet"/>
      <w:lvlText w:val="o"/>
      <w:lvlJc w:val="left"/>
      <w:pPr>
        <w:ind w:left="5760" w:hanging="360"/>
      </w:pPr>
      <w:rPr>
        <w:rFonts w:hint="default" w:ascii="Courier New" w:hAnsi="Courier New"/>
      </w:rPr>
    </w:lvl>
    <w:lvl w:ilvl="8" w:tplc="C2EA3508" w:tentative="1">
      <w:start w:val="1"/>
      <w:numFmt w:val="bullet"/>
      <w:lvlText w:val=""/>
      <w:lvlJc w:val="left"/>
      <w:pPr>
        <w:ind w:left="6480" w:hanging="360"/>
      </w:pPr>
      <w:rPr>
        <w:rFonts w:hint="default" w:ascii="Wingdings" w:hAnsi="Wingdings"/>
      </w:rPr>
    </w:lvl>
  </w:abstractNum>
  <w:abstractNum w:abstractNumId="3" w15:restartNumberingAfterBreak="0">
    <w:nsid w:val="14BD4FB4"/>
    <w:multiLevelType w:val="hybridMultilevel"/>
    <w:tmpl w:val="EE1E8D12"/>
    <w:lvl w:ilvl="0" w:tplc="79C4D410">
      <w:start w:val="1"/>
      <w:numFmt w:val="bullet"/>
      <w:lvlText w:val="•"/>
      <w:lvlJc w:val="left"/>
      <w:pPr>
        <w:tabs>
          <w:tab w:val="num" w:pos="720"/>
        </w:tabs>
        <w:ind w:left="720" w:hanging="360"/>
      </w:pPr>
      <w:rPr>
        <w:rFonts w:hint="default" w:ascii="Arial" w:hAnsi="Arial"/>
      </w:rPr>
    </w:lvl>
    <w:lvl w:ilvl="1" w:tplc="EAD0E4A0" w:tentative="1">
      <w:start w:val="1"/>
      <w:numFmt w:val="bullet"/>
      <w:lvlText w:val="•"/>
      <w:lvlJc w:val="left"/>
      <w:pPr>
        <w:tabs>
          <w:tab w:val="num" w:pos="1440"/>
        </w:tabs>
        <w:ind w:left="1440" w:hanging="360"/>
      </w:pPr>
      <w:rPr>
        <w:rFonts w:hint="default" w:ascii="Arial" w:hAnsi="Arial"/>
      </w:rPr>
    </w:lvl>
    <w:lvl w:ilvl="2" w:tplc="7E8EB55E" w:tentative="1">
      <w:start w:val="1"/>
      <w:numFmt w:val="bullet"/>
      <w:lvlText w:val="•"/>
      <w:lvlJc w:val="left"/>
      <w:pPr>
        <w:tabs>
          <w:tab w:val="num" w:pos="2160"/>
        </w:tabs>
        <w:ind w:left="2160" w:hanging="360"/>
      </w:pPr>
      <w:rPr>
        <w:rFonts w:hint="default" w:ascii="Arial" w:hAnsi="Arial"/>
      </w:rPr>
    </w:lvl>
    <w:lvl w:ilvl="3" w:tplc="53EABFD6" w:tentative="1">
      <w:start w:val="1"/>
      <w:numFmt w:val="bullet"/>
      <w:lvlText w:val="•"/>
      <w:lvlJc w:val="left"/>
      <w:pPr>
        <w:tabs>
          <w:tab w:val="num" w:pos="2880"/>
        </w:tabs>
        <w:ind w:left="2880" w:hanging="360"/>
      </w:pPr>
      <w:rPr>
        <w:rFonts w:hint="default" w:ascii="Arial" w:hAnsi="Arial"/>
      </w:rPr>
    </w:lvl>
    <w:lvl w:ilvl="4" w:tplc="E60AAEB0" w:tentative="1">
      <w:start w:val="1"/>
      <w:numFmt w:val="bullet"/>
      <w:lvlText w:val="•"/>
      <w:lvlJc w:val="left"/>
      <w:pPr>
        <w:tabs>
          <w:tab w:val="num" w:pos="3600"/>
        </w:tabs>
        <w:ind w:left="3600" w:hanging="360"/>
      </w:pPr>
      <w:rPr>
        <w:rFonts w:hint="default" w:ascii="Arial" w:hAnsi="Arial"/>
      </w:rPr>
    </w:lvl>
    <w:lvl w:ilvl="5" w:tplc="02EA4E0A" w:tentative="1">
      <w:start w:val="1"/>
      <w:numFmt w:val="bullet"/>
      <w:lvlText w:val="•"/>
      <w:lvlJc w:val="left"/>
      <w:pPr>
        <w:tabs>
          <w:tab w:val="num" w:pos="4320"/>
        </w:tabs>
        <w:ind w:left="4320" w:hanging="360"/>
      </w:pPr>
      <w:rPr>
        <w:rFonts w:hint="default" w:ascii="Arial" w:hAnsi="Arial"/>
      </w:rPr>
    </w:lvl>
    <w:lvl w:ilvl="6" w:tplc="316A0D10" w:tentative="1">
      <w:start w:val="1"/>
      <w:numFmt w:val="bullet"/>
      <w:lvlText w:val="•"/>
      <w:lvlJc w:val="left"/>
      <w:pPr>
        <w:tabs>
          <w:tab w:val="num" w:pos="5040"/>
        </w:tabs>
        <w:ind w:left="5040" w:hanging="360"/>
      </w:pPr>
      <w:rPr>
        <w:rFonts w:hint="default" w:ascii="Arial" w:hAnsi="Arial"/>
      </w:rPr>
    </w:lvl>
    <w:lvl w:ilvl="7" w:tplc="A510EA94" w:tentative="1">
      <w:start w:val="1"/>
      <w:numFmt w:val="bullet"/>
      <w:lvlText w:val="•"/>
      <w:lvlJc w:val="left"/>
      <w:pPr>
        <w:tabs>
          <w:tab w:val="num" w:pos="5760"/>
        </w:tabs>
        <w:ind w:left="5760" w:hanging="360"/>
      </w:pPr>
      <w:rPr>
        <w:rFonts w:hint="default" w:ascii="Arial" w:hAnsi="Arial"/>
      </w:rPr>
    </w:lvl>
    <w:lvl w:ilvl="8" w:tplc="B8E6BD3C" w:tentative="1">
      <w:start w:val="1"/>
      <w:numFmt w:val="bullet"/>
      <w:lvlText w:val="•"/>
      <w:lvlJc w:val="left"/>
      <w:pPr>
        <w:tabs>
          <w:tab w:val="num" w:pos="6480"/>
        </w:tabs>
        <w:ind w:left="6480" w:hanging="360"/>
      </w:pPr>
      <w:rPr>
        <w:rFonts w:hint="default" w:ascii="Arial" w:hAnsi="Arial"/>
      </w:rPr>
    </w:lvl>
  </w:abstractNum>
  <w:abstractNum w:abstractNumId="4" w15:restartNumberingAfterBreak="0">
    <w:nsid w:val="14C86541"/>
    <w:multiLevelType w:val="hybridMultilevel"/>
    <w:tmpl w:val="908E1DC8"/>
    <w:lvl w:ilvl="0" w:tplc="DAD26082">
      <w:start w:val="1"/>
      <w:numFmt w:val="bullet"/>
      <w:lvlText w:val="•"/>
      <w:lvlJc w:val="left"/>
      <w:pPr>
        <w:tabs>
          <w:tab w:val="num" w:pos="720"/>
        </w:tabs>
        <w:ind w:left="720" w:hanging="360"/>
      </w:pPr>
      <w:rPr>
        <w:rFonts w:hint="default" w:ascii="Arial" w:hAnsi="Arial"/>
      </w:rPr>
    </w:lvl>
    <w:lvl w:ilvl="1" w:tplc="D1AC3B8E" w:tentative="1">
      <w:start w:val="1"/>
      <w:numFmt w:val="bullet"/>
      <w:lvlText w:val="•"/>
      <w:lvlJc w:val="left"/>
      <w:pPr>
        <w:tabs>
          <w:tab w:val="num" w:pos="1440"/>
        </w:tabs>
        <w:ind w:left="1440" w:hanging="360"/>
      </w:pPr>
      <w:rPr>
        <w:rFonts w:hint="default" w:ascii="Arial" w:hAnsi="Arial"/>
      </w:rPr>
    </w:lvl>
    <w:lvl w:ilvl="2" w:tplc="10DC139A" w:tentative="1">
      <w:start w:val="1"/>
      <w:numFmt w:val="bullet"/>
      <w:lvlText w:val="•"/>
      <w:lvlJc w:val="left"/>
      <w:pPr>
        <w:tabs>
          <w:tab w:val="num" w:pos="2160"/>
        </w:tabs>
        <w:ind w:left="2160" w:hanging="360"/>
      </w:pPr>
      <w:rPr>
        <w:rFonts w:hint="default" w:ascii="Arial" w:hAnsi="Arial"/>
      </w:rPr>
    </w:lvl>
    <w:lvl w:ilvl="3" w:tplc="58DEB740" w:tentative="1">
      <w:start w:val="1"/>
      <w:numFmt w:val="bullet"/>
      <w:lvlText w:val="•"/>
      <w:lvlJc w:val="left"/>
      <w:pPr>
        <w:tabs>
          <w:tab w:val="num" w:pos="2880"/>
        </w:tabs>
        <w:ind w:left="2880" w:hanging="360"/>
      </w:pPr>
      <w:rPr>
        <w:rFonts w:hint="default" w:ascii="Arial" w:hAnsi="Arial"/>
      </w:rPr>
    </w:lvl>
    <w:lvl w:ilvl="4" w:tplc="A264675E" w:tentative="1">
      <w:start w:val="1"/>
      <w:numFmt w:val="bullet"/>
      <w:lvlText w:val="•"/>
      <w:lvlJc w:val="left"/>
      <w:pPr>
        <w:tabs>
          <w:tab w:val="num" w:pos="3600"/>
        </w:tabs>
        <w:ind w:left="3600" w:hanging="360"/>
      </w:pPr>
      <w:rPr>
        <w:rFonts w:hint="default" w:ascii="Arial" w:hAnsi="Arial"/>
      </w:rPr>
    </w:lvl>
    <w:lvl w:ilvl="5" w:tplc="EE90BF9A" w:tentative="1">
      <w:start w:val="1"/>
      <w:numFmt w:val="bullet"/>
      <w:lvlText w:val="•"/>
      <w:lvlJc w:val="left"/>
      <w:pPr>
        <w:tabs>
          <w:tab w:val="num" w:pos="4320"/>
        </w:tabs>
        <w:ind w:left="4320" w:hanging="360"/>
      </w:pPr>
      <w:rPr>
        <w:rFonts w:hint="default" w:ascii="Arial" w:hAnsi="Arial"/>
      </w:rPr>
    </w:lvl>
    <w:lvl w:ilvl="6" w:tplc="2FD461F0" w:tentative="1">
      <w:start w:val="1"/>
      <w:numFmt w:val="bullet"/>
      <w:lvlText w:val="•"/>
      <w:lvlJc w:val="left"/>
      <w:pPr>
        <w:tabs>
          <w:tab w:val="num" w:pos="5040"/>
        </w:tabs>
        <w:ind w:left="5040" w:hanging="360"/>
      </w:pPr>
      <w:rPr>
        <w:rFonts w:hint="default" w:ascii="Arial" w:hAnsi="Arial"/>
      </w:rPr>
    </w:lvl>
    <w:lvl w:ilvl="7" w:tplc="BC08370E" w:tentative="1">
      <w:start w:val="1"/>
      <w:numFmt w:val="bullet"/>
      <w:lvlText w:val="•"/>
      <w:lvlJc w:val="left"/>
      <w:pPr>
        <w:tabs>
          <w:tab w:val="num" w:pos="5760"/>
        </w:tabs>
        <w:ind w:left="5760" w:hanging="360"/>
      </w:pPr>
      <w:rPr>
        <w:rFonts w:hint="default" w:ascii="Arial" w:hAnsi="Arial"/>
      </w:rPr>
    </w:lvl>
    <w:lvl w:ilvl="8" w:tplc="8B443AA2" w:tentative="1">
      <w:start w:val="1"/>
      <w:numFmt w:val="bullet"/>
      <w:lvlText w:val="•"/>
      <w:lvlJc w:val="left"/>
      <w:pPr>
        <w:tabs>
          <w:tab w:val="num" w:pos="6480"/>
        </w:tabs>
        <w:ind w:left="6480" w:hanging="360"/>
      </w:pPr>
      <w:rPr>
        <w:rFonts w:hint="default" w:ascii="Arial" w:hAnsi="Arial"/>
      </w:rPr>
    </w:lvl>
  </w:abstractNum>
  <w:abstractNum w:abstractNumId="5" w15:restartNumberingAfterBreak="0">
    <w:nsid w:val="21B66EA7"/>
    <w:multiLevelType w:val="hybridMultilevel"/>
    <w:tmpl w:val="5504FB12"/>
    <w:lvl w:ilvl="0" w:tplc="650E63D6">
      <w:start w:val="1"/>
      <w:numFmt w:val="bullet"/>
      <w:lvlText w:val=""/>
      <w:lvlJc w:val="left"/>
      <w:pPr>
        <w:ind w:left="720" w:hanging="360"/>
      </w:pPr>
      <w:rPr>
        <w:rFonts w:hint="default" w:ascii="Symbol" w:hAnsi="Symbol"/>
      </w:rPr>
    </w:lvl>
    <w:lvl w:ilvl="1" w:tplc="9E269C6E" w:tentative="1">
      <w:start w:val="1"/>
      <w:numFmt w:val="bullet"/>
      <w:lvlText w:val="o"/>
      <w:lvlJc w:val="left"/>
      <w:pPr>
        <w:ind w:left="1440" w:hanging="360"/>
      </w:pPr>
      <w:rPr>
        <w:rFonts w:hint="default" w:ascii="Courier New" w:hAnsi="Courier New"/>
      </w:rPr>
    </w:lvl>
    <w:lvl w:ilvl="2" w:tplc="B88C53A2" w:tentative="1">
      <w:start w:val="1"/>
      <w:numFmt w:val="bullet"/>
      <w:lvlText w:val=""/>
      <w:lvlJc w:val="left"/>
      <w:pPr>
        <w:ind w:left="2160" w:hanging="360"/>
      </w:pPr>
      <w:rPr>
        <w:rFonts w:hint="default" w:ascii="Wingdings" w:hAnsi="Wingdings"/>
      </w:rPr>
    </w:lvl>
    <w:lvl w:ilvl="3" w:tplc="ED3C9B9C" w:tentative="1">
      <w:start w:val="1"/>
      <w:numFmt w:val="bullet"/>
      <w:lvlText w:val=""/>
      <w:lvlJc w:val="left"/>
      <w:pPr>
        <w:ind w:left="2880" w:hanging="360"/>
      </w:pPr>
      <w:rPr>
        <w:rFonts w:hint="default" w:ascii="Symbol" w:hAnsi="Symbol"/>
      </w:rPr>
    </w:lvl>
    <w:lvl w:ilvl="4" w:tplc="462202D4" w:tentative="1">
      <w:start w:val="1"/>
      <w:numFmt w:val="bullet"/>
      <w:lvlText w:val="o"/>
      <w:lvlJc w:val="left"/>
      <w:pPr>
        <w:ind w:left="3600" w:hanging="360"/>
      </w:pPr>
      <w:rPr>
        <w:rFonts w:hint="default" w:ascii="Courier New" w:hAnsi="Courier New"/>
      </w:rPr>
    </w:lvl>
    <w:lvl w:ilvl="5" w:tplc="E368B0A2" w:tentative="1">
      <w:start w:val="1"/>
      <w:numFmt w:val="bullet"/>
      <w:lvlText w:val=""/>
      <w:lvlJc w:val="left"/>
      <w:pPr>
        <w:ind w:left="4320" w:hanging="360"/>
      </w:pPr>
      <w:rPr>
        <w:rFonts w:hint="default" w:ascii="Wingdings" w:hAnsi="Wingdings"/>
      </w:rPr>
    </w:lvl>
    <w:lvl w:ilvl="6" w:tplc="D62E1C98" w:tentative="1">
      <w:start w:val="1"/>
      <w:numFmt w:val="bullet"/>
      <w:lvlText w:val=""/>
      <w:lvlJc w:val="left"/>
      <w:pPr>
        <w:ind w:left="5040" w:hanging="360"/>
      </w:pPr>
      <w:rPr>
        <w:rFonts w:hint="default" w:ascii="Symbol" w:hAnsi="Symbol"/>
      </w:rPr>
    </w:lvl>
    <w:lvl w:ilvl="7" w:tplc="6EE84B72" w:tentative="1">
      <w:start w:val="1"/>
      <w:numFmt w:val="bullet"/>
      <w:lvlText w:val="o"/>
      <w:lvlJc w:val="left"/>
      <w:pPr>
        <w:ind w:left="5760" w:hanging="360"/>
      </w:pPr>
      <w:rPr>
        <w:rFonts w:hint="default" w:ascii="Courier New" w:hAnsi="Courier New"/>
      </w:rPr>
    </w:lvl>
    <w:lvl w:ilvl="8" w:tplc="E0BE6342" w:tentative="1">
      <w:start w:val="1"/>
      <w:numFmt w:val="bullet"/>
      <w:lvlText w:val=""/>
      <w:lvlJc w:val="left"/>
      <w:pPr>
        <w:ind w:left="6480" w:hanging="360"/>
      </w:pPr>
      <w:rPr>
        <w:rFonts w:hint="default" w:ascii="Wingdings" w:hAnsi="Wingdings"/>
      </w:rPr>
    </w:lvl>
  </w:abstractNum>
  <w:abstractNum w:abstractNumId="6" w15:restartNumberingAfterBreak="0">
    <w:nsid w:val="21E74DE0"/>
    <w:multiLevelType w:val="hybridMultilevel"/>
    <w:tmpl w:val="8C96E62C"/>
    <w:lvl w:ilvl="0" w:tplc="C0B805E4">
      <w:start w:val="1"/>
      <w:numFmt w:val="bullet"/>
      <w:lvlText w:val=""/>
      <w:lvlJc w:val="left"/>
      <w:pPr>
        <w:ind w:left="720" w:hanging="360"/>
      </w:pPr>
      <w:rPr>
        <w:rFonts w:hint="default" w:ascii="Symbol" w:hAnsi="Symbol"/>
      </w:rPr>
    </w:lvl>
    <w:lvl w:ilvl="1" w:tplc="5AF016B2" w:tentative="1">
      <w:start w:val="1"/>
      <w:numFmt w:val="bullet"/>
      <w:lvlText w:val="o"/>
      <w:lvlJc w:val="left"/>
      <w:pPr>
        <w:ind w:left="1440" w:hanging="360"/>
      </w:pPr>
      <w:rPr>
        <w:rFonts w:hint="default" w:ascii="Courier New" w:hAnsi="Courier New"/>
      </w:rPr>
    </w:lvl>
    <w:lvl w:ilvl="2" w:tplc="101A1238" w:tentative="1">
      <w:start w:val="1"/>
      <w:numFmt w:val="bullet"/>
      <w:lvlText w:val=""/>
      <w:lvlJc w:val="left"/>
      <w:pPr>
        <w:ind w:left="2160" w:hanging="360"/>
      </w:pPr>
      <w:rPr>
        <w:rFonts w:hint="default" w:ascii="Wingdings" w:hAnsi="Wingdings"/>
      </w:rPr>
    </w:lvl>
    <w:lvl w:ilvl="3" w:tplc="3C668FFA" w:tentative="1">
      <w:start w:val="1"/>
      <w:numFmt w:val="bullet"/>
      <w:lvlText w:val=""/>
      <w:lvlJc w:val="left"/>
      <w:pPr>
        <w:ind w:left="2880" w:hanging="360"/>
      </w:pPr>
      <w:rPr>
        <w:rFonts w:hint="default" w:ascii="Symbol" w:hAnsi="Symbol"/>
      </w:rPr>
    </w:lvl>
    <w:lvl w:ilvl="4" w:tplc="02BC370A" w:tentative="1">
      <w:start w:val="1"/>
      <w:numFmt w:val="bullet"/>
      <w:lvlText w:val="o"/>
      <w:lvlJc w:val="left"/>
      <w:pPr>
        <w:ind w:left="3600" w:hanging="360"/>
      </w:pPr>
      <w:rPr>
        <w:rFonts w:hint="default" w:ascii="Courier New" w:hAnsi="Courier New"/>
      </w:rPr>
    </w:lvl>
    <w:lvl w:ilvl="5" w:tplc="D7125884" w:tentative="1">
      <w:start w:val="1"/>
      <w:numFmt w:val="bullet"/>
      <w:lvlText w:val=""/>
      <w:lvlJc w:val="left"/>
      <w:pPr>
        <w:ind w:left="4320" w:hanging="360"/>
      </w:pPr>
      <w:rPr>
        <w:rFonts w:hint="default" w:ascii="Wingdings" w:hAnsi="Wingdings"/>
      </w:rPr>
    </w:lvl>
    <w:lvl w:ilvl="6" w:tplc="3C3410DC" w:tentative="1">
      <w:start w:val="1"/>
      <w:numFmt w:val="bullet"/>
      <w:lvlText w:val=""/>
      <w:lvlJc w:val="left"/>
      <w:pPr>
        <w:ind w:left="5040" w:hanging="360"/>
      </w:pPr>
      <w:rPr>
        <w:rFonts w:hint="default" w:ascii="Symbol" w:hAnsi="Symbol"/>
      </w:rPr>
    </w:lvl>
    <w:lvl w:ilvl="7" w:tplc="078E0CB0" w:tentative="1">
      <w:start w:val="1"/>
      <w:numFmt w:val="bullet"/>
      <w:lvlText w:val="o"/>
      <w:lvlJc w:val="left"/>
      <w:pPr>
        <w:ind w:left="5760" w:hanging="360"/>
      </w:pPr>
      <w:rPr>
        <w:rFonts w:hint="default" w:ascii="Courier New" w:hAnsi="Courier New"/>
      </w:rPr>
    </w:lvl>
    <w:lvl w:ilvl="8" w:tplc="09B6E73E" w:tentative="1">
      <w:start w:val="1"/>
      <w:numFmt w:val="bullet"/>
      <w:lvlText w:val=""/>
      <w:lvlJc w:val="left"/>
      <w:pPr>
        <w:ind w:left="6480" w:hanging="360"/>
      </w:pPr>
      <w:rPr>
        <w:rFonts w:hint="default" w:ascii="Wingdings" w:hAnsi="Wingdings"/>
      </w:rPr>
    </w:lvl>
  </w:abstractNum>
  <w:abstractNum w:abstractNumId="7" w15:restartNumberingAfterBreak="0">
    <w:nsid w:val="2BB62689"/>
    <w:multiLevelType w:val="hybridMultilevel"/>
    <w:tmpl w:val="2CF61E3C"/>
    <w:lvl w:ilvl="0" w:tplc="95847A4C">
      <w:start w:val="1"/>
      <w:numFmt w:val="bullet"/>
      <w:lvlText w:val=""/>
      <w:lvlJc w:val="left"/>
      <w:pPr>
        <w:ind w:left="720" w:hanging="360"/>
      </w:pPr>
      <w:rPr>
        <w:rFonts w:hint="default" w:ascii="Symbol" w:hAnsi="Symbol"/>
      </w:rPr>
    </w:lvl>
    <w:lvl w:ilvl="1" w:tplc="3B3AB04A" w:tentative="1">
      <w:start w:val="1"/>
      <w:numFmt w:val="bullet"/>
      <w:lvlText w:val="o"/>
      <w:lvlJc w:val="left"/>
      <w:pPr>
        <w:ind w:left="1440" w:hanging="360"/>
      </w:pPr>
      <w:rPr>
        <w:rFonts w:hint="default" w:ascii="Courier New" w:hAnsi="Courier New"/>
      </w:rPr>
    </w:lvl>
    <w:lvl w:ilvl="2" w:tplc="9F32C7A0" w:tentative="1">
      <w:start w:val="1"/>
      <w:numFmt w:val="bullet"/>
      <w:lvlText w:val=""/>
      <w:lvlJc w:val="left"/>
      <w:pPr>
        <w:ind w:left="2160" w:hanging="360"/>
      </w:pPr>
      <w:rPr>
        <w:rFonts w:hint="default" w:ascii="Wingdings" w:hAnsi="Wingdings"/>
      </w:rPr>
    </w:lvl>
    <w:lvl w:ilvl="3" w:tplc="C390F976" w:tentative="1">
      <w:start w:val="1"/>
      <w:numFmt w:val="bullet"/>
      <w:lvlText w:val=""/>
      <w:lvlJc w:val="left"/>
      <w:pPr>
        <w:ind w:left="2880" w:hanging="360"/>
      </w:pPr>
      <w:rPr>
        <w:rFonts w:hint="default" w:ascii="Symbol" w:hAnsi="Symbol"/>
      </w:rPr>
    </w:lvl>
    <w:lvl w:ilvl="4" w:tplc="A7F28FC2" w:tentative="1">
      <w:start w:val="1"/>
      <w:numFmt w:val="bullet"/>
      <w:lvlText w:val="o"/>
      <w:lvlJc w:val="left"/>
      <w:pPr>
        <w:ind w:left="3600" w:hanging="360"/>
      </w:pPr>
      <w:rPr>
        <w:rFonts w:hint="default" w:ascii="Courier New" w:hAnsi="Courier New"/>
      </w:rPr>
    </w:lvl>
    <w:lvl w:ilvl="5" w:tplc="95F0B27C" w:tentative="1">
      <w:start w:val="1"/>
      <w:numFmt w:val="bullet"/>
      <w:lvlText w:val=""/>
      <w:lvlJc w:val="left"/>
      <w:pPr>
        <w:ind w:left="4320" w:hanging="360"/>
      </w:pPr>
      <w:rPr>
        <w:rFonts w:hint="default" w:ascii="Wingdings" w:hAnsi="Wingdings"/>
      </w:rPr>
    </w:lvl>
    <w:lvl w:ilvl="6" w:tplc="CB38CF54" w:tentative="1">
      <w:start w:val="1"/>
      <w:numFmt w:val="bullet"/>
      <w:lvlText w:val=""/>
      <w:lvlJc w:val="left"/>
      <w:pPr>
        <w:ind w:left="5040" w:hanging="360"/>
      </w:pPr>
      <w:rPr>
        <w:rFonts w:hint="default" w:ascii="Symbol" w:hAnsi="Symbol"/>
      </w:rPr>
    </w:lvl>
    <w:lvl w:ilvl="7" w:tplc="4FD4E8CE" w:tentative="1">
      <w:start w:val="1"/>
      <w:numFmt w:val="bullet"/>
      <w:lvlText w:val="o"/>
      <w:lvlJc w:val="left"/>
      <w:pPr>
        <w:ind w:left="5760" w:hanging="360"/>
      </w:pPr>
      <w:rPr>
        <w:rFonts w:hint="default" w:ascii="Courier New" w:hAnsi="Courier New"/>
      </w:rPr>
    </w:lvl>
    <w:lvl w:ilvl="8" w:tplc="D97E570E" w:tentative="1">
      <w:start w:val="1"/>
      <w:numFmt w:val="bullet"/>
      <w:lvlText w:val=""/>
      <w:lvlJc w:val="left"/>
      <w:pPr>
        <w:ind w:left="6480" w:hanging="360"/>
      </w:pPr>
      <w:rPr>
        <w:rFonts w:hint="default" w:ascii="Wingdings" w:hAnsi="Wingdings"/>
      </w:rPr>
    </w:lvl>
  </w:abstractNum>
  <w:abstractNum w:abstractNumId="8" w15:restartNumberingAfterBreak="0">
    <w:nsid w:val="3E3416FC"/>
    <w:multiLevelType w:val="hybridMultilevel"/>
    <w:tmpl w:val="E8907B82"/>
    <w:lvl w:ilvl="0" w:tplc="4686FFC0">
      <w:start w:val="1"/>
      <w:numFmt w:val="bullet"/>
      <w:lvlText w:val=""/>
      <w:lvlJc w:val="left"/>
      <w:pPr>
        <w:ind w:left="720" w:hanging="360"/>
      </w:pPr>
      <w:rPr>
        <w:rFonts w:hint="default" w:ascii="Symbol" w:hAnsi="Symbol"/>
      </w:rPr>
    </w:lvl>
    <w:lvl w:ilvl="1" w:tplc="2084CE58" w:tentative="1">
      <w:start w:val="1"/>
      <w:numFmt w:val="bullet"/>
      <w:lvlText w:val="o"/>
      <w:lvlJc w:val="left"/>
      <w:pPr>
        <w:ind w:left="1440" w:hanging="360"/>
      </w:pPr>
      <w:rPr>
        <w:rFonts w:hint="default" w:ascii="Courier New" w:hAnsi="Courier New"/>
      </w:rPr>
    </w:lvl>
    <w:lvl w:ilvl="2" w:tplc="96CA2ECE" w:tentative="1">
      <w:start w:val="1"/>
      <w:numFmt w:val="bullet"/>
      <w:lvlText w:val=""/>
      <w:lvlJc w:val="left"/>
      <w:pPr>
        <w:ind w:left="2160" w:hanging="360"/>
      </w:pPr>
      <w:rPr>
        <w:rFonts w:hint="default" w:ascii="Wingdings" w:hAnsi="Wingdings"/>
      </w:rPr>
    </w:lvl>
    <w:lvl w:ilvl="3" w:tplc="E07801BC" w:tentative="1">
      <w:start w:val="1"/>
      <w:numFmt w:val="bullet"/>
      <w:lvlText w:val=""/>
      <w:lvlJc w:val="left"/>
      <w:pPr>
        <w:ind w:left="2880" w:hanging="360"/>
      </w:pPr>
      <w:rPr>
        <w:rFonts w:hint="default" w:ascii="Symbol" w:hAnsi="Symbol"/>
      </w:rPr>
    </w:lvl>
    <w:lvl w:ilvl="4" w:tplc="C8F01A50" w:tentative="1">
      <w:start w:val="1"/>
      <w:numFmt w:val="bullet"/>
      <w:lvlText w:val="o"/>
      <w:lvlJc w:val="left"/>
      <w:pPr>
        <w:ind w:left="3600" w:hanging="360"/>
      </w:pPr>
      <w:rPr>
        <w:rFonts w:hint="default" w:ascii="Courier New" w:hAnsi="Courier New"/>
      </w:rPr>
    </w:lvl>
    <w:lvl w:ilvl="5" w:tplc="AE5A54C2" w:tentative="1">
      <w:start w:val="1"/>
      <w:numFmt w:val="bullet"/>
      <w:lvlText w:val=""/>
      <w:lvlJc w:val="left"/>
      <w:pPr>
        <w:ind w:left="4320" w:hanging="360"/>
      </w:pPr>
      <w:rPr>
        <w:rFonts w:hint="default" w:ascii="Wingdings" w:hAnsi="Wingdings"/>
      </w:rPr>
    </w:lvl>
    <w:lvl w:ilvl="6" w:tplc="F5E61A5E" w:tentative="1">
      <w:start w:val="1"/>
      <w:numFmt w:val="bullet"/>
      <w:lvlText w:val=""/>
      <w:lvlJc w:val="left"/>
      <w:pPr>
        <w:ind w:left="5040" w:hanging="360"/>
      </w:pPr>
      <w:rPr>
        <w:rFonts w:hint="default" w:ascii="Symbol" w:hAnsi="Symbol"/>
      </w:rPr>
    </w:lvl>
    <w:lvl w:ilvl="7" w:tplc="D36419E2" w:tentative="1">
      <w:start w:val="1"/>
      <w:numFmt w:val="bullet"/>
      <w:lvlText w:val="o"/>
      <w:lvlJc w:val="left"/>
      <w:pPr>
        <w:ind w:left="5760" w:hanging="360"/>
      </w:pPr>
      <w:rPr>
        <w:rFonts w:hint="default" w:ascii="Courier New" w:hAnsi="Courier New"/>
      </w:rPr>
    </w:lvl>
    <w:lvl w:ilvl="8" w:tplc="32601512" w:tentative="1">
      <w:start w:val="1"/>
      <w:numFmt w:val="bullet"/>
      <w:lvlText w:val=""/>
      <w:lvlJc w:val="left"/>
      <w:pPr>
        <w:ind w:left="6480" w:hanging="360"/>
      </w:pPr>
      <w:rPr>
        <w:rFonts w:hint="default" w:ascii="Wingdings" w:hAnsi="Wingdings"/>
      </w:rPr>
    </w:lvl>
  </w:abstractNum>
  <w:abstractNum w:abstractNumId="9" w15:restartNumberingAfterBreak="0">
    <w:nsid w:val="3F0B38E4"/>
    <w:multiLevelType w:val="hybridMultilevel"/>
    <w:tmpl w:val="8A545CA6"/>
    <w:lvl w:ilvl="0" w:tplc="C992833C">
      <w:start w:val="1"/>
      <w:numFmt w:val="bullet"/>
      <w:lvlText w:val="•"/>
      <w:lvlJc w:val="left"/>
      <w:pPr>
        <w:tabs>
          <w:tab w:val="num" w:pos="720"/>
        </w:tabs>
        <w:ind w:left="720" w:hanging="360"/>
      </w:pPr>
      <w:rPr>
        <w:rFonts w:hint="default" w:ascii="Arial" w:hAnsi="Arial"/>
      </w:rPr>
    </w:lvl>
    <w:lvl w:ilvl="1" w:tplc="1D8CE1CE" w:tentative="1">
      <w:start w:val="1"/>
      <w:numFmt w:val="bullet"/>
      <w:lvlText w:val="•"/>
      <w:lvlJc w:val="left"/>
      <w:pPr>
        <w:tabs>
          <w:tab w:val="num" w:pos="1440"/>
        </w:tabs>
        <w:ind w:left="1440" w:hanging="360"/>
      </w:pPr>
      <w:rPr>
        <w:rFonts w:hint="default" w:ascii="Arial" w:hAnsi="Arial"/>
      </w:rPr>
    </w:lvl>
    <w:lvl w:ilvl="2" w:tplc="217E615E" w:tentative="1">
      <w:start w:val="1"/>
      <w:numFmt w:val="bullet"/>
      <w:lvlText w:val="•"/>
      <w:lvlJc w:val="left"/>
      <w:pPr>
        <w:tabs>
          <w:tab w:val="num" w:pos="2160"/>
        </w:tabs>
        <w:ind w:left="2160" w:hanging="360"/>
      </w:pPr>
      <w:rPr>
        <w:rFonts w:hint="default" w:ascii="Arial" w:hAnsi="Arial"/>
      </w:rPr>
    </w:lvl>
    <w:lvl w:ilvl="3" w:tplc="AC4A1DB6" w:tentative="1">
      <w:start w:val="1"/>
      <w:numFmt w:val="bullet"/>
      <w:lvlText w:val="•"/>
      <w:lvlJc w:val="left"/>
      <w:pPr>
        <w:tabs>
          <w:tab w:val="num" w:pos="2880"/>
        </w:tabs>
        <w:ind w:left="2880" w:hanging="360"/>
      </w:pPr>
      <w:rPr>
        <w:rFonts w:hint="default" w:ascii="Arial" w:hAnsi="Arial"/>
      </w:rPr>
    </w:lvl>
    <w:lvl w:ilvl="4" w:tplc="3E34E01C" w:tentative="1">
      <w:start w:val="1"/>
      <w:numFmt w:val="bullet"/>
      <w:lvlText w:val="•"/>
      <w:lvlJc w:val="left"/>
      <w:pPr>
        <w:tabs>
          <w:tab w:val="num" w:pos="3600"/>
        </w:tabs>
        <w:ind w:left="3600" w:hanging="360"/>
      </w:pPr>
      <w:rPr>
        <w:rFonts w:hint="default" w:ascii="Arial" w:hAnsi="Arial"/>
      </w:rPr>
    </w:lvl>
    <w:lvl w:ilvl="5" w:tplc="1A9C2240" w:tentative="1">
      <w:start w:val="1"/>
      <w:numFmt w:val="bullet"/>
      <w:lvlText w:val="•"/>
      <w:lvlJc w:val="left"/>
      <w:pPr>
        <w:tabs>
          <w:tab w:val="num" w:pos="4320"/>
        </w:tabs>
        <w:ind w:left="4320" w:hanging="360"/>
      </w:pPr>
      <w:rPr>
        <w:rFonts w:hint="default" w:ascii="Arial" w:hAnsi="Arial"/>
      </w:rPr>
    </w:lvl>
    <w:lvl w:ilvl="6" w:tplc="46163906" w:tentative="1">
      <w:start w:val="1"/>
      <w:numFmt w:val="bullet"/>
      <w:lvlText w:val="•"/>
      <w:lvlJc w:val="left"/>
      <w:pPr>
        <w:tabs>
          <w:tab w:val="num" w:pos="5040"/>
        </w:tabs>
        <w:ind w:left="5040" w:hanging="360"/>
      </w:pPr>
      <w:rPr>
        <w:rFonts w:hint="default" w:ascii="Arial" w:hAnsi="Arial"/>
      </w:rPr>
    </w:lvl>
    <w:lvl w:ilvl="7" w:tplc="206C4BA0" w:tentative="1">
      <w:start w:val="1"/>
      <w:numFmt w:val="bullet"/>
      <w:lvlText w:val="•"/>
      <w:lvlJc w:val="left"/>
      <w:pPr>
        <w:tabs>
          <w:tab w:val="num" w:pos="5760"/>
        </w:tabs>
        <w:ind w:left="5760" w:hanging="360"/>
      </w:pPr>
      <w:rPr>
        <w:rFonts w:hint="default" w:ascii="Arial" w:hAnsi="Arial"/>
      </w:rPr>
    </w:lvl>
    <w:lvl w:ilvl="8" w:tplc="9B44F66A" w:tentative="1">
      <w:start w:val="1"/>
      <w:numFmt w:val="bullet"/>
      <w:lvlText w:val="•"/>
      <w:lvlJc w:val="left"/>
      <w:pPr>
        <w:tabs>
          <w:tab w:val="num" w:pos="6480"/>
        </w:tabs>
        <w:ind w:left="6480" w:hanging="360"/>
      </w:pPr>
      <w:rPr>
        <w:rFonts w:hint="default" w:ascii="Arial" w:hAnsi="Arial"/>
      </w:rPr>
    </w:lvl>
  </w:abstractNum>
  <w:abstractNum w:abstractNumId="10" w15:restartNumberingAfterBreak="0">
    <w:nsid w:val="4C3305F9"/>
    <w:multiLevelType w:val="hybridMultilevel"/>
    <w:tmpl w:val="9A924A8E"/>
    <w:lvl w:ilvl="0" w:tplc="CD6893C2">
      <w:start w:val="1"/>
      <w:numFmt w:val="bullet"/>
      <w:lvlText w:val=""/>
      <w:lvlJc w:val="left"/>
      <w:pPr>
        <w:ind w:left="720" w:hanging="360"/>
      </w:pPr>
      <w:rPr>
        <w:rFonts w:hint="default" w:ascii="Symbol" w:hAnsi="Symbol"/>
      </w:rPr>
    </w:lvl>
    <w:lvl w:ilvl="1" w:tplc="0C3E1684" w:tentative="1">
      <w:start w:val="1"/>
      <w:numFmt w:val="bullet"/>
      <w:lvlText w:val="o"/>
      <w:lvlJc w:val="left"/>
      <w:pPr>
        <w:ind w:left="1440" w:hanging="360"/>
      </w:pPr>
      <w:rPr>
        <w:rFonts w:hint="default" w:ascii="Courier New" w:hAnsi="Courier New"/>
      </w:rPr>
    </w:lvl>
    <w:lvl w:ilvl="2" w:tplc="118C67DC" w:tentative="1">
      <w:start w:val="1"/>
      <w:numFmt w:val="bullet"/>
      <w:lvlText w:val=""/>
      <w:lvlJc w:val="left"/>
      <w:pPr>
        <w:ind w:left="2160" w:hanging="360"/>
      </w:pPr>
      <w:rPr>
        <w:rFonts w:hint="default" w:ascii="Wingdings" w:hAnsi="Wingdings"/>
      </w:rPr>
    </w:lvl>
    <w:lvl w:ilvl="3" w:tplc="E0222586" w:tentative="1">
      <w:start w:val="1"/>
      <w:numFmt w:val="bullet"/>
      <w:lvlText w:val=""/>
      <w:lvlJc w:val="left"/>
      <w:pPr>
        <w:ind w:left="2880" w:hanging="360"/>
      </w:pPr>
      <w:rPr>
        <w:rFonts w:hint="default" w:ascii="Symbol" w:hAnsi="Symbol"/>
      </w:rPr>
    </w:lvl>
    <w:lvl w:ilvl="4" w:tplc="DC60DA2A" w:tentative="1">
      <w:start w:val="1"/>
      <w:numFmt w:val="bullet"/>
      <w:lvlText w:val="o"/>
      <w:lvlJc w:val="left"/>
      <w:pPr>
        <w:ind w:left="3600" w:hanging="360"/>
      </w:pPr>
      <w:rPr>
        <w:rFonts w:hint="default" w:ascii="Courier New" w:hAnsi="Courier New"/>
      </w:rPr>
    </w:lvl>
    <w:lvl w:ilvl="5" w:tplc="40D22C02" w:tentative="1">
      <w:start w:val="1"/>
      <w:numFmt w:val="bullet"/>
      <w:lvlText w:val=""/>
      <w:lvlJc w:val="left"/>
      <w:pPr>
        <w:ind w:left="4320" w:hanging="360"/>
      </w:pPr>
      <w:rPr>
        <w:rFonts w:hint="default" w:ascii="Wingdings" w:hAnsi="Wingdings"/>
      </w:rPr>
    </w:lvl>
    <w:lvl w:ilvl="6" w:tplc="D57EFE36" w:tentative="1">
      <w:start w:val="1"/>
      <w:numFmt w:val="bullet"/>
      <w:lvlText w:val=""/>
      <w:lvlJc w:val="left"/>
      <w:pPr>
        <w:ind w:left="5040" w:hanging="360"/>
      </w:pPr>
      <w:rPr>
        <w:rFonts w:hint="default" w:ascii="Symbol" w:hAnsi="Symbol"/>
      </w:rPr>
    </w:lvl>
    <w:lvl w:ilvl="7" w:tplc="1BAE5140" w:tentative="1">
      <w:start w:val="1"/>
      <w:numFmt w:val="bullet"/>
      <w:lvlText w:val="o"/>
      <w:lvlJc w:val="left"/>
      <w:pPr>
        <w:ind w:left="5760" w:hanging="360"/>
      </w:pPr>
      <w:rPr>
        <w:rFonts w:hint="default" w:ascii="Courier New" w:hAnsi="Courier New"/>
      </w:rPr>
    </w:lvl>
    <w:lvl w:ilvl="8" w:tplc="97367322" w:tentative="1">
      <w:start w:val="1"/>
      <w:numFmt w:val="bullet"/>
      <w:lvlText w:val=""/>
      <w:lvlJc w:val="left"/>
      <w:pPr>
        <w:ind w:left="6480" w:hanging="360"/>
      </w:pPr>
      <w:rPr>
        <w:rFonts w:hint="default" w:ascii="Wingdings" w:hAnsi="Wingdings"/>
      </w:rPr>
    </w:lvl>
  </w:abstractNum>
  <w:abstractNum w:abstractNumId="11" w15:restartNumberingAfterBreak="0">
    <w:nsid w:val="5A361914"/>
    <w:multiLevelType w:val="hybridMultilevel"/>
    <w:tmpl w:val="989AEBE0"/>
    <w:lvl w:ilvl="0" w:tplc="AA921730">
      <w:start w:val="1"/>
      <w:numFmt w:val="bullet"/>
      <w:lvlText w:val="•"/>
      <w:lvlJc w:val="left"/>
      <w:pPr>
        <w:tabs>
          <w:tab w:val="num" w:pos="720"/>
        </w:tabs>
        <w:ind w:left="720" w:hanging="360"/>
      </w:pPr>
      <w:rPr>
        <w:rFonts w:hint="default" w:ascii="Arial" w:hAnsi="Arial"/>
      </w:rPr>
    </w:lvl>
    <w:lvl w:ilvl="1" w:tplc="D2F0E1DA" w:tentative="1">
      <w:start w:val="1"/>
      <w:numFmt w:val="bullet"/>
      <w:lvlText w:val="•"/>
      <w:lvlJc w:val="left"/>
      <w:pPr>
        <w:tabs>
          <w:tab w:val="num" w:pos="1440"/>
        </w:tabs>
        <w:ind w:left="1440" w:hanging="360"/>
      </w:pPr>
      <w:rPr>
        <w:rFonts w:hint="default" w:ascii="Arial" w:hAnsi="Arial"/>
      </w:rPr>
    </w:lvl>
    <w:lvl w:ilvl="2" w:tplc="E934FA80" w:tentative="1">
      <w:start w:val="1"/>
      <w:numFmt w:val="bullet"/>
      <w:lvlText w:val="•"/>
      <w:lvlJc w:val="left"/>
      <w:pPr>
        <w:tabs>
          <w:tab w:val="num" w:pos="2160"/>
        </w:tabs>
        <w:ind w:left="2160" w:hanging="360"/>
      </w:pPr>
      <w:rPr>
        <w:rFonts w:hint="default" w:ascii="Arial" w:hAnsi="Arial"/>
      </w:rPr>
    </w:lvl>
    <w:lvl w:ilvl="3" w:tplc="960243FE" w:tentative="1">
      <w:start w:val="1"/>
      <w:numFmt w:val="bullet"/>
      <w:lvlText w:val="•"/>
      <w:lvlJc w:val="left"/>
      <w:pPr>
        <w:tabs>
          <w:tab w:val="num" w:pos="2880"/>
        </w:tabs>
        <w:ind w:left="2880" w:hanging="360"/>
      </w:pPr>
      <w:rPr>
        <w:rFonts w:hint="default" w:ascii="Arial" w:hAnsi="Arial"/>
      </w:rPr>
    </w:lvl>
    <w:lvl w:ilvl="4" w:tplc="FD10FE02" w:tentative="1">
      <w:start w:val="1"/>
      <w:numFmt w:val="bullet"/>
      <w:lvlText w:val="•"/>
      <w:lvlJc w:val="left"/>
      <w:pPr>
        <w:tabs>
          <w:tab w:val="num" w:pos="3600"/>
        </w:tabs>
        <w:ind w:left="3600" w:hanging="360"/>
      </w:pPr>
      <w:rPr>
        <w:rFonts w:hint="default" w:ascii="Arial" w:hAnsi="Arial"/>
      </w:rPr>
    </w:lvl>
    <w:lvl w:ilvl="5" w:tplc="1752E7EE" w:tentative="1">
      <w:start w:val="1"/>
      <w:numFmt w:val="bullet"/>
      <w:lvlText w:val="•"/>
      <w:lvlJc w:val="left"/>
      <w:pPr>
        <w:tabs>
          <w:tab w:val="num" w:pos="4320"/>
        </w:tabs>
        <w:ind w:left="4320" w:hanging="360"/>
      </w:pPr>
      <w:rPr>
        <w:rFonts w:hint="default" w:ascii="Arial" w:hAnsi="Arial"/>
      </w:rPr>
    </w:lvl>
    <w:lvl w:ilvl="6" w:tplc="17E29278" w:tentative="1">
      <w:start w:val="1"/>
      <w:numFmt w:val="bullet"/>
      <w:lvlText w:val="•"/>
      <w:lvlJc w:val="left"/>
      <w:pPr>
        <w:tabs>
          <w:tab w:val="num" w:pos="5040"/>
        </w:tabs>
        <w:ind w:left="5040" w:hanging="360"/>
      </w:pPr>
      <w:rPr>
        <w:rFonts w:hint="default" w:ascii="Arial" w:hAnsi="Arial"/>
      </w:rPr>
    </w:lvl>
    <w:lvl w:ilvl="7" w:tplc="AAA4D668" w:tentative="1">
      <w:start w:val="1"/>
      <w:numFmt w:val="bullet"/>
      <w:lvlText w:val="•"/>
      <w:lvlJc w:val="left"/>
      <w:pPr>
        <w:tabs>
          <w:tab w:val="num" w:pos="5760"/>
        </w:tabs>
        <w:ind w:left="5760" w:hanging="360"/>
      </w:pPr>
      <w:rPr>
        <w:rFonts w:hint="default" w:ascii="Arial" w:hAnsi="Arial"/>
      </w:rPr>
    </w:lvl>
    <w:lvl w:ilvl="8" w:tplc="0C1840F4" w:tentative="1">
      <w:start w:val="1"/>
      <w:numFmt w:val="bullet"/>
      <w:lvlText w:val="•"/>
      <w:lvlJc w:val="left"/>
      <w:pPr>
        <w:tabs>
          <w:tab w:val="num" w:pos="6480"/>
        </w:tabs>
        <w:ind w:left="6480" w:hanging="360"/>
      </w:pPr>
      <w:rPr>
        <w:rFonts w:hint="default" w:ascii="Arial" w:hAnsi="Arial"/>
      </w:rPr>
    </w:lvl>
  </w:abstractNum>
  <w:abstractNum w:abstractNumId="12" w15:restartNumberingAfterBreak="0">
    <w:nsid w:val="5D3927C1"/>
    <w:multiLevelType w:val="hybridMultilevel"/>
    <w:tmpl w:val="907204D2"/>
    <w:lvl w:ilvl="0" w:tplc="693A4BBA">
      <w:start w:val="1"/>
      <w:numFmt w:val="bullet"/>
      <w:lvlText w:val="•"/>
      <w:lvlJc w:val="left"/>
      <w:pPr>
        <w:tabs>
          <w:tab w:val="num" w:pos="720"/>
        </w:tabs>
        <w:ind w:left="720" w:hanging="360"/>
      </w:pPr>
      <w:rPr>
        <w:rFonts w:hint="default" w:ascii="Arial" w:hAnsi="Arial"/>
      </w:rPr>
    </w:lvl>
    <w:lvl w:ilvl="1" w:tplc="8B082228" w:tentative="1">
      <w:start w:val="1"/>
      <w:numFmt w:val="bullet"/>
      <w:lvlText w:val="•"/>
      <w:lvlJc w:val="left"/>
      <w:pPr>
        <w:tabs>
          <w:tab w:val="num" w:pos="1440"/>
        </w:tabs>
        <w:ind w:left="1440" w:hanging="360"/>
      </w:pPr>
      <w:rPr>
        <w:rFonts w:hint="default" w:ascii="Arial" w:hAnsi="Arial"/>
      </w:rPr>
    </w:lvl>
    <w:lvl w:ilvl="2" w:tplc="A7E485A2" w:tentative="1">
      <w:start w:val="1"/>
      <w:numFmt w:val="bullet"/>
      <w:lvlText w:val="•"/>
      <w:lvlJc w:val="left"/>
      <w:pPr>
        <w:tabs>
          <w:tab w:val="num" w:pos="2160"/>
        </w:tabs>
        <w:ind w:left="2160" w:hanging="360"/>
      </w:pPr>
      <w:rPr>
        <w:rFonts w:hint="default" w:ascii="Arial" w:hAnsi="Arial"/>
      </w:rPr>
    </w:lvl>
    <w:lvl w:ilvl="3" w:tplc="194E0DAC" w:tentative="1">
      <w:start w:val="1"/>
      <w:numFmt w:val="bullet"/>
      <w:lvlText w:val="•"/>
      <w:lvlJc w:val="left"/>
      <w:pPr>
        <w:tabs>
          <w:tab w:val="num" w:pos="2880"/>
        </w:tabs>
        <w:ind w:left="2880" w:hanging="360"/>
      </w:pPr>
      <w:rPr>
        <w:rFonts w:hint="default" w:ascii="Arial" w:hAnsi="Arial"/>
      </w:rPr>
    </w:lvl>
    <w:lvl w:ilvl="4" w:tplc="009A4FF8" w:tentative="1">
      <w:start w:val="1"/>
      <w:numFmt w:val="bullet"/>
      <w:lvlText w:val="•"/>
      <w:lvlJc w:val="left"/>
      <w:pPr>
        <w:tabs>
          <w:tab w:val="num" w:pos="3600"/>
        </w:tabs>
        <w:ind w:left="3600" w:hanging="360"/>
      </w:pPr>
      <w:rPr>
        <w:rFonts w:hint="default" w:ascii="Arial" w:hAnsi="Arial"/>
      </w:rPr>
    </w:lvl>
    <w:lvl w:ilvl="5" w:tplc="70FCD5A4" w:tentative="1">
      <w:start w:val="1"/>
      <w:numFmt w:val="bullet"/>
      <w:lvlText w:val="•"/>
      <w:lvlJc w:val="left"/>
      <w:pPr>
        <w:tabs>
          <w:tab w:val="num" w:pos="4320"/>
        </w:tabs>
        <w:ind w:left="4320" w:hanging="360"/>
      </w:pPr>
      <w:rPr>
        <w:rFonts w:hint="default" w:ascii="Arial" w:hAnsi="Arial"/>
      </w:rPr>
    </w:lvl>
    <w:lvl w:ilvl="6" w:tplc="A5DA1660" w:tentative="1">
      <w:start w:val="1"/>
      <w:numFmt w:val="bullet"/>
      <w:lvlText w:val="•"/>
      <w:lvlJc w:val="left"/>
      <w:pPr>
        <w:tabs>
          <w:tab w:val="num" w:pos="5040"/>
        </w:tabs>
        <w:ind w:left="5040" w:hanging="360"/>
      </w:pPr>
      <w:rPr>
        <w:rFonts w:hint="default" w:ascii="Arial" w:hAnsi="Arial"/>
      </w:rPr>
    </w:lvl>
    <w:lvl w:ilvl="7" w:tplc="AD2E69F6" w:tentative="1">
      <w:start w:val="1"/>
      <w:numFmt w:val="bullet"/>
      <w:lvlText w:val="•"/>
      <w:lvlJc w:val="left"/>
      <w:pPr>
        <w:tabs>
          <w:tab w:val="num" w:pos="5760"/>
        </w:tabs>
        <w:ind w:left="5760" w:hanging="360"/>
      </w:pPr>
      <w:rPr>
        <w:rFonts w:hint="default" w:ascii="Arial" w:hAnsi="Arial"/>
      </w:rPr>
    </w:lvl>
    <w:lvl w:ilvl="8" w:tplc="891ECC30" w:tentative="1">
      <w:start w:val="1"/>
      <w:numFmt w:val="bullet"/>
      <w:lvlText w:val="•"/>
      <w:lvlJc w:val="left"/>
      <w:pPr>
        <w:tabs>
          <w:tab w:val="num" w:pos="6480"/>
        </w:tabs>
        <w:ind w:left="6480" w:hanging="360"/>
      </w:pPr>
      <w:rPr>
        <w:rFonts w:hint="default" w:ascii="Arial" w:hAnsi="Arial"/>
      </w:rPr>
    </w:lvl>
  </w:abstractNum>
  <w:abstractNum w:abstractNumId="13" w15:restartNumberingAfterBreak="0">
    <w:nsid w:val="63516952"/>
    <w:multiLevelType w:val="hybridMultilevel"/>
    <w:tmpl w:val="7214E894"/>
    <w:lvl w:ilvl="0" w:tplc="333AB280">
      <w:start w:val="1"/>
      <w:numFmt w:val="bullet"/>
      <w:lvlText w:val="•"/>
      <w:lvlJc w:val="left"/>
      <w:pPr>
        <w:tabs>
          <w:tab w:val="num" w:pos="720"/>
        </w:tabs>
        <w:ind w:left="720" w:hanging="360"/>
      </w:pPr>
      <w:rPr>
        <w:rFonts w:hint="default" w:ascii="Arial" w:hAnsi="Arial"/>
      </w:rPr>
    </w:lvl>
    <w:lvl w:ilvl="1" w:tplc="6D0CF638" w:tentative="1">
      <w:start w:val="1"/>
      <w:numFmt w:val="bullet"/>
      <w:lvlText w:val="•"/>
      <w:lvlJc w:val="left"/>
      <w:pPr>
        <w:tabs>
          <w:tab w:val="num" w:pos="1440"/>
        </w:tabs>
        <w:ind w:left="1440" w:hanging="360"/>
      </w:pPr>
      <w:rPr>
        <w:rFonts w:hint="default" w:ascii="Arial" w:hAnsi="Arial"/>
      </w:rPr>
    </w:lvl>
    <w:lvl w:ilvl="2" w:tplc="89564ECC" w:tentative="1">
      <w:start w:val="1"/>
      <w:numFmt w:val="bullet"/>
      <w:lvlText w:val="•"/>
      <w:lvlJc w:val="left"/>
      <w:pPr>
        <w:tabs>
          <w:tab w:val="num" w:pos="2160"/>
        </w:tabs>
        <w:ind w:left="2160" w:hanging="360"/>
      </w:pPr>
      <w:rPr>
        <w:rFonts w:hint="default" w:ascii="Arial" w:hAnsi="Arial"/>
      </w:rPr>
    </w:lvl>
    <w:lvl w:ilvl="3" w:tplc="3CDE6902" w:tentative="1">
      <w:start w:val="1"/>
      <w:numFmt w:val="bullet"/>
      <w:lvlText w:val="•"/>
      <w:lvlJc w:val="left"/>
      <w:pPr>
        <w:tabs>
          <w:tab w:val="num" w:pos="2880"/>
        </w:tabs>
        <w:ind w:left="2880" w:hanging="360"/>
      </w:pPr>
      <w:rPr>
        <w:rFonts w:hint="default" w:ascii="Arial" w:hAnsi="Arial"/>
      </w:rPr>
    </w:lvl>
    <w:lvl w:ilvl="4" w:tplc="00F04994" w:tentative="1">
      <w:start w:val="1"/>
      <w:numFmt w:val="bullet"/>
      <w:lvlText w:val="•"/>
      <w:lvlJc w:val="left"/>
      <w:pPr>
        <w:tabs>
          <w:tab w:val="num" w:pos="3600"/>
        </w:tabs>
        <w:ind w:left="3600" w:hanging="360"/>
      </w:pPr>
      <w:rPr>
        <w:rFonts w:hint="default" w:ascii="Arial" w:hAnsi="Arial"/>
      </w:rPr>
    </w:lvl>
    <w:lvl w:ilvl="5" w:tplc="41001090" w:tentative="1">
      <w:start w:val="1"/>
      <w:numFmt w:val="bullet"/>
      <w:lvlText w:val="•"/>
      <w:lvlJc w:val="left"/>
      <w:pPr>
        <w:tabs>
          <w:tab w:val="num" w:pos="4320"/>
        </w:tabs>
        <w:ind w:left="4320" w:hanging="360"/>
      </w:pPr>
      <w:rPr>
        <w:rFonts w:hint="default" w:ascii="Arial" w:hAnsi="Arial"/>
      </w:rPr>
    </w:lvl>
    <w:lvl w:ilvl="6" w:tplc="E30E43B2" w:tentative="1">
      <w:start w:val="1"/>
      <w:numFmt w:val="bullet"/>
      <w:lvlText w:val="•"/>
      <w:lvlJc w:val="left"/>
      <w:pPr>
        <w:tabs>
          <w:tab w:val="num" w:pos="5040"/>
        </w:tabs>
        <w:ind w:left="5040" w:hanging="360"/>
      </w:pPr>
      <w:rPr>
        <w:rFonts w:hint="default" w:ascii="Arial" w:hAnsi="Arial"/>
      </w:rPr>
    </w:lvl>
    <w:lvl w:ilvl="7" w:tplc="80887506" w:tentative="1">
      <w:start w:val="1"/>
      <w:numFmt w:val="bullet"/>
      <w:lvlText w:val="•"/>
      <w:lvlJc w:val="left"/>
      <w:pPr>
        <w:tabs>
          <w:tab w:val="num" w:pos="5760"/>
        </w:tabs>
        <w:ind w:left="5760" w:hanging="360"/>
      </w:pPr>
      <w:rPr>
        <w:rFonts w:hint="default" w:ascii="Arial" w:hAnsi="Arial"/>
      </w:rPr>
    </w:lvl>
    <w:lvl w:ilvl="8" w:tplc="0C06A4FA" w:tentative="1">
      <w:start w:val="1"/>
      <w:numFmt w:val="bullet"/>
      <w:lvlText w:val="•"/>
      <w:lvlJc w:val="left"/>
      <w:pPr>
        <w:tabs>
          <w:tab w:val="num" w:pos="6480"/>
        </w:tabs>
        <w:ind w:left="6480" w:hanging="360"/>
      </w:pPr>
      <w:rPr>
        <w:rFonts w:hint="default" w:ascii="Arial" w:hAnsi="Arial"/>
      </w:rPr>
    </w:lvl>
  </w:abstractNum>
  <w:abstractNum w:abstractNumId="14" w15:restartNumberingAfterBreak="0">
    <w:nsid w:val="642F1CEC"/>
    <w:multiLevelType w:val="hybridMultilevel"/>
    <w:tmpl w:val="62886BD0"/>
    <w:lvl w:ilvl="0" w:tplc="79E8305E">
      <w:start w:val="1"/>
      <w:numFmt w:val="bullet"/>
      <w:lvlText w:val="•"/>
      <w:lvlJc w:val="left"/>
      <w:pPr>
        <w:tabs>
          <w:tab w:val="num" w:pos="720"/>
        </w:tabs>
        <w:ind w:left="720" w:hanging="360"/>
      </w:pPr>
      <w:rPr>
        <w:rFonts w:hint="default" w:ascii="Arial" w:hAnsi="Arial"/>
      </w:rPr>
    </w:lvl>
    <w:lvl w:ilvl="1" w:tplc="E528C4A4" w:tentative="1">
      <w:start w:val="1"/>
      <w:numFmt w:val="bullet"/>
      <w:lvlText w:val="•"/>
      <w:lvlJc w:val="left"/>
      <w:pPr>
        <w:tabs>
          <w:tab w:val="num" w:pos="1440"/>
        </w:tabs>
        <w:ind w:left="1440" w:hanging="360"/>
      </w:pPr>
      <w:rPr>
        <w:rFonts w:hint="default" w:ascii="Arial" w:hAnsi="Arial"/>
      </w:rPr>
    </w:lvl>
    <w:lvl w:ilvl="2" w:tplc="7D56D1F2" w:tentative="1">
      <w:start w:val="1"/>
      <w:numFmt w:val="bullet"/>
      <w:lvlText w:val="•"/>
      <w:lvlJc w:val="left"/>
      <w:pPr>
        <w:tabs>
          <w:tab w:val="num" w:pos="2160"/>
        </w:tabs>
        <w:ind w:left="2160" w:hanging="360"/>
      </w:pPr>
      <w:rPr>
        <w:rFonts w:hint="default" w:ascii="Arial" w:hAnsi="Arial"/>
      </w:rPr>
    </w:lvl>
    <w:lvl w:ilvl="3" w:tplc="B83A1EA8" w:tentative="1">
      <w:start w:val="1"/>
      <w:numFmt w:val="bullet"/>
      <w:lvlText w:val="•"/>
      <w:lvlJc w:val="left"/>
      <w:pPr>
        <w:tabs>
          <w:tab w:val="num" w:pos="2880"/>
        </w:tabs>
        <w:ind w:left="2880" w:hanging="360"/>
      </w:pPr>
      <w:rPr>
        <w:rFonts w:hint="default" w:ascii="Arial" w:hAnsi="Arial"/>
      </w:rPr>
    </w:lvl>
    <w:lvl w:ilvl="4" w:tplc="6EFE8ABA" w:tentative="1">
      <w:start w:val="1"/>
      <w:numFmt w:val="bullet"/>
      <w:lvlText w:val="•"/>
      <w:lvlJc w:val="left"/>
      <w:pPr>
        <w:tabs>
          <w:tab w:val="num" w:pos="3600"/>
        </w:tabs>
        <w:ind w:left="3600" w:hanging="360"/>
      </w:pPr>
      <w:rPr>
        <w:rFonts w:hint="default" w:ascii="Arial" w:hAnsi="Arial"/>
      </w:rPr>
    </w:lvl>
    <w:lvl w:ilvl="5" w:tplc="91F6F624" w:tentative="1">
      <w:start w:val="1"/>
      <w:numFmt w:val="bullet"/>
      <w:lvlText w:val="•"/>
      <w:lvlJc w:val="left"/>
      <w:pPr>
        <w:tabs>
          <w:tab w:val="num" w:pos="4320"/>
        </w:tabs>
        <w:ind w:left="4320" w:hanging="360"/>
      </w:pPr>
      <w:rPr>
        <w:rFonts w:hint="default" w:ascii="Arial" w:hAnsi="Arial"/>
      </w:rPr>
    </w:lvl>
    <w:lvl w:ilvl="6" w:tplc="5F06CDFE" w:tentative="1">
      <w:start w:val="1"/>
      <w:numFmt w:val="bullet"/>
      <w:lvlText w:val="•"/>
      <w:lvlJc w:val="left"/>
      <w:pPr>
        <w:tabs>
          <w:tab w:val="num" w:pos="5040"/>
        </w:tabs>
        <w:ind w:left="5040" w:hanging="360"/>
      </w:pPr>
      <w:rPr>
        <w:rFonts w:hint="default" w:ascii="Arial" w:hAnsi="Arial"/>
      </w:rPr>
    </w:lvl>
    <w:lvl w:ilvl="7" w:tplc="317A8A54" w:tentative="1">
      <w:start w:val="1"/>
      <w:numFmt w:val="bullet"/>
      <w:lvlText w:val="•"/>
      <w:lvlJc w:val="left"/>
      <w:pPr>
        <w:tabs>
          <w:tab w:val="num" w:pos="5760"/>
        </w:tabs>
        <w:ind w:left="5760" w:hanging="360"/>
      </w:pPr>
      <w:rPr>
        <w:rFonts w:hint="default" w:ascii="Arial" w:hAnsi="Arial"/>
      </w:rPr>
    </w:lvl>
    <w:lvl w:ilvl="8" w:tplc="47B0B8DC" w:tentative="1">
      <w:start w:val="1"/>
      <w:numFmt w:val="bullet"/>
      <w:lvlText w:val="•"/>
      <w:lvlJc w:val="left"/>
      <w:pPr>
        <w:tabs>
          <w:tab w:val="num" w:pos="6480"/>
        </w:tabs>
        <w:ind w:left="6480" w:hanging="360"/>
      </w:pPr>
      <w:rPr>
        <w:rFonts w:hint="default" w:ascii="Arial" w:hAnsi="Arial"/>
      </w:rPr>
    </w:lvl>
  </w:abstractNum>
  <w:num w:numId="1" w16cid:durableId="1719358207">
    <w:abstractNumId w:val="10"/>
  </w:num>
  <w:num w:numId="2" w16cid:durableId="721058067">
    <w:abstractNumId w:val="5"/>
  </w:num>
  <w:num w:numId="3" w16cid:durableId="643004725">
    <w:abstractNumId w:val="7"/>
  </w:num>
  <w:num w:numId="4" w16cid:durableId="1864392941">
    <w:abstractNumId w:val="6"/>
  </w:num>
  <w:num w:numId="5" w16cid:durableId="1736049922">
    <w:abstractNumId w:val="8"/>
  </w:num>
  <w:num w:numId="6" w16cid:durableId="628705611">
    <w:abstractNumId w:val="2"/>
  </w:num>
  <w:num w:numId="7" w16cid:durableId="976958232">
    <w:abstractNumId w:val="14"/>
  </w:num>
  <w:num w:numId="8" w16cid:durableId="1947959171">
    <w:abstractNumId w:val="4"/>
  </w:num>
  <w:num w:numId="9" w16cid:durableId="2029604021">
    <w:abstractNumId w:val="12"/>
  </w:num>
  <w:num w:numId="10" w16cid:durableId="266354258">
    <w:abstractNumId w:val="11"/>
  </w:num>
  <w:num w:numId="11" w16cid:durableId="1428619820">
    <w:abstractNumId w:val="13"/>
  </w:num>
  <w:num w:numId="12" w16cid:durableId="258567343">
    <w:abstractNumId w:val="3"/>
  </w:num>
  <w:num w:numId="13" w16cid:durableId="1862931996">
    <w:abstractNumId w:val="9"/>
  </w:num>
  <w:num w:numId="14" w16cid:durableId="2005012814">
    <w:abstractNumId w:val="0"/>
  </w:num>
  <w:num w:numId="15" w16cid:durableId="1237670221">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bordersDoNotSurroundHeader/>
  <w:bordersDoNotSurroundFooter/>
  <w:trackRevisions w:val="false"/>
  <w:defaultTabStop w:val="720"/>
  <w:hyphenationZone w:val="425"/>
  <w:characterSpacingControl w:val="doNotCompress"/>
  <w:hdrShapeDefaults>
    <o:shapedefaults v:ext="edit" spidmax="2050">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S1NDU3NzU0Nzc3NjJR0lEKTi0uzszPAykwNK8FAB15foEtAAAA"/>
  </w:docVars>
  <w:rsids>
    <w:rsidRoot w:val="007F381F"/>
    <w:rsid w:val="000013E7"/>
    <w:rsid w:val="00001540"/>
    <w:rsid w:val="00001797"/>
    <w:rsid w:val="0000199A"/>
    <w:rsid w:val="00001F70"/>
    <w:rsid w:val="0000285D"/>
    <w:rsid w:val="0000329B"/>
    <w:rsid w:val="0000350A"/>
    <w:rsid w:val="00003C43"/>
    <w:rsid w:val="00003C97"/>
    <w:rsid w:val="000040DC"/>
    <w:rsid w:val="000060AB"/>
    <w:rsid w:val="000060B2"/>
    <w:rsid w:val="0000688A"/>
    <w:rsid w:val="000071EA"/>
    <w:rsid w:val="000077B2"/>
    <w:rsid w:val="00010F94"/>
    <w:rsid w:val="000115F3"/>
    <w:rsid w:val="00011EFF"/>
    <w:rsid w:val="000126BA"/>
    <w:rsid w:val="00012A44"/>
    <w:rsid w:val="00013669"/>
    <w:rsid w:val="000142D4"/>
    <w:rsid w:val="00014947"/>
    <w:rsid w:val="0001535E"/>
    <w:rsid w:val="000207F4"/>
    <w:rsid w:val="00020F4D"/>
    <w:rsid w:val="000210A0"/>
    <w:rsid w:val="00021D9F"/>
    <w:rsid w:val="0002348B"/>
    <w:rsid w:val="00023AA2"/>
    <w:rsid w:val="000243EA"/>
    <w:rsid w:val="0002487D"/>
    <w:rsid w:val="00025A49"/>
    <w:rsid w:val="00025AEE"/>
    <w:rsid w:val="00025FCA"/>
    <w:rsid w:val="0002634C"/>
    <w:rsid w:val="00026585"/>
    <w:rsid w:val="0002694D"/>
    <w:rsid w:val="00026F7E"/>
    <w:rsid w:val="000278D2"/>
    <w:rsid w:val="00031616"/>
    <w:rsid w:val="00032335"/>
    <w:rsid w:val="00032D13"/>
    <w:rsid w:val="00033CF5"/>
    <w:rsid w:val="00034654"/>
    <w:rsid w:val="000356C2"/>
    <w:rsid w:val="00035841"/>
    <w:rsid w:val="000358F7"/>
    <w:rsid w:val="00035CFA"/>
    <w:rsid w:val="00035FF2"/>
    <w:rsid w:val="00037CB9"/>
    <w:rsid w:val="000411CD"/>
    <w:rsid w:val="0004134E"/>
    <w:rsid w:val="000421FD"/>
    <w:rsid w:val="0004407F"/>
    <w:rsid w:val="00045A4D"/>
    <w:rsid w:val="000465DD"/>
    <w:rsid w:val="00046B3D"/>
    <w:rsid w:val="0004747B"/>
    <w:rsid w:val="00047D2A"/>
    <w:rsid w:val="00050CA8"/>
    <w:rsid w:val="000520A4"/>
    <w:rsid w:val="00053B73"/>
    <w:rsid w:val="00053D80"/>
    <w:rsid w:val="00053E33"/>
    <w:rsid w:val="00053F59"/>
    <w:rsid w:val="00053FCD"/>
    <w:rsid w:val="000571A9"/>
    <w:rsid w:val="00057F6F"/>
    <w:rsid w:val="00060305"/>
    <w:rsid w:val="00060F18"/>
    <w:rsid w:val="00061665"/>
    <w:rsid w:val="0006243C"/>
    <w:rsid w:val="00062C51"/>
    <w:rsid w:val="00062CEA"/>
    <w:rsid w:val="0006318C"/>
    <w:rsid w:val="00063731"/>
    <w:rsid w:val="0006390D"/>
    <w:rsid w:val="00063B63"/>
    <w:rsid w:val="00063D14"/>
    <w:rsid w:val="000640C2"/>
    <w:rsid w:val="00064ED1"/>
    <w:rsid w:val="00066869"/>
    <w:rsid w:val="00066DF3"/>
    <w:rsid w:val="000673CE"/>
    <w:rsid w:val="00070612"/>
    <w:rsid w:val="000720BE"/>
    <w:rsid w:val="00072E33"/>
    <w:rsid w:val="0007309F"/>
    <w:rsid w:val="00074BEC"/>
    <w:rsid w:val="00074C27"/>
    <w:rsid w:val="000756D9"/>
    <w:rsid w:val="0007625D"/>
    <w:rsid w:val="00080333"/>
    <w:rsid w:val="000804D8"/>
    <w:rsid w:val="00080C54"/>
    <w:rsid w:val="000810D4"/>
    <w:rsid w:val="000819A1"/>
    <w:rsid w:val="00081CD9"/>
    <w:rsid w:val="00084A1E"/>
    <w:rsid w:val="00084EBE"/>
    <w:rsid w:val="0008508B"/>
    <w:rsid w:val="000850D3"/>
    <w:rsid w:val="00086155"/>
    <w:rsid w:val="0008701A"/>
    <w:rsid w:val="00087384"/>
    <w:rsid w:val="00087C4E"/>
    <w:rsid w:val="0009079C"/>
    <w:rsid w:val="00090B85"/>
    <w:rsid w:val="00091243"/>
    <w:rsid w:val="0009146F"/>
    <w:rsid w:val="0009169F"/>
    <w:rsid w:val="00091F7F"/>
    <w:rsid w:val="000928A2"/>
    <w:rsid w:val="00092A1A"/>
    <w:rsid w:val="0009386D"/>
    <w:rsid w:val="0009425F"/>
    <w:rsid w:val="00094777"/>
    <w:rsid w:val="000958F8"/>
    <w:rsid w:val="0009665F"/>
    <w:rsid w:val="0009684F"/>
    <w:rsid w:val="00096FF5"/>
    <w:rsid w:val="000979A0"/>
    <w:rsid w:val="00097D3D"/>
    <w:rsid w:val="000A01F7"/>
    <w:rsid w:val="000A3193"/>
    <w:rsid w:val="000A3C2F"/>
    <w:rsid w:val="000A41A2"/>
    <w:rsid w:val="000A4C4B"/>
    <w:rsid w:val="000A60A9"/>
    <w:rsid w:val="000A6BE2"/>
    <w:rsid w:val="000B022F"/>
    <w:rsid w:val="000B054F"/>
    <w:rsid w:val="000B0768"/>
    <w:rsid w:val="000B102F"/>
    <w:rsid w:val="000B2330"/>
    <w:rsid w:val="000B3209"/>
    <w:rsid w:val="000B44AD"/>
    <w:rsid w:val="000B4989"/>
    <w:rsid w:val="000B4E6A"/>
    <w:rsid w:val="000B66CA"/>
    <w:rsid w:val="000B6F2A"/>
    <w:rsid w:val="000B76D8"/>
    <w:rsid w:val="000B7B3C"/>
    <w:rsid w:val="000B7D80"/>
    <w:rsid w:val="000C0DEA"/>
    <w:rsid w:val="000C25C6"/>
    <w:rsid w:val="000C36B2"/>
    <w:rsid w:val="000C3B1C"/>
    <w:rsid w:val="000C463E"/>
    <w:rsid w:val="000C4746"/>
    <w:rsid w:val="000C487C"/>
    <w:rsid w:val="000C4AAD"/>
    <w:rsid w:val="000C5B4D"/>
    <w:rsid w:val="000C5FD6"/>
    <w:rsid w:val="000C64F4"/>
    <w:rsid w:val="000C6986"/>
    <w:rsid w:val="000C6BBD"/>
    <w:rsid w:val="000C6C0C"/>
    <w:rsid w:val="000C7B02"/>
    <w:rsid w:val="000D11BC"/>
    <w:rsid w:val="000D1510"/>
    <w:rsid w:val="000D37B3"/>
    <w:rsid w:val="000D3958"/>
    <w:rsid w:val="000D404C"/>
    <w:rsid w:val="000D4663"/>
    <w:rsid w:val="000D69CA"/>
    <w:rsid w:val="000D6AB6"/>
    <w:rsid w:val="000D7816"/>
    <w:rsid w:val="000E0B0D"/>
    <w:rsid w:val="000E1093"/>
    <w:rsid w:val="000E1FF1"/>
    <w:rsid w:val="000E20A3"/>
    <w:rsid w:val="000E24C7"/>
    <w:rsid w:val="000E2903"/>
    <w:rsid w:val="000E4245"/>
    <w:rsid w:val="000E441C"/>
    <w:rsid w:val="000E4662"/>
    <w:rsid w:val="000E4823"/>
    <w:rsid w:val="000E49E5"/>
    <w:rsid w:val="000E58C0"/>
    <w:rsid w:val="000E5F5B"/>
    <w:rsid w:val="000E6187"/>
    <w:rsid w:val="000E6D8E"/>
    <w:rsid w:val="000F0837"/>
    <w:rsid w:val="000F2458"/>
    <w:rsid w:val="000F245C"/>
    <w:rsid w:val="000F2512"/>
    <w:rsid w:val="000F2C93"/>
    <w:rsid w:val="000F38B6"/>
    <w:rsid w:val="000F4C91"/>
    <w:rsid w:val="000F4ED4"/>
    <w:rsid w:val="000F4F21"/>
    <w:rsid w:val="000F53B5"/>
    <w:rsid w:val="000F5D5A"/>
    <w:rsid w:val="000F5E23"/>
    <w:rsid w:val="000F6776"/>
    <w:rsid w:val="000F6D21"/>
    <w:rsid w:val="0010016C"/>
    <w:rsid w:val="00100768"/>
    <w:rsid w:val="00100833"/>
    <w:rsid w:val="00101C95"/>
    <w:rsid w:val="00101FBA"/>
    <w:rsid w:val="00102DDE"/>
    <w:rsid w:val="001037D8"/>
    <w:rsid w:val="0010386F"/>
    <w:rsid w:val="00106268"/>
    <w:rsid w:val="00107739"/>
    <w:rsid w:val="00107860"/>
    <w:rsid w:val="00107AB1"/>
    <w:rsid w:val="0011000F"/>
    <w:rsid w:val="00111802"/>
    <w:rsid w:val="0011189A"/>
    <w:rsid w:val="00111EDD"/>
    <w:rsid w:val="00112DE3"/>
    <w:rsid w:val="001135D5"/>
    <w:rsid w:val="0011402C"/>
    <w:rsid w:val="001145B4"/>
    <w:rsid w:val="00114DF0"/>
    <w:rsid w:val="00115376"/>
    <w:rsid w:val="001163C4"/>
    <w:rsid w:val="001170F6"/>
    <w:rsid w:val="001213BB"/>
    <w:rsid w:val="00121E52"/>
    <w:rsid w:val="00121F0B"/>
    <w:rsid w:val="0012498C"/>
    <w:rsid w:val="00125CB2"/>
    <w:rsid w:val="00125ECB"/>
    <w:rsid w:val="001260CD"/>
    <w:rsid w:val="00131852"/>
    <w:rsid w:val="00132928"/>
    <w:rsid w:val="00132A99"/>
    <w:rsid w:val="00132EF9"/>
    <w:rsid w:val="001336A6"/>
    <w:rsid w:val="001343D6"/>
    <w:rsid w:val="00135513"/>
    <w:rsid w:val="0013588A"/>
    <w:rsid w:val="00136D5A"/>
    <w:rsid w:val="00136D77"/>
    <w:rsid w:val="0013724D"/>
    <w:rsid w:val="00143A35"/>
    <w:rsid w:val="00143CD0"/>
    <w:rsid w:val="001444F1"/>
    <w:rsid w:val="00145462"/>
    <w:rsid w:val="001454AB"/>
    <w:rsid w:val="00145CB0"/>
    <w:rsid w:val="001466FB"/>
    <w:rsid w:val="00146939"/>
    <w:rsid w:val="00147430"/>
    <w:rsid w:val="00147510"/>
    <w:rsid w:val="00147AEF"/>
    <w:rsid w:val="0015054D"/>
    <w:rsid w:val="00151605"/>
    <w:rsid w:val="00153015"/>
    <w:rsid w:val="00153B90"/>
    <w:rsid w:val="00155F67"/>
    <w:rsid w:val="001562E9"/>
    <w:rsid w:val="00156545"/>
    <w:rsid w:val="0015657B"/>
    <w:rsid w:val="001618EF"/>
    <w:rsid w:val="0016192D"/>
    <w:rsid w:val="00162372"/>
    <w:rsid w:val="001635CF"/>
    <w:rsid w:val="00163CA6"/>
    <w:rsid w:val="001640AC"/>
    <w:rsid w:val="00164737"/>
    <w:rsid w:val="0016610F"/>
    <w:rsid w:val="00166317"/>
    <w:rsid w:val="00170EB9"/>
    <w:rsid w:val="00171AD4"/>
    <w:rsid w:val="001724E4"/>
    <w:rsid w:val="00172DD3"/>
    <w:rsid w:val="0017368B"/>
    <w:rsid w:val="00173803"/>
    <w:rsid w:val="0017566F"/>
    <w:rsid w:val="0017588A"/>
    <w:rsid w:val="001772CC"/>
    <w:rsid w:val="00177A67"/>
    <w:rsid w:val="00177F46"/>
    <w:rsid w:val="00180270"/>
    <w:rsid w:val="001805DD"/>
    <w:rsid w:val="00180721"/>
    <w:rsid w:val="00180774"/>
    <w:rsid w:val="00182523"/>
    <w:rsid w:val="00183284"/>
    <w:rsid w:val="00184FA5"/>
    <w:rsid w:val="00186B06"/>
    <w:rsid w:val="00187EF6"/>
    <w:rsid w:val="00190532"/>
    <w:rsid w:val="00191F4B"/>
    <w:rsid w:val="00192747"/>
    <w:rsid w:val="00192F5E"/>
    <w:rsid w:val="00192F8F"/>
    <w:rsid w:val="00194C91"/>
    <w:rsid w:val="00194CEB"/>
    <w:rsid w:val="001952CC"/>
    <w:rsid w:val="001954CB"/>
    <w:rsid w:val="001957A5"/>
    <w:rsid w:val="001957D9"/>
    <w:rsid w:val="001959CA"/>
    <w:rsid w:val="00195BBA"/>
    <w:rsid w:val="00195D4A"/>
    <w:rsid w:val="00196873"/>
    <w:rsid w:val="001968C9"/>
    <w:rsid w:val="00197050"/>
    <w:rsid w:val="00197B86"/>
    <w:rsid w:val="001A1BC6"/>
    <w:rsid w:val="001A1BE1"/>
    <w:rsid w:val="001A1BEB"/>
    <w:rsid w:val="001A2DE4"/>
    <w:rsid w:val="001A3B57"/>
    <w:rsid w:val="001A427C"/>
    <w:rsid w:val="001A4A06"/>
    <w:rsid w:val="001A53AE"/>
    <w:rsid w:val="001A58A5"/>
    <w:rsid w:val="001A76F7"/>
    <w:rsid w:val="001A79AC"/>
    <w:rsid w:val="001B044F"/>
    <w:rsid w:val="001B0B98"/>
    <w:rsid w:val="001B1332"/>
    <w:rsid w:val="001B2790"/>
    <w:rsid w:val="001B29B4"/>
    <w:rsid w:val="001B41FC"/>
    <w:rsid w:val="001B5205"/>
    <w:rsid w:val="001B5362"/>
    <w:rsid w:val="001B585A"/>
    <w:rsid w:val="001B5CF6"/>
    <w:rsid w:val="001B7DCD"/>
    <w:rsid w:val="001C156C"/>
    <w:rsid w:val="001C1FC1"/>
    <w:rsid w:val="001C26D1"/>
    <w:rsid w:val="001C2864"/>
    <w:rsid w:val="001C2CAB"/>
    <w:rsid w:val="001C4D1A"/>
    <w:rsid w:val="001C6BBE"/>
    <w:rsid w:val="001C7369"/>
    <w:rsid w:val="001C7784"/>
    <w:rsid w:val="001D05E8"/>
    <w:rsid w:val="001D1E7F"/>
    <w:rsid w:val="001D3572"/>
    <w:rsid w:val="001D37B6"/>
    <w:rsid w:val="001D3905"/>
    <w:rsid w:val="001D47D7"/>
    <w:rsid w:val="001D4D4C"/>
    <w:rsid w:val="001D4E0F"/>
    <w:rsid w:val="001D6AE6"/>
    <w:rsid w:val="001D6B06"/>
    <w:rsid w:val="001D6C98"/>
    <w:rsid w:val="001D6E59"/>
    <w:rsid w:val="001D7ABE"/>
    <w:rsid w:val="001E02AC"/>
    <w:rsid w:val="001E0E40"/>
    <w:rsid w:val="001E1C97"/>
    <w:rsid w:val="001E2E10"/>
    <w:rsid w:val="001E2E2E"/>
    <w:rsid w:val="001E3536"/>
    <w:rsid w:val="001E4041"/>
    <w:rsid w:val="001E46EF"/>
    <w:rsid w:val="001E4830"/>
    <w:rsid w:val="001E5958"/>
    <w:rsid w:val="001E5F4E"/>
    <w:rsid w:val="001E614B"/>
    <w:rsid w:val="001E6289"/>
    <w:rsid w:val="001F0742"/>
    <w:rsid w:val="001F086D"/>
    <w:rsid w:val="001F1E85"/>
    <w:rsid w:val="001F1F53"/>
    <w:rsid w:val="001F3A14"/>
    <w:rsid w:val="001F5166"/>
    <w:rsid w:val="001F60B2"/>
    <w:rsid w:val="001F6B2F"/>
    <w:rsid w:val="001F6BC0"/>
    <w:rsid w:val="001F6DF6"/>
    <w:rsid w:val="001F6FC8"/>
    <w:rsid w:val="001F729A"/>
    <w:rsid w:val="001F7AB2"/>
    <w:rsid w:val="00200479"/>
    <w:rsid w:val="00201ACB"/>
    <w:rsid w:val="002026F3"/>
    <w:rsid w:val="002029B1"/>
    <w:rsid w:val="002031BD"/>
    <w:rsid w:val="002035BB"/>
    <w:rsid w:val="002042E0"/>
    <w:rsid w:val="002065F2"/>
    <w:rsid w:val="002068EA"/>
    <w:rsid w:val="00207814"/>
    <w:rsid w:val="00211268"/>
    <w:rsid w:val="0021152A"/>
    <w:rsid w:val="0021169B"/>
    <w:rsid w:val="002118EC"/>
    <w:rsid w:val="00211D71"/>
    <w:rsid w:val="00212B49"/>
    <w:rsid w:val="00212F98"/>
    <w:rsid w:val="00213222"/>
    <w:rsid w:val="00213644"/>
    <w:rsid w:val="00213D93"/>
    <w:rsid w:val="00215698"/>
    <w:rsid w:val="00215843"/>
    <w:rsid w:val="00215B77"/>
    <w:rsid w:val="00215DAC"/>
    <w:rsid w:val="00216205"/>
    <w:rsid w:val="00216366"/>
    <w:rsid w:val="00216899"/>
    <w:rsid w:val="00216D17"/>
    <w:rsid w:val="002176FF"/>
    <w:rsid w:val="002177F1"/>
    <w:rsid w:val="002201B6"/>
    <w:rsid w:val="0022029F"/>
    <w:rsid w:val="00221A74"/>
    <w:rsid w:val="00221F89"/>
    <w:rsid w:val="00222586"/>
    <w:rsid w:val="00222FBA"/>
    <w:rsid w:val="00223405"/>
    <w:rsid w:val="002237B0"/>
    <w:rsid w:val="0022422E"/>
    <w:rsid w:val="00224B57"/>
    <w:rsid w:val="00225386"/>
    <w:rsid w:val="0022567C"/>
    <w:rsid w:val="00225A4D"/>
    <w:rsid w:val="00231A75"/>
    <w:rsid w:val="00232F25"/>
    <w:rsid w:val="00232F8A"/>
    <w:rsid w:val="00233551"/>
    <w:rsid w:val="002346A5"/>
    <w:rsid w:val="00234D7B"/>
    <w:rsid w:val="00234F83"/>
    <w:rsid w:val="00234FB5"/>
    <w:rsid w:val="00235CB8"/>
    <w:rsid w:val="0023674F"/>
    <w:rsid w:val="00240235"/>
    <w:rsid w:val="002406AC"/>
    <w:rsid w:val="00240B40"/>
    <w:rsid w:val="00240C8E"/>
    <w:rsid w:val="00240DBF"/>
    <w:rsid w:val="0024427B"/>
    <w:rsid w:val="00244FA9"/>
    <w:rsid w:val="00245653"/>
    <w:rsid w:val="00245FC9"/>
    <w:rsid w:val="00246F85"/>
    <w:rsid w:val="002472CE"/>
    <w:rsid w:val="00247D46"/>
    <w:rsid w:val="002503CB"/>
    <w:rsid w:val="002527F7"/>
    <w:rsid w:val="00253D91"/>
    <w:rsid w:val="00254333"/>
    <w:rsid w:val="00254B98"/>
    <w:rsid w:val="0025544F"/>
    <w:rsid w:val="00256129"/>
    <w:rsid w:val="00256B8C"/>
    <w:rsid w:val="0025745E"/>
    <w:rsid w:val="00261F61"/>
    <w:rsid w:val="00262199"/>
    <w:rsid w:val="002621B1"/>
    <w:rsid w:val="00262215"/>
    <w:rsid w:val="00262980"/>
    <w:rsid w:val="00262F6B"/>
    <w:rsid w:val="0026491D"/>
    <w:rsid w:val="002670C2"/>
    <w:rsid w:val="00267410"/>
    <w:rsid w:val="002707C8"/>
    <w:rsid w:val="002728EB"/>
    <w:rsid w:val="00273ED8"/>
    <w:rsid w:val="00274D66"/>
    <w:rsid w:val="00275539"/>
    <w:rsid w:val="00275DD1"/>
    <w:rsid w:val="00276680"/>
    <w:rsid w:val="002773D1"/>
    <w:rsid w:val="002775DF"/>
    <w:rsid w:val="002779EB"/>
    <w:rsid w:val="00281C83"/>
    <w:rsid w:val="00281E19"/>
    <w:rsid w:val="002825E6"/>
    <w:rsid w:val="00282C39"/>
    <w:rsid w:val="00283FE0"/>
    <w:rsid w:val="002842B4"/>
    <w:rsid w:val="00286014"/>
    <w:rsid w:val="00286088"/>
    <w:rsid w:val="00286783"/>
    <w:rsid w:val="00286A15"/>
    <w:rsid w:val="00286CF0"/>
    <w:rsid w:val="0028759E"/>
    <w:rsid w:val="00287B7B"/>
    <w:rsid w:val="00287CF5"/>
    <w:rsid w:val="0029025A"/>
    <w:rsid w:val="00290A63"/>
    <w:rsid w:val="00290A84"/>
    <w:rsid w:val="002916A8"/>
    <w:rsid w:val="00291A91"/>
    <w:rsid w:val="0029244A"/>
    <w:rsid w:val="00292CFB"/>
    <w:rsid w:val="00294F04"/>
    <w:rsid w:val="00297168"/>
    <w:rsid w:val="0029775A"/>
    <w:rsid w:val="0029786F"/>
    <w:rsid w:val="00297999"/>
    <w:rsid w:val="0029FC6D"/>
    <w:rsid w:val="002A0436"/>
    <w:rsid w:val="002A2302"/>
    <w:rsid w:val="002A2F41"/>
    <w:rsid w:val="002A3430"/>
    <w:rsid w:val="002A34D3"/>
    <w:rsid w:val="002A370C"/>
    <w:rsid w:val="002A40D0"/>
    <w:rsid w:val="002A4792"/>
    <w:rsid w:val="002A4A9A"/>
    <w:rsid w:val="002A5877"/>
    <w:rsid w:val="002A5C16"/>
    <w:rsid w:val="002A5FA7"/>
    <w:rsid w:val="002A656E"/>
    <w:rsid w:val="002A6704"/>
    <w:rsid w:val="002A6A42"/>
    <w:rsid w:val="002A6CE9"/>
    <w:rsid w:val="002A7249"/>
    <w:rsid w:val="002A768C"/>
    <w:rsid w:val="002B03C6"/>
    <w:rsid w:val="002B0EB4"/>
    <w:rsid w:val="002B0EF0"/>
    <w:rsid w:val="002B0FA6"/>
    <w:rsid w:val="002B1E12"/>
    <w:rsid w:val="002B2598"/>
    <w:rsid w:val="002B307D"/>
    <w:rsid w:val="002B3263"/>
    <w:rsid w:val="002B398A"/>
    <w:rsid w:val="002B436E"/>
    <w:rsid w:val="002B4A3A"/>
    <w:rsid w:val="002B5F5A"/>
    <w:rsid w:val="002B6A41"/>
    <w:rsid w:val="002B6DD0"/>
    <w:rsid w:val="002C0A2C"/>
    <w:rsid w:val="002C0F3D"/>
    <w:rsid w:val="002C24A5"/>
    <w:rsid w:val="002C24D5"/>
    <w:rsid w:val="002C2C6E"/>
    <w:rsid w:val="002C336B"/>
    <w:rsid w:val="002C4A9C"/>
    <w:rsid w:val="002C67C8"/>
    <w:rsid w:val="002C7C49"/>
    <w:rsid w:val="002C7E4E"/>
    <w:rsid w:val="002D25A3"/>
    <w:rsid w:val="002D332D"/>
    <w:rsid w:val="002D33D8"/>
    <w:rsid w:val="002D3438"/>
    <w:rsid w:val="002D4AE8"/>
    <w:rsid w:val="002D4C1B"/>
    <w:rsid w:val="002D5E48"/>
    <w:rsid w:val="002D6684"/>
    <w:rsid w:val="002D691A"/>
    <w:rsid w:val="002D6946"/>
    <w:rsid w:val="002D7A15"/>
    <w:rsid w:val="002E05E0"/>
    <w:rsid w:val="002E24EB"/>
    <w:rsid w:val="002E2850"/>
    <w:rsid w:val="002E2A49"/>
    <w:rsid w:val="002E2AF8"/>
    <w:rsid w:val="002E3056"/>
    <w:rsid w:val="002E3424"/>
    <w:rsid w:val="002E357B"/>
    <w:rsid w:val="002E381D"/>
    <w:rsid w:val="002E4172"/>
    <w:rsid w:val="002E438C"/>
    <w:rsid w:val="002E4672"/>
    <w:rsid w:val="002E6764"/>
    <w:rsid w:val="002E7529"/>
    <w:rsid w:val="002F066C"/>
    <w:rsid w:val="002F0FF8"/>
    <w:rsid w:val="002F1880"/>
    <w:rsid w:val="002F1982"/>
    <w:rsid w:val="002F2C2B"/>
    <w:rsid w:val="002F34D2"/>
    <w:rsid w:val="002F3510"/>
    <w:rsid w:val="002F371A"/>
    <w:rsid w:val="002F4D56"/>
    <w:rsid w:val="002F4E3A"/>
    <w:rsid w:val="002F4F0A"/>
    <w:rsid w:val="002F7632"/>
    <w:rsid w:val="003001CC"/>
    <w:rsid w:val="00300963"/>
    <w:rsid w:val="00301E14"/>
    <w:rsid w:val="00301F10"/>
    <w:rsid w:val="00302121"/>
    <w:rsid w:val="0030219A"/>
    <w:rsid w:val="00304F8B"/>
    <w:rsid w:val="00306F4D"/>
    <w:rsid w:val="003077ED"/>
    <w:rsid w:val="003079B4"/>
    <w:rsid w:val="00307C6F"/>
    <w:rsid w:val="00310441"/>
    <w:rsid w:val="00310B3D"/>
    <w:rsid w:val="0031102F"/>
    <w:rsid w:val="003114F7"/>
    <w:rsid w:val="00311834"/>
    <w:rsid w:val="00312059"/>
    <w:rsid w:val="003126F4"/>
    <w:rsid w:val="00312B12"/>
    <w:rsid w:val="00312C25"/>
    <w:rsid w:val="0031370F"/>
    <w:rsid w:val="003142A1"/>
    <w:rsid w:val="00314A40"/>
    <w:rsid w:val="003150E9"/>
    <w:rsid w:val="003151B8"/>
    <w:rsid w:val="00315DDF"/>
    <w:rsid w:val="003162E9"/>
    <w:rsid w:val="00316ACE"/>
    <w:rsid w:val="00317B92"/>
    <w:rsid w:val="00317E15"/>
    <w:rsid w:val="003213AB"/>
    <w:rsid w:val="003224E5"/>
    <w:rsid w:val="003233AB"/>
    <w:rsid w:val="003237D3"/>
    <w:rsid w:val="00323D6A"/>
    <w:rsid w:val="00324DEE"/>
    <w:rsid w:val="003251DF"/>
    <w:rsid w:val="003257BA"/>
    <w:rsid w:val="00326995"/>
    <w:rsid w:val="00326B98"/>
    <w:rsid w:val="0032783D"/>
    <w:rsid w:val="00327B02"/>
    <w:rsid w:val="00327EBF"/>
    <w:rsid w:val="00331050"/>
    <w:rsid w:val="0033132E"/>
    <w:rsid w:val="003323FE"/>
    <w:rsid w:val="0033343A"/>
    <w:rsid w:val="00333DDD"/>
    <w:rsid w:val="003344EE"/>
    <w:rsid w:val="00334E94"/>
    <w:rsid w:val="003363CA"/>
    <w:rsid w:val="00336CC4"/>
    <w:rsid w:val="00336EFD"/>
    <w:rsid w:val="00337B0E"/>
    <w:rsid w:val="003402F8"/>
    <w:rsid w:val="00340364"/>
    <w:rsid w:val="00340E4F"/>
    <w:rsid w:val="00342751"/>
    <w:rsid w:val="00343121"/>
    <w:rsid w:val="00343455"/>
    <w:rsid w:val="003444F1"/>
    <w:rsid w:val="00345F63"/>
    <w:rsid w:val="00346235"/>
    <w:rsid w:val="00346CA1"/>
    <w:rsid w:val="003476AF"/>
    <w:rsid w:val="003500FB"/>
    <w:rsid w:val="00350A32"/>
    <w:rsid w:val="00351029"/>
    <w:rsid w:val="00351388"/>
    <w:rsid w:val="00352157"/>
    <w:rsid w:val="00352C16"/>
    <w:rsid w:val="003531B2"/>
    <w:rsid w:val="00353DF3"/>
    <w:rsid w:val="00355268"/>
    <w:rsid w:val="00355E04"/>
    <w:rsid w:val="00356210"/>
    <w:rsid w:val="00356898"/>
    <w:rsid w:val="00356CCF"/>
    <w:rsid w:val="0035754E"/>
    <w:rsid w:val="00360072"/>
    <w:rsid w:val="00360370"/>
    <w:rsid w:val="00360FA9"/>
    <w:rsid w:val="0036110E"/>
    <w:rsid w:val="00361188"/>
    <w:rsid w:val="0036139C"/>
    <w:rsid w:val="003617BE"/>
    <w:rsid w:val="00362069"/>
    <w:rsid w:val="003621A6"/>
    <w:rsid w:val="00362692"/>
    <w:rsid w:val="003626EE"/>
    <w:rsid w:val="00362C43"/>
    <w:rsid w:val="00365300"/>
    <w:rsid w:val="003664DE"/>
    <w:rsid w:val="003705D4"/>
    <w:rsid w:val="00371B9A"/>
    <w:rsid w:val="00371E96"/>
    <w:rsid w:val="00371F9D"/>
    <w:rsid w:val="00372072"/>
    <w:rsid w:val="00372A41"/>
    <w:rsid w:val="003731D8"/>
    <w:rsid w:val="0037355F"/>
    <w:rsid w:val="003736C8"/>
    <w:rsid w:val="00373713"/>
    <w:rsid w:val="00373F21"/>
    <w:rsid w:val="003746A1"/>
    <w:rsid w:val="00376668"/>
    <w:rsid w:val="003772B7"/>
    <w:rsid w:val="0037734E"/>
    <w:rsid w:val="00377420"/>
    <w:rsid w:val="00380799"/>
    <w:rsid w:val="0038316A"/>
    <w:rsid w:val="00383C1B"/>
    <w:rsid w:val="00386675"/>
    <w:rsid w:val="0039000B"/>
    <w:rsid w:val="00391143"/>
    <w:rsid w:val="00391173"/>
    <w:rsid w:val="00391205"/>
    <w:rsid w:val="00391D75"/>
    <w:rsid w:val="00392611"/>
    <w:rsid w:val="0039276E"/>
    <w:rsid w:val="00393D3A"/>
    <w:rsid w:val="00394719"/>
    <w:rsid w:val="00395FDB"/>
    <w:rsid w:val="003969F9"/>
    <w:rsid w:val="00397423"/>
    <w:rsid w:val="00397CC2"/>
    <w:rsid w:val="003A0B57"/>
    <w:rsid w:val="003A1007"/>
    <w:rsid w:val="003A112D"/>
    <w:rsid w:val="003A23BE"/>
    <w:rsid w:val="003A2A61"/>
    <w:rsid w:val="003A49C4"/>
    <w:rsid w:val="003A4FF2"/>
    <w:rsid w:val="003A589B"/>
    <w:rsid w:val="003A5D9B"/>
    <w:rsid w:val="003A6AAF"/>
    <w:rsid w:val="003A727B"/>
    <w:rsid w:val="003A7E23"/>
    <w:rsid w:val="003B040B"/>
    <w:rsid w:val="003B0A3B"/>
    <w:rsid w:val="003B4607"/>
    <w:rsid w:val="003B53B7"/>
    <w:rsid w:val="003B55B9"/>
    <w:rsid w:val="003B5963"/>
    <w:rsid w:val="003B70AF"/>
    <w:rsid w:val="003B7241"/>
    <w:rsid w:val="003B72E9"/>
    <w:rsid w:val="003C16F9"/>
    <w:rsid w:val="003C212A"/>
    <w:rsid w:val="003C23A2"/>
    <w:rsid w:val="003C2BDF"/>
    <w:rsid w:val="003C2F9B"/>
    <w:rsid w:val="003C36A4"/>
    <w:rsid w:val="003C434B"/>
    <w:rsid w:val="003C441A"/>
    <w:rsid w:val="003C4D44"/>
    <w:rsid w:val="003C65E7"/>
    <w:rsid w:val="003C681D"/>
    <w:rsid w:val="003C69DE"/>
    <w:rsid w:val="003C746F"/>
    <w:rsid w:val="003C77F9"/>
    <w:rsid w:val="003D059A"/>
    <w:rsid w:val="003D13EB"/>
    <w:rsid w:val="003D1E70"/>
    <w:rsid w:val="003D2440"/>
    <w:rsid w:val="003D2C16"/>
    <w:rsid w:val="003D4125"/>
    <w:rsid w:val="003D42AC"/>
    <w:rsid w:val="003D4D78"/>
    <w:rsid w:val="003D6115"/>
    <w:rsid w:val="003E002E"/>
    <w:rsid w:val="003E0A74"/>
    <w:rsid w:val="003E11C6"/>
    <w:rsid w:val="003E224B"/>
    <w:rsid w:val="003E3248"/>
    <w:rsid w:val="003E3E37"/>
    <w:rsid w:val="003E495E"/>
    <w:rsid w:val="003E6125"/>
    <w:rsid w:val="003E7552"/>
    <w:rsid w:val="003E7D2D"/>
    <w:rsid w:val="003F0358"/>
    <w:rsid w:val="003F095A"/>
    <w:rsid w:val="003F0EA4"/>
    <w:rsid w:val="003F21EB"/>
    <w:rsid w:val="003F2503"/>
    <w:rsid w:val="003F268F"/>
    <w:rsid w:val="003F2A48"/>
    <w:rsid w:val="003F2AA7"/>
    <w:rsid w:val="003F52BA"/>
    <w:rsid w:val="003F5BF9"/>
    <w:rsid w:val="003F6C3F"/>
    <w:rsid w:val="003F7B7D"/>
    <w:rsid w:val="0040033B"/>
    <w:rsid w:val="00401B74"/>
    <w:rsid w:val="004024B1"/>
    <w:rsid w:val="00402DC5"/>
    <w:rsid w:val="004033D9"/>
    <w:rsid w:val="00403937"/>
    <w:rsid w:val="00403BCA"/>
    <w:rsid w:val="00405AEF"/>
    <w:rsid w:val="00405D91"/>
    <w:rsid w:val="00407371"/>
    <w:rsid w:val="00407BC6"/>
    <w:rsid w:val="00410B1E"/>
    <w:rsid w:val="00411FAD"/>
    <w:rsid w:val="0041288F"/>
    <w:rsid w:val="004131E9"/>
    <w:rsid w:val="00413746"/>
    <w:rsid w:val="00413796"/>
    <w:rsid w:val="004138C2"/>
    <w:rsid w:val="00414D82"/>
    <w:rsid w:val="00414E27"/>
    <w:rsid w:val="00416054"/>
    <w:rsid w:val="00416AFB"/>
    <w:rsid w:val="00417A2F"/>
    <w:rsid w:val="0042055D"/>
    <w:rsid w:val="0042101F"/>
    <w:rsid w:val="00422C98"/>
    <w:rsid w:val="00422CDD"/>
    <w:rsid w:val="00422FCE"/>
    <w:rsid w:val="00423A74"/>
    <w:rsid w:val="00423F0E"/>
    <w:rsid w:val="00424047"/>
    <w:rsid w:val="004240AD"/>
    <w:rsid w:val="004247A1"/>
    <w:rsid w:val="00424E43"/>
    <w:rsid w:val="00425EDC"/>
    <w:rsid w:val="00426238"/>
    <w:rsid w:val="0042771A"/>
    <w:rsid w:val="00427CDB"/>
    <w:rsid w:val="004307E4"/>
    <w:rsid w:val="0043142F"/>
    <w:rsid w:val="004314B1"/>
    <w:rsid w:val="00431EB0"/>
    <w:rsid w:val="004330E0"/>
    <w:rsid w:val="004339E7"/>
    <w:rsid w:val="0043456D"/>
    <w:rsid w:val="00434C95"/>
    <w:rsid w:val="0043508D"/>
    <w:rsid w:val="0043527F"/>
    <w:rsid w:val="004369C1"/>
    <w:rsid w:val="004415FF"/>
    <w:rsid w:val="00442C75"/>
    <w:rsid w:val="00442CF4"/>
    <w:rsid w:val="004434AD"/>
    <w:rsid w:val="00443702"/>
    <w:rsid w:val="00443CDE"/>
    <w:rsid w:val="0044457F"/>
    <w:rsid w:val="00444C5E"/>
    <w:rsid w:val="004464D9"/>
    <w:rsid w:val="00446765"/>
    <w:rsid w:val="00447B42"/>
    <w:rsid w:val="00447B6A"/>
    <w:rsid w:val="0045025D"/>
    <w:rsid w:val="004502DF"/>
    <w:rsid w:val="0045039C"/>
    <w:rsid w:val="00450851"/>
    <w:rsid w:val="00450947"/>
    <w:rsid w:val="00450E95"/>
    <w:rsid w:val="0045199E"/>
    <w:rsid w:val="00452049"/>
    <w:rsid w:val="00452E5D"/>
    <w:rsid w:val="00453142"/>
    <w:rsid w:val="004549C4"/>
    <w:rsid w:val="00454C39"/>
    <w:rsid w:val="00454D0A"/>
    <w:rsid w:val="004550F9"/>
    <w:rsid w:val="00455D2A"/>
    <w:rsid w:val="00455D3B"/>
    <w:rsid w:val="00457296"/>
    <w:rsid w:val="004609A6"/>
    <w:rsid w:val="004618C2"/>
    <w:rsid w:val="00462E45"/>
    <w:rsid w:val="004638D6"/>
    <w:rsid w:val="004657CE"/>
    <w:rsid w:val="004670CF"/>
    <w:rsid w:val="0046760F"/>
    <w:rsid w:val="00467C41"/>
    <w:rsid w:val="004700D3"/>
    <w:rsid w:val="00471689"/>
    <w:rsid w:val="00472FE8"/>
    <w:rsid w:val="00473778"/>
    <w:rsid w:val="00475146"/>
    <w:rsid w:val="0047585B"/>
    <w:rsid w:val="0047620F"/>
    <w:rsid w:val="00476311"/>
    <w:rsid w:val="0047634F"/>
    <w:rsid w:val="00476CB7"/>
    <w:rsid w:val="00477D72"/>
    <w:rsid w:val="00480407"/>
    <w:rsid w:val="00480A98"/>
    <w:rsid w:val="00480AE8"/>
    <w:rsid w:val="00481306"/>
    <w:rsid w:val="0048265D"/>
    <w:rsid w:val="0048390D"/>
    <w:rsid w:val="004840CE"/>
    <w:rsid w:val="004848AD"/>
    <w:rsid w:val="00485153"/>
    <w:rsid w:val="00486709"/>
    <w:rsid w:val="00491ACC"/>
    <w:rsid w:val="0049257B"/>
    <w:rsid w:val="00492F25"/>
    <w:rsid w:val="00492F8B"/>
    <w:rsid w:val="00493497"/>
    <w:rsid w:val="00493550"/>
    <w:rsid w:val="00493AAE"/>
    <w:rsid w:val="00494E74"/>
    <w:rsid w:val="00495BFD"/>
    <w:rsid w:val="004A0D81"/>
    <w:rsid w:val="004A0FDA"/>
    <w:rsid w:val="004A1DA3"/>
    <w:rsid w:val="004A3290"/>
    <w:rsid w:val="004A3407"/>
    <w:rsid w:val="004A34E8"/>
    <w:rsid w:val="004A3731"/>
    <w:rsid w:val="004A38EE"/>
    <w:rsid w:val="004A4E47"/>
    <w:rsid w:val="004A7FD1"/>
    <w:rsid w:val="004B1108"/>
    <w:rsid w:val="004B173F"/>
    <w:rsid w:val="004B332C"/>
    <w:rsid w:val="004B45D0"/>
    <w:rsid w:val="004B466E"/>
    <w:rsid w:val="004B6D0A"/>
    <w:rsid w:val="004B76E9"/>
    <w:rsid w:val="004B792B"/>
    <w:rsid w:val="004B7A8A"/>
    <w:rsid w:val="004C006A"/>
    <w:rsid w:val="004C0233"/>
    <w:rsid w:val="004C1260"/>
    <w:rsid w:val="004C1428"/>
    <w:rsid w:val="004C193F"/>
    <w:rsid w:val="004C3211"/>
    <w:rsid w:val="004C44EF"/>
    <w:rsid w:val="004C60A0"/>
    <w:rsid w:val="004C736F"/>
    <w:rsid w:val="004D035A"/>
    <w:rsid w:val="004D0A7C"/>
    <w:rsid w:val="004D10B1"/>
    <w:rsid w:val="004D148E"/>
    <w:rsid w:val="004D1863"/>
    <w:rsid w:val="004D35C1"/>
    <w:rsid w:val="004D363A"/>
    <w:rsid w:val="004D5C48"/>
    <w:rsid w:val="004D657F"/>
    <w:rsid w:val="004D6EE6"/>
    <w:rsid w:val="004D76D4"/>
    <w:rsid w:val="004D7740"/>
    <w:rsid w:val="004DD997"/>
    <w:rsid w:val="004E0659"/>
    <w:rsid w:val="004E37AF"/>
    <w:rsid w:val="004E3D20"/>
    <w:rsid w:val="004E3DAC"/>
    <w:rsid w:val="004E43A6"/>
    <w:rsid w:val="004E4596"/>
    <w:rsid w:val="004E4BA7"/>
    <w:rsid w:val="004E7CAA"/>
    <w:rsid w:val="004F1F7C"/>
    <w:rsid w:val="004F301A"/>
    <w:rsid w:val="004F32B9"/>
    <w:rsid w:val="004F45FF"/>
    <w:rsid w:val="004F57B3"/>
    <w:rsid w:val="004F59A3"/>
    <w:rsid w:val="004F61F7"/>
    <w:rsid w:val="004F7833"/>
    <w:rsid w:val="004F7BB9"/>
    <w:rsid w:val="0050091A"/>
    <w:rsid w:val="005012AC"/>
    <w:rsid w:val="005012D6"/>
    <w:rsid w:val="005013C4"/>
    <w:rsid w:val="005016D2"/>
    <w:rsid w:val="005018E1"/>
    <w:rsid w:val="00501918"/>
    <w:rsid w:val="00502937"/>
    <w:rsid w:val="00503BBA"/>
    <w:rsid w:val="00503D8B"/>
    <w:rsid w:val="005056BD"/>
    <w:rsid w:val="00506527"/>
    <w:rsid w:val="005068D5"/>
    <w:rsid w:val="00510002"/>
    <w:rsid w:val="00510C87"/>
    <w:rsid w:val="00511A97"/>
    <w:rsid w:val="005128B5"/>
    <w:rsid w:val="00512DE6"/>
    <w:rsid w:val="00512E17"/>
    <w:rsid w:val="00512EEE"/>
    <w:rsid w:val="0051399A"/>
    <w:rsid w:val="0051470B"/>
    <w:rsid w:val="00517AA5"/>
    <w:rsid w:val="005201A1"/>
    <w:rsid w:val="005205AC"/>
    <w:rsid w:val="0052106C"/>
    <w:rsid w:val="0052135E"/>
    <w:rsid w:val="005236BC"/>
    <w:rsid w:val="005237CD"/>
    <w:rsid w:val="00524676"/>
    <w:rsid w:val="005258AD"/>
    <w:rsid w:val="005259C4"/>
    <w:rsid w:val="00525CEF"/>
    <w:rsid w:val="005267BC"/>
    <w:rsid w:val="005310CA"/>
    <w:rsid w:val="00531F81"/>
    <w:rsid w:val="00532313"/>
    <w:rsid w:val="005326A9"/>
    <w:rsid w:val="00532F16"/>
    <w:rsid w:val="00533897"/>
    <w:rsid w:val="005340C9"/>
    <w:rsid w:val="005342D5"/>
    <w:rsid w:val="005343E2"/>
    <w:rsid w:val="00534748"/>
    <w:rsid w:val="005348BA"/>
    <w:rsid w:val="00534BB4"/>
    <w:rsid w:val="00535263"/>
    <w:rsid w:val="0053535C"/>
    <w:rsid w:val="0053543C"/>
    <w:rsid w:val="005355E5"/>
    <w:rsid w:val="00535863"/>
    <w:rsid w:val="00536083"/>
    <w:rsid w:val="005360C0"/>
    <w:rsid w:val="00536957"/>
    <w:rsid w:val="00536A2D"/>
    <w:rsid w:val="005405E2"/>
    <w:rsid w:val="005406E7"/>
    <w:rsid w:val="0054152B"/>
    <w:rsid w:val="0054219F"/>
    <w:rsid w:val="0054250B"/>
    <w:rsid w:val="005428D3"/>
    <w:rsid w:val="00542EE7"/>
    <w:rsid w:val="005431AC"/>
    <w:rsid w:val="00543333"/>
    <w:rsid w:val="00543FA3"/>
    <w:rsid w:val="00546B2A"/>
    <w:rsid w:val="00546C70"/>
    <w:rsid w:val="00547410"/>
    <w:rsid w:val="00547491"/>
    <w:rsid w:val="00551335"/>
    <w:rsid w:val="00552282"/>
    <w:rsid w:val="00552C34"/>
    <w:rsid w:val="00553170"/>
    <w:rsid w:val="005539A1"/>
    <w:rsid w:val="00554C3E"/>
    <w:rsid w:val="00554D5F"/>
    <w:rsid w:val="00555FD5"/>
    <w:rsid w:val="00556E5C"/>
    <w:rsid w:val="00557B5D"/>
    <w:rsid w:val="00557D25"/>
    <w:rsid w:val="00561FCF"/>
    <w:rsid w:val="005620D2"/>
    <w:rsid w:val="005624BD"/>
    <w:rsid w:val="00563EC2"/>
    <w:rsid w:val="005641AA"/>
    <w:rsid w:val="00564AEB"/>
    <w:rsid w:val="00564DF3"/>
    <w:rsid w:val="00565118"/>
    <w:rsid w:val="0056550B"/>
    <w:rsid w:val="005657D0"/>
    <w:rsid w:val="00565BAC"/>
    <w:rsid w:val="00567415"/>
    <w:rsid w:val="0057040D"/>
    <w:rsid w:val="00572EF3"/>
    <w:rsid w:val="005737B7"/>
    <w:rsid w:val="0057399A"/>
    <w:rsid w:val="00573CAF"/>
    <w:rsid w:val="00574CA4"/>
    <w:rsid w:val="005763DB"/>
    <w:rsid w:val="00576E0B"/>
    <w:rsid w:val="00577FE7"/>
    <w:rsid w:val="00580B9C"/>
    <w:rsid w:val="00581B04"/>
    <w:rsid w:val="00582310"/>
    <w:rsid w:val="00582E72"/>
    <w:rsid w:val="005842A8"/>
    <w:rsid w:val="005845CF"/>
    <w:rsid w:val="0058475B"/>
    <w:rsid w:val="00585DE9"/>
    <w:rsid w:val="00585E1B"/>
    <w:rsid w:val="00586025"/>
    <w:rsid w:val="00586B2C"/>
    <w:rsid w:val="00586FB3"/>
    <w:rsid w:val="005874DA"/>
    <w:rsid w:val="005878F4"/>
    <w:rsid w:val="005911D3"/>
    <w:rsid w:val="00592855"/>
    <w:rsid w:val="00593160"/>
    <w:rsid w:val="00594094"/>
    <w:rsid w:val="00594179"/>
    <w:rsid w:val="00594A3C"/>
    <w:rsid w:val="00595523"/>
    <w:rsid w:val="00595C3A"/>
    <w:rsid w:val="005961A8"/>
    <w:rsid w:val="00597F52"/>
    <w:rsid w:val="005A1547"/>
    <w:rsid w:val="005A2FC8"/>
    <w:rsid w:val="005A3F85"/>
    <w:rsid w:val="005A415B"/>
    <w:rsid w:val="005A4990"/>
    <w:rsid w:val="005A5293"/>
    <w:rsid w:val="005A5989"/>
    <w:rsid w:val="005A64AD"/>
    <w:rsid w:val="005A7A05"/>
    <w:rsid w:val="005A7DA5"/>
    <w:rsid w:val="005B0CB5"/>
    <w:rsid w:val="005B1056"/>
    <w:rsid w:val="005B1337"/>
    <w:rsid w:val="005B141C"/>
    <w:rsid w:val="005B1B7C"/>
    <w:rsid w:val="005B1E1A"/>
    <w:rsid w:val="005B2455"/>
    <w:rsid w:val="005B2621"/>
    <w:rsid w:val="005B2979"/>
    <w:rsid w:val="005B2FAF"/>
    <w:rsid w:val="005B347C"/>
    <w:rsid w:val="005B381E"/>
    <w:rsid w:val="005B3F44"/>
    <w:rsid w:val="005B4135"/>
    <w:rsid w:val="005B4E8B"/>
    <w:rsid w:val="005B5530"/>
    <w:rsid w:val="005B67DA"/>
    <w:rsid w:val="005B6C83"/>
    <w:rsid w:val="005B79AD"/>
    <w:rsid w:val="005B7CE2"/>
    <w:rsid w:val="005C0EE4"/>
    <w:rsid w:val="005C2594"/>
    <w:rsid w:val="005C2B89"/>
    <w:rsid w:val="005C2F74"/>
    <w:rsid w:val="005C446C"/>
    <w:rsid w:val="005C4B5A"/>
    <w:rsid w:val="005C4DD4"/>
    <w:rsid w:val="005C5E74"/>
    <w:rsid w:val="005C5E8C"/>
    <w:rsid w:val="005C6C07"/>
    <w:rsid w:val="005C786F"/>
    <w:rsid w:val="005C7A2C"/>
    <w:rsid w:val="005D1397"/>
    <w:rsid w:val="005D16E9"/>
    <w:rsid w:val="005D24C9"/>
    <w:rsid w:val="005D27FE"/>
    <w:rsid w:val="005D3AAB"/>
    <w:rsid w:val="005D3B06"/>
    <w:rsid w:val="005D3F77"/>
    <w:rsid w:val="005D4EB4"/>
    <w:rsid w:val="005D53AB"/>
    <w:rsid w:val="005D59BE"/>
    <w:rsid w:val="005D5C0E"/>
    <w:rsid w:val="005D74F5"/>
    <w:rsid w:val="005D7694"/>
    <w:rsid w:val="005E0751"/>
    <w:rsid w:val="005E08C2"/>
    <w:rsid w:val="005E1622"/>
    <w:rsid w:val="005E1AA0"/>
    <w:rsid w:val="005E1D4A"/>
    <w:rsid w:val="005E2235"/>
    <w:rsid w:val="005E25A8"/>
    <w:rsid w:val="005E25D9"/>
    <w:rsid w:val="005E2A33"/>
    <w:rsid w:val="005E2CC7"/>
    <w:rsid w:val="005E3FB3"/>
    <w:rsid w:val="005E449B"/>
    <w:rsid w:val="005E520C"/>
    <w:rsid w:val="005E594A"/>
    <w:rsid w:val="005F0683"/>
    <w:rsid w:val="005F0B27"/>
    <w:rsid w:val="005F29B7"/>
    <w:rsid w:val="005F30CA"/>
    <w:rsid w:val="005F3804"/>
    <w:rsid w:val="005F3998"/>
    <w:rsid w:val="005F41FE"/>
    <w:rsid w:val="005F4B5D"/>
    <w:rsid w:val="005F5E75"/>
    <w:rsid w:val="005F630D"/>
    <w:rsid w:val="005F6951"/>
    <w:rsid w:val="005F7909"/>
    <w:rsid w:val="005F7B0E"/>
    <w:rsid w:val="00600ACF"/>
    <w:rsid w:val="00600F4D"/>
    <w:rsid w:val="00600F53"/>
    <w:rsid w:val="006020BE"/>
    <w:rsid w:val="006033C4"/>
    <w:rsid w:val="00603CB1"/>
    <w:rsid w:val="0060435C"/>
    <w:rsid w:val="006054BE"/>
    <w:rsid w:val="00606291"/>
    <w:rsid w:val="006074DC"/>
    <w:rsid w:val="00615C22"/>
    <w:rsid w:val="00616EC4"/>
    <w:rsid w:val="006175A2"/>
    <w:rsid w:val="00617C5B"/>
    <w:rsid w:val="0062031A"/>
    <w:rsid w:val="00620956"/>
    <w:rsid w:val="00622436"/>
    <w:rsid w:val="00622D8D"/>
    <w:rsid w:val="0062445C"/>
    <w:rsid w:val="006246FF"/>
    <w:rsid w:val="006253B4"/>
    <w:rsid w:val="00625D10"/>
    <w:rsid w:val="00626449"/>
    <w:rsid w:val="00626DB9"/>
    <w:rsid w:val="00630704"/>
    <w:rsid w:val="006337ED"/>
    <w:rsid w:val="00633F2E"/>
    <w:rsid w:val="0063425F"/>
    <w:rsid w:val="00634306"/>
    <w:rsid w:val="00634CE3"/>
    <w:rsid w:val="00635108"/>
    <w:rsid w:val="00635EC7"/>
    <w:rsid w:val="00640461"/>
    <w:rsid w:val="006404AA"/>
    <w:rsid w:val="00640F86"/>
    <w:rsid w:val="0064305E"/>
    <w:rsid w:val="00643A95"/>
    <w:rsid w:val="00643FB1"/>
    <w:rsid w:val="0064401C"/>
    <w:rsid w:val="00644606"/>
    <w:rsid w:val="00644771"/>
    <w:rsid w:val="00644E88"/>
    <w:rsid w:val="00645851"/>
    <w:rsid w:val="00645FD5"/>
    <w:rsid w:val="0064694A"/>
    <w:rsid w:val="00647796"/>
    <w:rsid w:val="006502B0"/>
    <w:rsid w:val="00650811"/>
    <w:rsid w:val="00651FA8"/>
    <w:rsid w:val="00652566"/>
    <w:rsid w:val="00653209"/>
    <w:rsid w:val="006549C2"/>
    <w:rsid w:val="00657098"/>
    <w:rsid w:val="00657D8E"/>
    <w:rsid w:val="006607BA"/>
    <w:rsid w:val="00661261"/>
    <w:rsid w:val="0066175D"/>
    <w:rsid w:val="00661DA3"/>
    <w:rsid w:val="00662784"/>
    <w:rsid w:val="00662943"/>
    <w:rsid w:val="0066300F"/>
    <w:rsid w:val="00664769"/>
    <w:rsid w:val="00665AD0"/>
    <w:rsid w:val="00666671"/>
    <w:rsid w:val="00667169"/>
    <w:rsid w:val="00667323"/>
    <w:rsid w:val="006679ED"/>
    <w:rsid w:val="00670816"/>
    <w:rsid w:val="00673B04"/>
    <w:rsid w:val="0067410A"/>
    <w:rsid w:val="00674447"/>
    <w:rsid w:val="00674E8B"/>
    <w:rsid w:val="00675764"/>
    <w:rsid w:val="00675B6C"/>
    <w:rsid w:val="00675FCD"/>
    <w:rsid w:val="00677BC7"/>
    <w:rsid w:val="00680AE2"/>
    <w:rsid w:val="00683682"/>
    <w:rsid w:val="006837BC"/>
    <w:rsid w:val="00683F64"/>
    <w:rsid w:val="00684822"/>
    <w:rsid w:val="00684A14"/>
    <w:rsid w:val="00684EF3"/>
    <w:rsid w:val="00685293"/>
    <w:rsid w:val="00685C96"/>
    <w:rsid w:val="00685FDA"/>
    <w:rsid w:val="00686A17"/>
    <w:rsid w:val="00686ABD"/>
    <w:rsid w:val="00686E16"/>
    <w:rsid w:val="006879F0"/>
    <w:rsid w:val="0069036D"/>
    <w:rsid w:val="00691FAC"/>
    <w:rsid w:val="006930DC"/>
    <w:rsid w:val="0069366F"/>
    <w:rsid w:val="00693CE4"/>
    <w:rsid w:val="00693D60"/>
    <w:rsid w:val="00693D81"/>
    <w:rsid w:val="00694A2D"/>
    <w:rsid w:val="00694EB4"/>
    <w:rsid w:val="0069514F"/>
    <w:rsid w:val="00695E7D"/>
    <w:rsid w:val="00697222"/>
    <w:rsid w:val="0069734D"/>
    <w:rsid w:val="006976D7"/>
    <w:rsid w:val="00697A41"/>
    <w:rsid w:val="00697B44"/>
    <w:rsid w:val="00697E7C"/>
    <w:rsid w:val="006A033A"/>
    <w:rsid w:val="006A221D"/>
    <w:rsid w:val="006A2B30"/>
    <w:rsid w:val="006A4031"/>
    <w:rsid w:val="006A59DD"/>
    <w:rsid w:val="006A6167"/>
    <w:rsid w:val="006A64F8"/>
    <w:rsid w:val="006A6953"/>
    <w:rsid w:val="006B0148"/>
    <w:rsid w:val="006B031A"/>
    <w:rsid w:val="006B07D6"/>
    <w:rsid w:val="006B0813"/>
    <w:rsid w:val="006B1827"/>
    <w:rsid w:val="006B25CA"/>
    <w:rsid w:val="006B27A5"/>
    <w:rsid w:val="006B469A"/>
    <w:rsid w:val="006B4A72"/>
    <w:rsid w:val="006B5D06"/>
    <w:rsid w:val="006C0095"/>
    <w:rsid w:val="006C0BF1"/>
    <w:rsid w:val="006C23CD"/>
    <w:rsid w:val="006C2A3A"/>
    <w:rsid w:val="006C2C6B"/>
    <w:rsid w:val="006C3640"/>
    <w:rsid w:val="006C3938"/>
    <w:rsid w:val="006C3ED6"/>
    <w:rsid w:val="006C4B51"/>
    <w:rsid w:val="006C4EF5"/>
    <w:rsid w:val="006C51BA"/>
    <w:rsid w:val="006C734E"/>
    <w:rsid w:val="006C7DAA"/>
    <w:rsid w:val="006C7FBC"/>
    <w:rsid w:val="006D0C16"/>
    <w:rsid w:val="006D198A"/>
    <w:rsid w:val="006D1BFA"/>
    <w:rsid w:val="006D1CBF"/>
    <w:rsid w:val="006D1FE1"/>
    <w:rsid w:val="006D2169"/>
    <w:rsid w:val="006D23EB"/>
    <w:rsid w:val="006D25E2"/>
    <w:rsid w:val="006D26B8"/>
    <w:rsid w:val="006D2986"/>
    <w:rsid w:val="006D2B9E"/>
    <w:rsid w:val="006D4B15"/>
    <w:rsid w:val="006D5B09"/>
    <w:rsid w:val="006D685D"/>
    <w:rsid w:val="006D6B24"/>
    <w:rsid w:val="006E06FD"/>
    <w:rsid w:val="006E0A51"/>
    <w:rsid w:val="006E1134"/>
    <w:rsid w:val="006E28B7"/>
    <w:rsid w:val="006E2D01"/>
    <w:rsid w:val="006E30A4"/>
    <w:rsid w:val="006E38A8"/>
    <w:rsid w:val="006E39CB"/>
    <w:rsid w:val="006E5DB9"/>
    <w:rsid w:val="006E7DEB"/>
    <w:rsid w:val="006E7E90"/>
    <w:rsid w:val="006F0248"/>
    <w:rsid w:val="006F099A"/>
    <w:rsid w:val="006F27C0"/>
    <w:rsid w:val="006F2A10"/>
    <w:rsid w:val="006F4AC5"/>
    <w:rsid w:val="006F4BFF"/>
    <w:rsid w:val="006F4E1E"/>
    <w:rsid w:val="006F5140"/>
    <w:rsid w:val="006F56D0"/>
    <w:rsid w:val="006F5CA1"/>
    <w:rsid w:val="006F661E"/>
    <w:rsid w:val="006F7841"/>
    <w:rsid w:val="0070022D"/>
    <w:rsid w:val="00701402"/>
    <w:rsid w:val="0070147C"/>
    <w:rsid w:val="00701894"/>
    <w:rsid w:val="00702A59"/>
    <w:rsid w:val="007030E1"/>
    <w:rsid w:val="00704080"/>
    <w:rsid w:val="00704915"/>
    <w:rsid w:val="0070553D"/>
    <w:rsid w:val="00705B36"/>
    <w:rsid w:val="00707936"/>
    <w:rsid w:val="00707C79"/>
    <w:rsid w:val="0071091B"/>
    <w:rsid w:val="007112D2"/>
    <w:rsid w:val="0071154F"/>
    <w:rsid w:val="0071208D"/>
    <w:rsid w:val="0071287E"/>
    <w:rsid w:val="00714E9E"/>
    <w:rsid w:val="00715192"/>
    <w:rsid w:val="00715DD9"/>
    <w:rsid w:val="007167D3"/>
    <w:rsid w:val="00717B1D"/>
    <w:rsid w:val="0072089D"/>
    <w:rsid w:val="00720BD3"/>
    <w:rsid w:val="00721DA7"/>
    <w:rsid w:val="00723720"/>
    <w:rsid w:val="00723D5A"/>
    <w:rsid w:val="00725299"/>
    <w:rsid w:val="0072584C"/>
    <w:rsid w:val="007260DE"/>
    <w:rsid w:val="007266A1"/>
    <w:rsid w:val="007273B6"/>
    <w:rsid w:val="00727AF3"/>
    <w:rsid w:val="00727FA7"/>
    <w:rsid w:val="0073010C"/>
    <w:rsid w:val="007302DF"/>
    <w:rsid w:val="00731D17"/>
    <w:rsid w:val="00732925"/>
    <w:rsid w:val="00732B09"/>
    <w:rsid w:val="00732D8A"/>
    <w:rsid w:val="007338DA"/>
    <w:rsid w:val="00733986"/>
    <w:rsid w:val="007344A9"/>
    <w:rsid w:val="00737022"/>
    <w:rsid w:val="007414D5"/>
    <w:rsid w:val="0074218C"/>
    <w:rsid w:val="00743E0C"/>
    <w:rsid w:val="007441F7"/>
    <w:rsid w:val="007459FD"/>
    <w:rsid w:val="007462BC"/>
    <w:rsid w:val="00746304"/>
    <w:rsid w:val="00746A52"/>
    <w:rsid w:val="00746C68"/>
    <w:rsid w:val="0074717F"/>
    <w:rsid w:val="00750A9A"/>
    <w:rsid w:val="00750C80"/>
    <w:rsid w:val="00751304"/>
    <w:rsid w:val="00751327"/>
    <w:rsid w:val="0075182D"/>
    <w:rsid w:val="00751847"/>
    <w:rsid w:val="0075192C"/>
    <w:rsid w:val="00751D75"/>
    <w:rsid w:val="00752516"/>
    <w:rsid w:val="00752C82"/>
    <w:rsid w:val="00752D1D"/>
    <w:rsid w:val="00753942"/>
    <w:rsid w:val="007540CC"/>
    <w:rsid w:val="00755027"/>
    <w:rsid w:val="007560B8"/>
    <w:rsid w:val="00757079"/>
    <w:rsid w:val="0076056E"/>
    <w:rsid w:val="0076110E"/>
    <w:rsid w:val="007612C1"/>
    <w:rsid w:val="007614EE"/>
    <w:rsid w:val="00762A7B"/>
    <w:rsid w:val="0076683E"/>
    <w:rsid w:val="007674C7"/>
    <w:rsid w:val="00767802"/>
    <w:rsid w:val="007702D5"/>
    <w:rsid w:val="007718CB"/>
    <w:rsid w:val="00771C1C"/>
    <w:rsid w:val="00772AF4"/>
    <w:rsid w:val="00772CFA"/>
    <w:rsid w:val="00773194"/>
    <w:rsid w:val="007733F5"/>
    <w:rsid w:val="00773E8E"/>
    <w:rsid w:val="00774D39"/>
    <w:rsid w:val="0077546D"/>
    <w:rsid w:val="00775EE7"/>
    <w:rsid w:val="0077624F"/>
    <w:rsid w:val="00776B9E"/>
    <w:rsid w:val="0078090F"/>
    <w:rsid w:val="00780B4E"/>
    <w:rsid w:val="00780DD8"/>
    <w:rsid w:val="0078141F"/>
    <w:rsid w:val="00781592"/>
    <w:rsid w:val="00782209"/>
    <w:rsid w:val="007846C2"/>
    <w:rsid w:val="0078523D"/>
    <w:rsid w:val="007869F9"/>
    <w:rsid w:val="007878DF"/>
    <w:rsid w:val="00787A82"/>
    <w:rsid w:val="00790FDA"/>
    <w:rsid w:val="00791FBB"/>
    <w:rsid w:val="00792098"/>
    <w:rsid w:val="007922C6"/>
    <w:rsid w:val="00793107"/>
    <w:rsid w:val="007947BC"/>
    <w:rsid w:val="007947D4"/>
    <w:rsid w:val="00794AEC"/>
    <w:rsid w:val="00794B78"/>
    <w:rsid w:val="00794C76"/>
    <w:rsid w:val="00794CEB"/>
    <w:rsid w:val="007964AB"/>
    <w:rsid w:val="007978AC"/>
    <w:rsid w:val="007A1629"/>
    <w:rsid w:val="007A2E7A"/>
    <w:rsid w:val="007A3820"/>
    <w:rsid w:val="007A45A2"/>
    <w:rsid w:val="007A5FB5"/>
    <w:rsid w:val="007A7D2B"/>
    <w:rsid w:val="007B0337"/>
    <w:rsid w:val="007B0B7E"/>
    <w:rsid w:val="007B0ED3"/>
    <w:rsid w:val="007B1BD0"/>
    <w:rsid w:val="007B21DA"/>
    <w:rsid w:val="007B23DB"/>
    <w:rsid w:val="007B2405"/>
    <w:rsid w:val="007B3828"/>
    <w:rsid w:val="007B423B"/>
    <w:rsid w:val="007B447E"/>
    <w:rsid w:val="007B4824"/>
    <w:rsid w:val="007B4E82"/>
    <w:rsid w:val="007B4EE7"/>
    <w:rsid w:val="007B56F0"/>
    <w:rsid w:val="007B5F35"/>
    <w:rsid w:val="007B5FF7"/>
    <w:rsid w:val="007B60B6"/>
    <w:rsid w:val="007B6254"/>
    <w:rsid w:val="007B645A"/>
    <w:rsid w:val="007B652E"/>
    <w:rsid w:val="007B6A84"/>
    <w:rsid w:val="007B6B20"/>
    <w:rsid w:val="007B6B6C"/>
    <w:rsid w:val="007B6FA5"/>
    <w:rsid w:val="007C0A81"/>
    <w:rsid w:val="007C0DE0"/>
    <w:rsid w:val="007C1A53"/>
    <w:rsid w:val="007C222E"/>
    <w:rsid w:val="007C2A2E"/>
    <w:rsid w:val="007C301D"/>
    <w:rsid w:val="007C30B0"/>
    <w:rsid w:val="007C33D1"/>
    <w:rsid w:val="007C3670"/>
    <w:rsid w:val="007C3707"/>
    <w:rsid w:val="007C382A"/>
    <w:rsid w:val="007C386A"/>
    <w:rsid w:val="007C3C59"/>
    <w:rsid w:val="007C5AB9"/>
    <w:rsid w:val="007C5C95"/>
    <w:rsid w:val="007D07B6"/>
    <w:rsid w:val="007D11E7"/>
    <w:rsid w:val="007D1B04"/>
    <w:rsid w:val="007D20F0"/>
    <w:rsid w:val="007D2598"/>
    <w:rsid w:val="007D2EB7"/>
    <w:rsid w:val="007D312B"/>
    <w:rsid w:val="007D46D8"/>
    <w:rsid w:val="007D4B8B"/>
    <w:rsid w:val="007D4DEA"/>
    <w:rsid w:val="007D59FB"/>
    <w:rsid w:val="007D5D2E"/>
    <w:rsid w:val="007D7318"/>
    <w:rsid w:val="007D787C"/>
    <w:rsid w:val="007E06FD"/>
    <w:rsid w:val="007E0BE7"/>
    <w:rsid w:val="007E0F75"/>
    <w:rsid w:val="007E127E"/>
    <w:rsid w:val="007E2C23"/>
    <w:rsid w:val="007E2D77"/>
    <w:rsid w:val="007E4DD1"/>
    <w:rsid w:val="007E6B4C"/>
    <w:rsid w:val="007E71F6"/>
    <w:rsid w:val="007F0D95"/>
    <w:rsid w:val="007F0DFE"/>
    <w:rsid w:val="007F1220"/>
    <w:rsid w:val="007F1369"/>
    <w:rsid w:val="007F1C12"/>
    <w:rsid w:val="007F1E57"/>
    <w:rsid w:val="007F25CF"/>
    <w:rsid w:val="007F2E03"/>
    <w:rsid w:val="007F381F"/>
    <w:rsid w:val="007F539A"/>
    <w:rsid w:val="007F59BA"/>
    <w:rsid w:val="007F5C18"/>
    <w:rsid w:val="007F794C"/>
    <w:rsid w:val="00800207"/>
    <w:rsid w:val="0080025E"/>
    <w:rsid w:val="008007E1"/>
    <w:rsid w:val="00800899"/>
    <w:rsid w:val="008014ED"/>
    <w:rsid w:val="00801A67"/>
    <w:rsid w:val="008024FB"/>
    <w:rsid w:val="00802554"/>
    <w:rsid w:val="00802A38"/>
    <w:rsid w:val="00803758"/>
    <w:rsid w:val="00803801"/>
    <w:rsid w:val="0080408C"/>
    <w:rsid w:val="0080424C"/>
    <w:rsid w:val="0080470B"/>
    <w:rsid w:val="00805EBA"/>
    <w:rsid w:val="00806428"/>
    <w:rsid w:val="00807B88"/>
    <w:rsid w:val="008106CD"/>
    <w:rsid w:val="008113A6"/>
    <w:rsid w:val="008116B0"/>
    <w:rsid w:val="008119B7"/>
    <w:rsid w:val="00811CF6"/>
    <w:rsid w:val="00812241"/>
    <w:rsid w:val="00812702"/>
    <w:rsid w:val="008127ED"/>
    <w:rsid w:val="0081584D"/>
    <w:rsid w:val="0081741A"/>
    <w:rsid w:val="00817834"/>
    <w:rsid w:val="008178A5"/>
    <w:rsid w:val="008207BC"/>
    <w:rsid w:val="00820BE6"/>
    <w:rsid w:val="00822E58"/>
    <w:rsid w:val="00823AA1"/>
    <w:rsid w:val="00823B80"/>
    <w:rsid w:val="0082402F"/>
    <w:rsid w:val="0082442D"/>
    <w:rsid w:val="0082456F"/>
    <w:rsid w:val="008245BB"/>
    <w:rsid w:val="00824D5D"/>
    <w:rsid w:val="008256DC"/>
    <w:rsid w:val="00825E43"/>
    <w:rsid w:val="00826532"/>
    <w:rsid w:val="008267E8"/>
    <w:rsid w:val="00826C45"/>
    <w:rsid w:val="0082759E"/>
    <w:rsid w:val="008279BC"/>
    <w:rsid w:val="0083127E"/>
    <w:rsid w:val="00831498"/>
    <w:rsid w:val="008324BC"/>
    <w:rsid w:val="00832E6D"/>
    <w:rsid w:val="00832F92"/>
    <w:rsid w:val="008333BE"/>
    <w:rsid w:val="008337AF"/>
    <w:rsid w:val="00833CE8"/>
    <w:rsid w:val="00833E2A"/>
    <w:rsid w:val="008346FF"/>
    <w:rsid w:val="00835DB7"/>
    <w:rsid w:val="008368EC"/>
    <w:rsid w:val="00836ED2"/>
    <w:rsid w:val="00837492"/>
    <w:rsid w:val="00837F50"/>
    <w:rsid w:val="00841256"/>
    <w:rsid w:val="008418F5"/>
    <w:rsid w:val="008428E9"/>
    <w:rsid w:val="00844858"/>
    <w:rsid w:val="00844A48"/>
    <w:rsid w:val="008458D1"/>
    <w:rsid w:val="00846064"/>
    <w:rsid w:val="008471AF"/>
    <w:rsid w:val="00847FD5"/>
    <w:rsid w:val="00850B27"/>
    <w:rsid w:val="008510C2"/>
    <w:rsid w:val="008534FD"/>
    <w:rsid w:val="00853AFD"/>
    <w:rsid w:val="008547C7"/>
    <w:rsid w:val="00856BA8"/>
    <w:rsid w:val="00856C86"/>
    <w:rsid w:val="0085776D"/>
    <w:rsid w:val="00857CA4"/>
    <w:rsid w:val="00857CEB"/>
    <w:rsid w:val="0086108C"/>
    <w:rsid w:val="00861A07"/>
    <w:rsid w:val="00863657"/>
    <w:rsid w:val="0086370B"/>
    <w:rsid w:val="0086403A"/>
    <w:rsid w:val="0086448E"/>
    <w:rsid w:val="00864955"/>
    <w:rsid w:val="00864BF5"/>
    <w:rsid w:val="008653C1"/>
    <w:rsid w:val="00866175"/>
    <w:rsid w:val="0086649C"/>
    <w:rsid w:val="00866A6D"/>
    <w:rsid w:val="008675E3"/>
    <w:rsid w:val="00867E73"/>
    <w:rsid w:val="00871258"/>
    <w:rsid w:val="00872120"/>
    <w:rsid w:val="00872F17"/>
    <w:rsid w:val="00873BEC"/>
    <w:rsid w:val="00874001"/>
    <w:rsid w:val="00875293"/>
    <w:rsid w:val="0087574A"/>
    <w:rsid w:val="00875EFE"/>
    <w:rsid w:val="00877BAE"/>
    <w:rsid w:val="00880264"/>
    <w:rsid w:val="00880EA4"/>
    <w:rsid w:val="00881415"/>
    <w:rsid w:val="00881914"/>
    <w:rsid w:val="00881DA6"/>
    <w:rsid w:val="00884FC6"/>
    <w:rsid w:val="00886DCB"/>
    <w:rsid w:val="0088750E"/>
    <w:rsid w:val="008878BF"/>
    <w:rsid w:val="00887ACD"/>
    <w:rsid w:val="00890849"/>
    <w:rsid w:val="008909BE"/>
    <w:rsid w:val="008910B6"/>
    <w:rsid w:val="00892E1E"/>
    <w:rsid w:val="008932B1"/>
    <w:rsid w:val="008939F0"/>
    <w:rsid w:val="00895BC9"/>
    <w:rsid w:val="00895BE8"/>
    <w:rsid w:val="0089665E"/>
    <w:rsid w:val="00897203"/>
    <w:rsid w:val="008A053C"/>
    <w:rsid w:val="008A1101"/>
    <w:rsid w:val="008A1319"/>
    <w:rsid w:val="008A15C4"/>
    <w:rsid w:val="008A1DE5"/>
    <w:rsid w:val="008A26E4"/>
    <w:rsid w:val="008A4301"/>
    <w:rsid w:val="008A43E9"/>
    <w:rsid w:val="008A522A"/>
    <w:rsid w:val="008A6327"/>
    <w:rsid w:val="008A6E70"/>
    <w:rsid w:val="008B164B"/>
    <w:rsid w:val="008B23D0"/>
    <w:rsid w:val="008B2692"/>
    <w:rsid w:val="008B2758"/>
    <w:rsid w:val="008B2F7B"/>
    <w:rsid w:val="008B31FA"/>
    <w:rsid w:val="008B35F4"/>
    <w:rsid w:val="008B392D"/>
    <w:rsid w:val="008B3B5C"/>
    <w:rsid w:val="008B49F7"/>
    <w:rsid w:val="008B4E42"/>
    <w:rsid w:val="008B5DCF"/>
    <w:rsid w:val="008B6731"/>
    <w:rsid w:val="008B6CCB"/>
    <w:rsid w:val="008B6E7F"/>
    <w:rsid w:val="008B76EB"/>
    <w:rsid w:val="008B7B01"/>
    <w:rsid w:val="008B7ED2"/>
    <w:rsid w:val="008B7F13"/>
    <w:rsid w:val="008C005C"/>
    <w:rsid w:val="008C1395"/>
    <w:rsid w:val="008C1ACA"/>
    <w:rsid w:val="008C2867"/>
    <w:rsid w:val="008C2AD4"/>
    <w:rsid w:val="008C2CB7"/>
    <w:rsid w:val="008C32E9"/>
    <w:rsid w:val="008C4CA1"/>
    <w:rsid w:val="008C5175"/>
    <w:rsid w:val="008C567C"/>
    <w:rsid w:val="008C5BE9"/>
    <w:rsid w:val="008C66FC"/>
    <w:rsid w:val="008C72B7"/>
    <w:rsid w:val="008C75F9"/>
    <w:rsid w:val="008C793B"/>
    <w:rsid w:val="008D0A29"/>
    <w:rsid w:val="008D2646"/>
    <w:rsid w:val="008D2BA5"/>
    <w:rsid w:val="008D3397"/>
    <w:rsid w:val="008D3884"/>
    <w:rsid w:val="008D41D0"/>
    <w:rsid w:val="008D4F65"/>
    <w:rsid w:val="008D54DD"/>
    <w:rsid w:val="008D5999"/>
    <w:rsid w:val="008D5CEE"/>
    <w:rsid w:val="008D6377"/>
    <w:rsid w:val="008D6729"/>
    <w:rsid w:val="008D694A"/>
    <w:rsid w:val="008D78F0"/>
    <w:rsid w:val="008D7CB1"/>
    <w:rsid w:val="008E0886"/>
    <w:rsid w:val="008E166C"/>
    <w:rsid w:val="008E2083"/>
    <w:rsid w:val="008E2462"/>
    <w:rsid w:val="008E2650"/>
    <w:rsid w:val="008E26BC"/>
    <w:rsid w:val="008E34A3"/>
    <w:rsid w:val="008E3782"/>
    <w:rsid w:val="008E3FD2"/>
    <w:rsid w:val="008E4BE6"/>
    <w:rsid w:val="008E53CD"/>
    <w:rsid w:val="008E58DA"/>
    <w:rsid w:val="008E59FB"/>
    <w:rsid w:val="008E5B34"/>
    <w:rsid w:val="008E6A47"/>
    <w:rsid w:val="008F08B9"/>
    <w:rsid w:val="008F09E5"/>
    <w:rsid w:val="008F29C9"/>
    <w:rsid w:val="008F2C76"/>
    <w:rsid w:val="008F3066"/>
    <w:rsid w:val="008F4911"/>
    <w:rsid w:val="008F49C2"/>
    <w:rsid w:val="008F528D"/>
    <w:rsid w:val="008F62AA"/>
    <w:rsid w:val="008F6B06"/>
    <w:rsid w:val="008F736D"/>
    <w:rsid w:val="008F793F"/>
    <w:rsid w:val="00900F9E"/>
    <w:rsid w:val="0090133F"/>
    <w:rsid w:val="0090159B"/>
    <w:rsid w:val="00901887"/>
    <w:rsid w:val="00901D19"/>
    <w:rsid w:val="00901F0F"/>
    <w:rsid w:val="00902592"/>
    <w:rsid w:val="00902935"/>
    <w:rsid w:val="00902FD3"/>
    <w:rsid w:val="0090306B"/>
    <w:rsid w:val="009034A4"/>
    <w:rsid w:val="00904CD3"/>
    <w:rsid w:val="00905A70"/>
    <w:rsid w:val="009065AE"/>
    <w:rsid w:val="00906C19"/>
    <w:rsid w:val="00906FFC"/>
    <w:rsid w:val="009072F2"/>
    <w:rsid w:val="00910868"/>
    <w:rsid w:val="00911DA9"/>
    <w:rsid w:val="00912564"/>
    <w:rsid w:val="009135F7"/>
    <w:rsid w:val="0091471B"/>
    <w:rsid w:val="00914B9A"/>
    <w:rsid w:val="00915A81"/>
    <w:rsid w:val="00916811"/>
    <w:rsid w:val="009173B3"/>
    <w:rsid w:val="00917A6E"/>
    <w:rsid w:val="00920678"/>
    <w:rsid w:val="00920CB0"/>
    <w:rsid w:val="0092123B"/>
    <w:rsid w:val="00921491"/>
    <w:rsid w:val="009214BC"/>
    <w:rsid w:val="009214F4"/>
    <w:rsid w:val="00921946"/>
    <w:rsid w:val="00921A33"/>
    <w:rsid w:val="00921C7B"/>
    <w:rsid w:val="009246C6"/>
    <w:rsid w:val="00924B06"/>
    <w:rsid w:val="00924EE6"/>
    <w:rsid w:val="00924FAD"/>
    <w:rsid w:val="009255CF"/>
    <w:rsid w:val="00925A33"/>
    <w:rsid w:val="0092601D"/>
    <w:rsid w:val="0092668A"/>
    <w:rsid w:val="00927341"/>
    <w:rsid w:val="00927AA8"/>
    <w:rsid w:val="00930AB5"/>
    <w:rsid w:val="00932B58"/>
    <w:rsid w:val="00933BC7"/>
    <w:rsid w:val="009351FC"/>
    <w:rsid w:val="009358D2"/>
    <w:rsid w:val="00935C6C"/>
    <w:rsid w:val="009379D0"/>
    <w:rsid w:val="0094086D"/>
    <w:rsid w:val="0094103B"/>
    <w:rsid w:val="00941275"/>
    <w:rsid w:val="0094191E"/>
    <w:rsid w:val="00941AEA"/>
    <w:rsid w:val="0094225F"/>
    <w:rsid w:val="0094242C"/>
    <w:rsid w:val="00943066"/>
    <w:rsid w:val="00943499"/>
    <w:rsid w:val="0094434E"/>
    <w:rsid w:val="00944B9F"/>
    <w:rsid w:val="00947722"/>
    <w:rsid w:val="00950106"/>
    <w:rsid w:val="00950C2C"/>
    <w:rsid w:val="00950D21"/>
    <w:rsid w:val="00951257"/>
    <w:rsid w:val="0095159A"/>
    <w:rsid w:val="00951913"/>
    <w:rsid w:val="00952570"/>
    <w:rsid w:val="00952696"/>
    <w:rsid w:val="00952F5D"/>
    <w:rsid w:val="009534A8"/>
    <w:rsid w:val="009543BA"/>
    <w:rsid w:val="00956692"/>
    <w:rsid w:val="009566D5"/>
    <w:rsid w:val="009569AB"/>
    <w:rsid w:val="009576B5"/>
    <w:rsid w:val="009607DE"/>
    <w:rsid w:val="00960E36"/>
    <w:rsid w:val="00961D74"/>
    <w:rsid w:val="00962A90"/>
    <w:rsid w:val="00962F6C"/>
    <w:rsid w:val="009632D0"/>
    <w:rsid w:val="009641FF"/>
    <w:rsid w:val="0096428B"/>
    <w:rsid w:val="009642E3"/>
    <w:rsid w:val="00964661"/>
    <w:rsid w:val="00964885"/>
    <w:rsid w:val="00964AF3"/>
    <w:rsid w:val="00964F66"/>
    <w:rsid w:val="009662FD"/>
    <w:rsid w:val="0096638B"/>
    <w:rsid w:val="009672AF"/>
    <w:rsid w:val="009704EF"/>
    <w:rsid w:val="0097183D"/>
    <w:rsid w:val="00973549"/>
    <w:rsid w:val="00973A93"/>
    <w:rsid w:val="00973D88"/>
    <w:rsid w:val="0097401A"/>
    <w:rsid w:val="00974399"/>
    <w:rsid w:val="00974E38"/>
    <w:rsid w:val="00975C53"/>
    <w:rsid w:val="00975EBD"/>
    <w:rsid w:val="00975F5B"/>
    <w:rsid w:val="009762AE"/>
    <w:rsid w:val="00976511"/>
    <w:rsid w:val="00976B6D"/>
    <w:rsid w:val="0097751D"/>
    <w:rsid w:val="00977BB7"/>
    <w:rsid w:val="0098153C"/>
    <w:rsid w:val="00981C3A"/>
    <w:rsid w:val="009826E6"/>
    <w:rsid w:val="00983245"/>
    <w:rsid w:val="00983815"/>
    <w:rsid w:val="009846E2"/>
    <w:rsid w:val="00987006"/>
    <w:rsid w:val="00987BB8"/>
    <w:rsid w:val="009902EF"/>
    <w:rsid w:val="00991142"/>
    <w:rsid w:val="00991313"/>
    <w:rsid w:val="00991719"/>
    <w:rsid w:val="009917DA"/>
    <w:rsid w:val="0099307C"/>
    <w:rsid w:val="009940D0"/>
    <w:rsid w:val="00995A6F"/>
    <w:rsid w:val="0099649E"/>
    <w:rsid w:val="00996B5E"/>
    <w:rsid w:val="00997DC1"/>
    <w:rsid w:val="00997E8E"/>
    <w:rsid w:val="009A0377"/>
    <w:rsid w:val="009A3513"/>
    <w:rsid w:val="009A3650"/>
    <w:rsid w:val="009A4C74"/>
    <w:rsid w:val="009A5331"/>
    <w:rsid w:val="009A574D"/>
    <w:rsid w:val="009A7002"/>
    <w:rsid w:val="009A77C3"/>
    <w:rsid w:val="009B016C"/>
    <w:rsid w:val="009B09A5"/>
    <w:rsid w:val="009B10E6"/>
    <w:rsid w:val="009B2A19"/>
    <w:rsid w:val="009B3AE1"/>
    <w:rsid w:val="009B3B74"/>
    <w:rsid w:val="009B3C66"/>
    <w:rsid w:val="009B43C7"/>
    <w:rsid w:val="009B4AE0"/>
    <w:rsid w:val="009B4CC1"/>
    <w:rsid w:val="009B555A"/>
    <w:rsid w:val="009B6853"/>
    <w:rsid w:val="009B7006"/>
    <w:rsid w:val="009B77B4"/>
    <w:rsid w:val="009C038E"/>
    <w:rsid w:val="009C0EB8"/>
    <w:rsid w:val="009C11EE"/>
    <w:rsid w:val="009C1390"/>
    <w:rsid w:val="009C2A73"/>
    <w:rsid w:val="009C45E5"/>
    <w:rsid w:val="009C4B7F"/>
    <w:rsid w:val="009C6050"/>
    <w:rsid w:val="009C6897"/>
    <w:rsid w:val="009C6BFA"/>
    <w:rsid w:val="009C7389"/>
    <w:rsid w:val="009C76D2"/>
    <w:rsid w:val="009D19C6"/>
    <w:rsid w:val="009D3EE8"/>
    <w:rsid w:val="009D408F"/>
    <w:rsid w:val="009D4553"/>
    <w:rsid w:val="009D4751"/>
    <w:rsid w:val="009D5729"/>
    <w:rsid w:val="009D5868"/>
    <w:rsid w:val="009D5D17"/>
    <w:rsid w:val="009D682F"/>
    <w:rsid w:val="009D69D3"/>
    <w:rsid w:val="009D6C72"/>
    <w:rsid w:val="009D6D67"/>
    <w:rsid w:val="009D7384"/>
    <w:rsid w:val="009D751D"/>
    <w:rsid w:val="009D786C"/>
    <w:rsid w:val="009E0014"/>
    <w:rsid w:val="009E2837"/>
    <w:rsid w:val="009E2B8A"/>
    <w:rsid w:val="009E2FC8"/>
    <w:rsid w:val="009E45EE"/>
    <w:rsid w:val="009E517F"/>
    <w:rsid w:val="009E5845"/>
    <w:rsid w:val="009E61AA"/>
    <w:rsid w:val="009E64C9"/>
    <w:rsid w:val="009E6EAE"/>
    <w:rsid w:val="009E7EB6"/>
    <w:rsid w:val="009F012C"/>
    <w:rsid w:val="009F0579"/>
    <w:rsid w:val="009F06DB"/>
    <w:rsid w:val="009F16A7"/>
    <w:rsid w:val="009F1A80"/>
    <w:rsid w:val="009F25DB"/>
    <w:rsid w:val="009F41A1"/>
    <w:rsid w:val="009F4ADF"/>
    <w:rsid w:val="009F597D"/>
    <w:rsid w:val="009F7C2A"/>
    <w:rsid w:val="009F7CAE"/>
    <w:rsid w:val="00A00572"/>
    <w:rsid w:val="00A00A91"/>
    <w:rsid w:val="00A01B06"/>
    <w:rsid w:val="00A02C51"/>
    <w:rsid w:val="00A03DC3"/>
    <w:rsid w:val="00A04CDD"/>
    <w:rsid w:val="00A04FF0"/>
    <w:rsid w:val="00A06162"/>
    <w:rsid w:val="00A06C71"/>
    <w:rsid w:val="00A075A4"/>
    <w:rsid w:val="00A10BAF"/>
    <w:rsid w:val="00A10C2F"/>
    <w:rsid w:val="00A114FA"/>
    <w:rsid w:val="00A1174D"/>
    <w:rsid w:val="00A12835"/>
    <w:rsid w:val="00A13048"/>
    <w:rsid w:val="00A133AB"/>
    <w:rsid w:val="00A140A8"/>
    <w:rsid w:val="00A151BE"/>
    <w:rsid w:val="00A153C8"/>
    <w:rsid w:val="00A15814"/>
    <w:rsid w:val="00A15826"/>
    <w:rsid w:val="00A159DC"/>
    <w:rsid w:val="00A16974"/>
    <w:rsid w:val="00A16E62"/>
    <w:rsid w:val="00A17A27"/>
    <w:rsid w:val="00A20C76"/>
    <w:rsid w:val="00A21F26"/>
    <w:rsid w:val="00A220B6"/>
    <w:rsid w:val="00A226DB"/>
    <w:rsid w:val="00A230B8"/>
    <w:rsid w:val="00A2371C"/>
    <w:rsid w:val="00A23B01"/>
    <w:rsid w:val="00A25531"/>
    <w:rsid w:val="00A25DC0"/>
    <w:rsid w:val="00A25F93"/>
    <w:rsid w:val="00A2624E"/>
    <w:rsid w:val="00A27AE0"/>
    <w:rsid w:val="00A3055F"/>
    <w:rsid w:val="00A30AF9"/>
    <w:rsid w:val="00A30C28"/>
    <w:rsid w:val="00A30FB1"/>
    <w:rsid w:val="00A317E1"/>
    <w:rsid w:val="00A31988"/>
    <w:rsid w:val="00A31D9A"/>
    <w:rsid w:val="00A3221E"/>
    <w:rsid w:val="00A32306"/>
    <w:rsid w:val="00A32518"/>
    <w:rsid w:val="00A32666"/>
    <w:rsid w:val="00A32AFC"/>
    <w:rsid w:val="00A32D15"/>
    <w:rsid w:val="00A32EEA"/>
    <w:rsid w:val="00A3308A"/>
    <w:rsid w:val="00A3395C"/>
    <w:rsid w:val="00A351C4"/>
    <w:rsid w:val="00A35FC1"/>
    <w:rsid w:val="00A3638B"/>
    <w:rsid w:val="00A36631"/>
    <w:rsid w:val="00A367A5"/>
    <w:rsid w:val="00A37188"/>
    <w:rsid w:val="00A37DD5"/>
    <w:rsid w:val="00A4126E"/>
    <w:rsid w:val="00A416B1"/>
    <w:rsid w:val="00A41BF2"/>
    <w:rsid w:val="00A42682"/>
    <w:rsid w:val="00A42986"/>
    <w:rsid w:val="00A439AC"/>
    <w:rsid w:val="00A43F4A"/>
    <w:rsid w:val="00A4505E"/>
    <w:rsid w:val="00A45454"/>
    <w:rsid w:val="00A45679"/>
    <w:rsid w:val="00A45CDE"/>
    <w:rsid w:val="00A4609B"/>
    <w:rsid w:val="00A4625C"/>
    <w:rsid w:val="00A466CE"/>
    <w:rsid w:val="00A468C0"/>
    <w:rsid w:val="00A46CD4"/>
    <w:rsid w:val="00A46F87"/>
    <w:rsid w:val="00A47297"/>
    <w:rsid w:val="00A47F9A"/>
    <w:rsid w:val="00A50773"/>
    <w:rsid w:val="00A5095E"/>
    <w:rsid w:val="00A50A9D"/>
    <w:rsid w:val="00A50D15"/>
    <w:rsid w:val="00A50FDC"/>
    <w:rsid w:val="00A51304"/>
    <w:rsid w:val="00A53EFF"/>
    <w:rsid w:val="00A544FF"/>
    <w:rsid w:val="00A547D1"/>
    <w:rsid w:val="00A5537B"/>
    <w:rsid w:val="00A55386"/>
    <w:rsid w:val="00A55756"/>
    <w:rsid w:val="00A56D4A"/>
    <w:rsid w:val="00A5717C"/>
    <w:rsid w:val="00A57743"/>
    <w:rsid w:val="00A5781A"/>
    <w:rsid w:val="00A57CE6"/>
    <w:rsid w:val="00A608AC"/>
    <w:rsid w:val="00A60F77"/>
    <w:rsid w:val="00A61037"/>
    <w:rsid w:val="00A6168C"/>
    <w:rsid w:val="00A63208"/>
    <w:rsid w:val="00A63D7F"/>
    <w:rsid w:val="00A63F3B"/>
    <w:rsid w:val="00A64C65"/>
    <w:rsid w:val="00A6512E"/>
    <w:rsid w:val="00A6586D"/>
    <w:rsid w:val="00A667C6"/>
    <w:rsid w:val="00A66C58"/>
    <w:rsid w:val="00A66CE3"/>
    <w:rsid w:val="00A70169"/>
    <w:rsid w:val="00A7119D"/>
    <w:rsid w:val="00A72DCE"/>
    <w:rsid w:val="00A72FDD"/>
    <w:rsid w:val="00A737E1"/>
    <w:rsid w:val="00A73BE5"/>
    <w:rsid w:val="00A73E1D"/>
    <w:rsid w:val="00A75431"/>
    <w:rsid w:val="00A7586F"/>
    <w:rsid w:val="00A7660A"/>
    <w:rsid w:val="00A76A5E"/>
    <w:rsid w:val="00A77F97"/>
    <w:rsid w:val="00A800BE"/>
    <w:rsid w:val="00A805B1"/>
    <w:rsid w:val="00A810B8"/>
    <w:rsid w:val="00A82246"/>
    <w:rsid w:val="00A823BE"/>
    <w:rsid w:val="00A82B26"/>
    <w:rsid w:val="00A82C4D"/>
    <w:rsid w:val="00A82CA0"/>
    <w:rsid w:val="00A82EE6"/>
    <w:rsid w:val="00A83339"/>
    <w:rsid w:val="00A838B7"/>
    <w:rsid w:val="00A86771"/>
    <w:rsid w:val="00A86E8F"/>
    <w:rsid w:val="00A87B14"/>
    <w:rsid w:val="00A9085D"/>
    <w:rsid w:val="00A90EF4"/>
    <w:rsid w:val="00A91252"/>
    <w:rsid w:val="00A94C9B"/>
    <w:rsid w:val="00A95758"/>
    <w:rsid w:val="00A95C67"/>
    <w:rsid w:val="00A96F17"/>
    <w:rsid w:val="00AA25CC"/>
    <w:rsid w:val="00AA2A94"/>
    <w:rsid w:val="00AA2F33"/>
    <w:rsid w:val="00AA3FFC"/>
    <w:rsid w:val="00AA46BE"/>
    <w:rsid w:val="00AA4846"/>
    <w:rsid w:val="00AA6B79"/>
    <w:rsid w:val="00AB07FF"/>
    <w:rsid w:val="00AB2472"/>
    <w:rsid w:val="00AB29DC"/>
    <w:rsid w:val="00AB355B"/>
    <w:rsid w:val="00AB4732"/>
    <w:rsid w:val="00AB48FA"/>
    <w:rsid w:val="00AB5333"/>
    <w:rsid w:val="00AB5367"/>
    <w:rsid w:val="00AB65D4"/>
    <w:rsid w:val="00AB6DC4"/>
    <w:rsid w:val="00AB750B"/>
    <w:rsid w:val="00AC0D0A"/>
    <w:rsid w:val="00AC11C4"/>
    <w:rsid w:val="00AC19D0"/>
    <w:rsid w:val="00AC29F3"/>
    <w:rsid w:val="00AC31BD"/>
    <w:rsid w:val="00AC3844"/>
    <w:rsid w:val="00AC3EA0"/>
    <w:rsid w:val="00AC3F9F"/>
    <w:rsid w:val="00AC4A19"/>
    <w:rsid w:val="00AC55F2"/>
    <w:rsid w:val="00AC5D81"/>
    <w:rsid w:val="00AD0F58"/>
    <w:rsid w:val="00AD20EC"/>
    <w:rsid w:val="00AD2A26"/>
    <w:rsid w:val="00AD2AB8"/>
    <w:rsid w:val="00AD3AC7"/>
    <w:rsid w:val="00AD4247"/>
    <w:rsid w:val="00AD4484"/>
    <w:rsid w:val="00AD45FE"/>
    <w:rsid w:val="00AD51FA"/>
    <w:rsid w:val="00AD520E"/>
    <w:rsid w:val="00AD529F"/>
    <w:rsid w:val="00AD53FA"/>
    <w:rsid w:val="00AD5964"/>
    <w:rsid w:val="00AD62F1"/>
    <w:rsid w:val="00AD64FE"/>
    <w:rsid w:val="00AD6FE1"/>
    <w:rsid w:val="00AE0117"/>
    <w:rsid w:val="00AE1983"/>
    <w:rsid w:val="00AE1C3A"/>
    <w:rsid w:val="00AE1F9D"/>
    <w:rsid w:val="00AE20A2"/>
    <w:rsid w:val="00AE491B"/>
    <w:rsid w:val="00AE4F77"/>
    <w:rsid w:val="00AE5FAF"/>
    <w:rsid w:val="00AE62CE"/>
    <w:rsid w:val="00AE6324"/>
    <w:rsid w:val="00AF05F0"/>
    <w:rsid w:val="00AF0AE1"/>
    <w:rsid w:val="00AF31F8"/>
    <w:rsid w:val="00AF47FB"/>
    <w:rsid w:val="00AF4E32"/>
    <w:rsid w:val="00AF5662"/>
    <w:rsid w:val="00AF62AB"/>
    <w:rsid w:val="00AF72FD"/>
    <w:rsid w:val="00AF74EA"/>
    <w:rsid w:val="00AF7FB8"/>
    <w:rsid w:val="00B00A1D"/>
    <w:rsid w:val="00B0119B"/>
    <w:rsid w:val="00B012B0"/>
    <w:rsid w:val="00B017F2"/>
    <w:rsid w:val="00B020FC"/>
    <w:rsid w:val="00B02396"/>
    <w:rsid w:val="00B039EE"/>
    <w:rsid w:val="00B03A95"/>
    <w:rsid w:val="00B05825"/>
    <w:rsid w:val="00B060DC"/>
    <w:rsid w:val="00B07A99"/>
    <w:rsid w:val="00B07F67"/>
    <w:rsid w:val="00B1117A"/>
    <w:rsid w:val="00B1179A"/>
    <w:rsid w:val="00B11992"/>
    <w:rsid w:val="00B136D2"/>
    <w:rsid w:val="00B13B30"/>
    <w:rsid w:val="00B149FA"/>
    <w:rsid w:val="00B14A1A"/>
    <w:rsid w:val="00B16F99"/>
    <w:rsid w:val="00B174A4"/>
    <w:rsid w:val="00B178BB"/>
    <w:rsid w:val="00B207B7"/>
    <w:rsid w:val="00B20EF0"/>
    <w:rsid w:val="00B212D3"/>
    <w:rsid w:val="00B235BB"/>
    <w:rsid w:val="00B23629"/>
    <w:rsid w:val="00B2530F"/>
    <w:rsid w:val="00B258DF"/>
    <w:rsid w:val="00B267B6"/>
    <w:rsid w:val="00B27488"/>
    <w:rsid w:val="00B274C6"/>
    <w:rsid w:val="00B310AD"/>
    <w:rsid w:val="00B3148C"/>
    <w:rsid w:val="00B315DB"/>
    <w:rsid w:val="00B31867"/>
    <w:rsid w:val="00B326D5"/>
    <w:rsid w:val="00B33040"/>
    <w:rsid w:val="00B36EF8"/>
    <w:rsid w:val="00B4009A"/>
    <w:rsid w:val="00B40A66"/>
    <w:rsid w:val="00B40D15"/>
    <w:rsid w:val="00B43DEB"/>
    <w:rsid w:val="00B443CE"/>
    <w:rsid w:val="00B45DBC"/>
    <w:rsid w:val="00B463CF"/>
    <w:rsid w:val="00B46929"/>
    <w:rsid w:val="00B4695D"/>
    <w:rsid w:val="00B469BE"/>
    <w:rsid w:val="00B46FD9"/>
    <w:rsid w:val="00B4710F"/>
    <w:rsid w:val="00B473DF"/>
    <w:rsid w:val="00B47ED1"/>
    <w:rsid w:val="00B513E0"/>
    <w:rsid w:val="00B51521"/>
    <w:rsid w:val="00B5213E"/>
    <w:rsid w:val="00B528B4"/>
    <w:rsid w:val="00B540DF"/>
    <w:rsid w:val="00B54D2E"/>
    <w:rsid w:val="00B54EA5"/>
    <w:rsid w:val="00B54F36"/>
    <w:rsid w:val="00B55404"/>
    <w:rsid w:val="00B5554C"/>
    <w:rsid w:val="00B55DD2"/>
    <w:rsid w:val="00B563B8"/>
    <w:rsid w:val="00B56A4E"/>
    <w:rsid w:val="00B56F33"/>
    <w:rsid w:val="00B56F71"/>
    <w:rsid w:val="00B575A3"/>
    <w:rsid w:val="00B618F9"/>
    <w:rsid w:val="00B61C42"/>
    <w:rsid w:val="00B65793"/>
    <w:rsid w:val="00B657F4"/>
    <w:rsid w:val="00B666C8"/>
    <w:rsid w:val="00B66CF1"/>
    <w:rsid w:val="00B673D0"/>
    <w:rsid w:val="00B6793E"/>
    <w:rsid w:val="00B67A9C"/>
    <w:rsid w:val="00B67F04"/>
    <w:rsid w:val="00B7039A"/>
    <w:rsid w:val="00B70CA1"/>
    <w:rsid w:val="00B7194A"/>
    <w:rsid w:val="00B71C62"/>
    <w:rsid w:val="00B726AA"/>
    <w:rsid w:val="00B726DF"/>
    <w:rsid w:val="00B727AC"/>
    <w:rsid w:val="00B74042"/>
    <w:rsid w:val="00B74280"/>
    <w:rsid w:val="00B7472E"/>
    <w:rsid w:val="00B747BA"/>
    <w:rsid w:val="00B75012"/>
    <w:rsid w:val="00B752E6"/>
    <w:rsid w:val="00B75329"/>
    <w:rsid w:val="00B7656C"/>
    <w:rsid w:val="00B77318"/>
    <w:rsid w:val="00B8011B"/>
    <w:rsid w:val="00B80483"/>
    <w:rsid w:val="00B82B5D"/>
    <w:rsid w:val="00B83429"/>
    <w:rsid w:val="00B84E64"/>
    <w:rsid w:val="00B853B7"/>
    <w:rsid w:val="00B85578"/>
    <w:rsid w:val="00B85649"/>
    <w:rsid w:val="00B85AAE"/>
    <w:rsid w:val="00B8780E"/>
    <w:rsid w:val="00B90B82"/>
    <w:rsid w:val="00B9155A"/>
    <w:rsid w:val="00B9171A"/>
    <w:rsid w:val="00B91D36"/>
    <w:rsid w:val="00B92ADD"/>
    <w:rsid w:val="00B93B0D"/>
    <w:rsid w:val="00B93C4D"/>
    <w:rsid w:val="00B9504D"/>
    <w:rsid w:val="00B95F07"/>
    <w:rsid w:val="00B96E1F"/>
    <w:rsid w:val="00B972E7"/>
    <w:rsid w:val="00B97E60"/>
    <w:rsid w:val="00BA034C"/>
    <w:rsid w:val="00BA09F4"/>
    <w:rsid w:val="00BA0DCF"/>
    <w:rsid w:val="00BA1FE4"/>
    <w:rsid w:val="00BA217D"/>
    <w:rsid w:val="00BA2737"/>
    <w:rsid w:val="00BA283B"/>
    <w:rsid w:val="00BA508A"/>
    <w:rsid w:val="00BA54EB"/>
    <w:rsid w:val="00BA66FE"/>
    <w:rsid w:val="00BA7D61"/>
    <w:rsid w:val="00BA7E49"/>
    <w:rsid w:val="00BB0327"/>
    <w:rsid w:val="00BB050D"/>
    <w:rsid w:val="00BB10E2"/>
    <w:rsid w:val="00BB1538"/>
    <w:rsid w:val="00BB1670"/>
    <w:rsid w:val="00BB1DE3"/>
    <w:rsid w:val="00BB3163"/>
    <w:rsid w:val="00BB3630"/>
    <w:rsid w:val="00BB456B"/>
    <w:rsid w:val="00BB4868"/>
    <w:rsid w:val="00BB4BF9"/>
    <w:rsid w:val="00BB557F"/>
    <w:rsid w:val="00BB57AF"/>
    <w:rsid w:val="00BB6C5B"/>
    <w:rsid w:val="00BB74DC"/>
    <w:rsid w:val="00BC0853"/>
    <w:rsid w:val="00BC188E"/>
    <w:rsid w:val="00BC1E58"/>
    <w:rsid w:val="00BC26C6"/>
    <w:rsid w:val="00BC27F0"/>
    <w:rsid w:val="00BC3035"/>
    <w:rsid w:val="00BC4518"/>
    <w:rsid w:val="00BC4908"/>
    <w:rsid w:val="00BC4D2D"/>
    <w:rsid w:val="00BC70E2"/>
    <w:rsid w:val="00BC731F"/>
    <w:rsid w:val="00BD001A"/>
    <w:rsid w:val="00BD0D2F"/>
    <w:rsid w:val="00BD0D42"/>
    <w:rsid w:val="00BD136E"/>
    <w:rsid w:val="00BD154B"/>
    <w:rsid w:val="00BD2057"/>
    <w:rsid w:val="00BD35A9"/>
    <w:rsid w:val="00BD3BD3"/>
    <w:rsid w:val="00BD46D9"/>
    <w:rsid w:val="00BD5692"/>
    <w:rsid w:val="00BD5C67"/>
    <w:rsid w:val="00BD5D4E"/>
    <w:rsid w:val="00BD6C15"/>
    <w:rsid w:val="00BD709B"/>
    <w:rsid w:val="00BE000F"/>
    <w:rsid w:val="00BE0238"/>
    <w:rsid w:val="00BE150C"/>
    <w:rsid w:val="00BE184B"/>
    <w:rsid w:val="00BE1B54"/>
    <w:rsid w:val="00BE2351"/>
    <w:rsid w:val="00BE35F2"/>
    <w:rsid w:val="00BE44F8"/>
    <w:rsid w:val="00BE5772"/>
    <w:rsid w:val="00BE5842"/>
    <w:rsid w:val="00BE6EAA"/>
    <w:rsid w:val="00BE727A"/>
    <w:rsid w:val="00BE77A9"/>
    <w:rsid w:val="00BF03B0"/>
    <w:rsid w:val="00BF1075"/>
    <w:rsid w:val="00BF1674"/>
    <w:rsid w:val="00BF1BAC"/>
    <w:rsid w:val="00BF20B2"/>
    <w:rsid w:val="00BF2A3C"/>
    <w:rsid w:val="00BF5154"/>
    <w:rsid w:val="00BF5BDA"/>
    <w:rsid w:val="00BF7393"/>
    <w:rsid w:val="00BF768A"/>
    <w:rsid w:val="00BF7836"/>
    <w:rsid w:val="00BF7B4F"/>
    <w:rsid w:val="00BF7DE1"/>
    <w:rsid w:val="00C0028E"/>
    <w:rsid w:val="00C0099A"/>
    <w:rsid w:val="00C017F8"/>
    <w:rsid w:val="00C02B94"/>
    <w:rsid w:val="00C0481A"/>
    <w:rsid w:val="00C05035"/>
    <w:rsid w:val="00C061CE"/>
    <w:rsid w:val="00C0634E"/>
    <w:rsid w:val="00C06696"/>
    <w:rsid w:val="00C07645"/>
    <w:rsid w:val="00C077FE"/>
    <w:rsid w:val="00C1017A"/>
    <w:rsid w:val="00C1018A"/>
    <w:rsid w:val="00C1047E"/>
    <w:rsid w:val="00C108C1"/>
    <w:rsid w:val="00C11583"/>
    <w:rsid w:val="00C11618"/>
    <w:rsid w:val="00C12D0E"/>
    <w:rsid w:val="00C12EDC"/>
    <w:rsid w:val="00C13122"/>
    <w:rsid w:val="00C13133"/>
    <w:rsid w:val="00C13422"/>
    <w:rsid w:val="00C13B32"/>
    <w:rsid w:val="00C13EE5"/>
    <w:rsid w:val="00C13F15"/>
    <w:rsid w:val="00C14355"/>
    <w:rsid w:val="00C14640"/>
    <w:rsid w:val="00C1526C"/>
    <w:rsid w:val="00C159E0"/>
    <w:rsid w:val="00C16D3B"/>
    <w:rsid w:val="00C16E61"/>
    <w:rsid w:val="00C17038"/>
    <w:rsid w:val="00C17B6F"/>
    <w:rsid w:val="00C17CC4"/>
    <w:rsid w:val="00C2016F"/>
    <w:rsid w:val="00C207FB"/>
    <w:rsid w:val="00C20FD8"/>
    <w:rsid w:val="00C2205F"/>
    <w:rsid w:val="00C227C3"/>
    <w:rsid w:val="00C22DAE"/>
    <w:rsid w:val="00C23D4C"/>
    <w:rsid w:val="00C24C71"/>
    <w:rsid w:val="00C25ED5"/>
    <w:rsid w:val="00C2682D"/>
    <w:rsid w:val="00C2795E"/>
    <w:rsid w:val="00C30501"/>
    <w:rsid w:val="00C30CCD"/>
    <w:rsid w:val="00C31CD0"/>
    <w:rsid w:val="00C34184"/>
    <w:rsid w:val="00C351D0"/>
    <w:rsid w:val="00C360A1"/>
    <w:rsid w:val="00C36180"/>
    <w:rsid w:val="00C3636F"/>
    <w:rsid w:val="00C368AD"/>
    <w:rsid w:val="00C36956"/>
    <w:rsid w:val="00C36E55"/>
    <w:rsid w:val="00C36EFE"/>
    <w:rsid w:val="00C37C53"/>
    <w:rsid w:val="00C401D1"/>
    <w:rsid w:val="00C40612"/>
    <w:rsid w:val="00C40DA7"/>
    <w:rsid w:val="00C4131C"/>
    <w:rsid w:val="00C414BC"/>
    <w:rsid w:val="00C416CE"/>
    <w:rsid w:val="00C41DF0"/>
    <w:rsid w:val="00C421BE"/>
    <w:rsid w:val="00C446E3"/>
    <w:rsid w:val="00C45415"/>
    <w:rsid w:val="00C457D8"/>
    <w:rsid w:val="00C46976"/>
    <w:rsid w:val="00C515EA"/>
    <w:rsid w:val="00C51609"/>
    <w:rsid w:val="00C520DE"/>
    <w:rsid w:val="00C52D38"/>
    <w:rsid w:val="00C53416"/>
    <w:rsid w:val="00C5365B"/>
    <w:rsid w:val="00C54E1D"/>
    <w:rsid w:val="00C55B38"/>
    <w:rsid w:val="00C55DA7"/>
    <w:rsid w:val="00C561E9"/>
    <w:rsid w:val="00C56433"/>
    <w:rsid w:val="00C572A8"/>
    <w:rsid w:val="00C60B17"/>
    <w:rsid w:val="00C60B37"/>
    <w:rsid w:val="00C61D34"/>
    <w:rsid w:val="00C61E79"/>
    <w:rsid w:val="00C62441"/>
    <w:rsid w:val="00C6308B"/>
    <w:rsid w:val="00C63B56"/>
    <w:rsid w:val="00C64073"/>
    <w:rsid w:val="00C647B5"/>
    <w:rsid w:val="00C64C47"/>
    <w:rsid w:val="00C65A93"/>
    <w:rsid w:val="00C65F36"/>
    <w:rsid w:val="00C65F4B"/>
    <w:rsid w:val="00C66509"/>
    <w:rsid w:val="00C669B9"/>
    <w:rsid w:val="00C7027B"/>
    <w:rsid w:val="00C709A1"/>
    <w:rsid w:val="00C71A56"/>
    <w:rsid w:val="00C729E7"/>
    <w:rsid w:val="00C74D1C"/>
    <w:rsid w:val="00C76EBC"/>
    <w:rsid w:val="00C802CB"/>
    <w:rsid w:val="00C80A4D"/>
    <w:rsid w:val="00C80EAD"/>
    <w:rsid w:val="00C81200"/>
    <w:rsid w:val="00C81B0E"/>
    <w:rsid w:val="00C820B2"/>
    <w:rsid w:val="00C82A3B"/>
    <w:rsid w:val="00C8479A"/>
    <w:rsid w:val="00C84A69"/>
    <w:rsid w:val="00C8575E"/>
    <w:rsid w:val="00C85B2F"/>
    <w:rsid w:val="00C86B91"/>
    <w:rsid w:val="00C86BB7"/>
    <w:rsid w:val="00C8735F"/>
    <w:rsid w:val="00C876E8"/>
    <w:rsid w:val="00C904C9"/>
    <w:rsid w:val="00C9052E"/>
    <w:rsid w:val="00C90E25"/>
    <w:rsid w:val="00C90F40"/>
    <w:rsid w:val="00C9108F"/>
    <w:rsid w:val="00C912B6"/>
    <w:rsid w:val="00C922F8"/>
    <w:rsid w:val="00C93098"/>
    <w:rsid w:val="00C93C4B"/>
    <w:rsid w:val="00C943B2"/>
    <w:rsid w:val="00C94403"/>
    <w:rsid w:val="00C951B4"/>
    <w:rsid w:val="00CA10E0"/>
    <w:rsid w:val="00CA19B4"/>
    <w:rsid w:val="00CA440E"/>
    <w:rsid w:val="00CA51D3"/>
    <w:rsid w:val="00CA57DE"/>
    <w:rsid w:val="00CB16F4"/>
    <w:rsid w:val="00CB29C5"/>
    <w:rsid w:val="00CB3395"/>
    <w:rsid w:val="00CB423A"/>
    <w:rsid w:val="00CB4A75"/>
    <w:rsid w:val="00CB5947"/>
    <w:rsid w:val="00CB643A"/>
    <w:rsid w:val="00CB6FFD"/>
    <w:rsid w:val="00CC2539"/>
    <w:rsid w:val="00CC285F"/>
    <w:rsid w:val="00CC2F1D"/>
    <w:rsid w:val="00CC4217"/>
    <w:rsid w:val="00CC47BC"/>
    <w:rsid w:val="00CC49DB"/>
    <w:rsid w:val="00CC6181"/>
    <w:rsid w:val="00CC693B"/>
    <w:rsid w:val="00CC6B0A"/>
    <w:rsid w:val="00CC6B8A"/>
    <w:rsid w:val="00CD039D"/>
    <w:rsid w:val="00CD03C3"/>
    <w:rsid w:val="00CD095E"/>
    <w:rsid w:val="00CD0F2A"/>
    <w:rsid w:val="00CD139E"/>
    <w:rsid w:val="00CD2494"/>
    <w:rsid w:val="00CD319A"/>
    <w:rsid w:val="00CD34F0"/>
    <w:rsid w:val="00CD3F8D"/>
    <w:rsid w:val="00CD4133"/>
    <w:rsid w:val="00CD554A"/>
    <w:rsid w:val="00CD6427"/>
    <w:rsid w:val="00CE06B5"/>
    <w:rsid w:val="00CE1F21"/>
    <w:rsid w:val="00CE23CC"/>
    <w:rsid w:val="00CE354D"/>
    <w:rsid w:val="00CE48A8"/>
    <w:rsid w:val="00CE5025"/>
    <w:rsid w:val="00CE52ED"/>
    <w:rsid w:val="00CE671F"/>
    <w:rsid w:val="00CE6847"/>
    <w:rsid w:val="00CE6BF0"/>
    <w:rsid w:val="00CE7A87"/>
    <w:rsid w:val="00CF049F"/>
    <w:rsid w:val="00CF1782"/>
    <w:rsid w:val="00CF2563"/>
    <w:rsid w:val="00CF2EB7"/>
    <w:rsid w:val="00CF347D"/>
    <w:rsid w:val="00CF408E"/>
    <w:rsid w:val="00CF4263"/>
    <w:rsid w:val="00CF4AEE"/>
    <w:rsid w:val="00CF4E8D"/>
    <w:rsid w:val="00CF5596"/>
    <w:rsid w:val="00CF5C57"/>
    <w:rsid w:val="00CF5D77"/>
    <w:rsid w:val="00CF6653"/>
    <w:rsid w:val="00CF7794"/>
    <w:rsid w:val="00D006C0"/>
    <w:rsid w:val="00D0126C"/>
    <w:rsid w:val="00D01A2F"/>
    <w:rsid w:val="00D01E19"/>
    <w:rsid w:val="00D0218C"/>
    <w:rsid w:val="00D032A3"/>
    <w:rsid w:val="00D036BC"/>
    <w:rsid w:val="00D0390A"/>
    <w:rsid w:val="00D03C50"/>
    <w:rsid w:val="00D03C58"/>
    <w:rsid w:val="00D04E8E"/>
    <w:rsid w:val="00D05583"/>
    <w:rsid w:val="00D07245"/>
    <w:rsid w:val="00D10681"/>
    <w:rsid w:val="00D10FFF"/>
    <w:rsid w:val="00D126EF"/>
    <w:rsid w:val="00D12908"/>
    <w:rsid w:val="00D12EEC"/>
    <w:rsid w:val="00D12F26"/>
    <w:rsid w:val="00D13BF1"/>
    <w:rsid w:val="00D14F31"/>
    <w:rsid w:val="00D158F7"/>
    <w:rsid w:val="00D16B09"/>
    <w:rsid w:val="00D16CB7"/>
    <w:rsid w:val="00D16E72"/>
    <w:rsid w:val="00D17383"/>
    <w:rsid w:val="00D17DC7"/>
    <w:rsid w:val="00D20BC8"/>
    <w:rsid w:val="00D214C5"/>
    <w:rsid w:val="00D21565"/>
    <w:rsid w:val="00D21A1F"/>
    <w:rsid w:val="00D220AB"/>
    <w:rsid w:val="00D22C28"/>
    <w:rsid w:val="00D22DB3"/>
    <w:rsid w:val="00D22EF6"/>
    <w:rsid w:val="00D24778"/>
    <w:rsid w:val="00D24A5A"/>
    <w:rsid w:val="00D24A9A"/>
    <w:rsid w:val="00D24E25"/>
    <w:rsid w:val="00D24F95"/>
    <w:rsid w:val="00D253A1"/>
    <w:rsid w:val="00D25CB0"/>
    <w:rsid w:val="00D26856"/>
    <w:rsid w:val="00D27AB2"/>
    <w:rsid w:val="00D27B4B"/>
    <w:rsid w:val="00D30DEB"/>
    <w:rsid w:val="00D31AB7"/>
    <w:rsid w:val="00D32BFD"/>
    <w:rsid w:val="00D3307C"/>
    <w:rsid w:val="00D33D6A"/>
    <w:rsid w:val="00D3411B"/>
    <w:rsid w:val="00D34709"/>
    <w:rsid w:val="00D36A77"/>
    <w:rsid w:val="00D36F22"/>
    <w:rsid w:val="00D37B4C"/>
    <w:rsid w:val="00D37D50"/>
    <w:rsid w:val="00D4095F"/>
    <w:rsid w:val="00D40D2C"/>
    <w:rsid w:val="00D41040"/>
    <w:rsid w:val="00D43041"/>
    <w:rsid w:val="00D4452A"/>
    <w:rsid w:val="00D47381"/>
    <w:rsid w:val="00D51350"/>
    <w:rsid w:val="00D52327"/>
    <w:rsid w:val="00D538B7"/>
    <w:rsid w:val="00D53D2F"/>
    <w:rsid w:val="00D55EF3"/>
    <w:rsid w:val="00D56040"/>
    <w:rsid w:val="00D56665"/>
    <w:rsid w:val="00D60670"/>
    <w:rsid w:val="00D60B9A"/>
    <w:rsid w:val="00D613CD"/>
    <w:rsid w:val="00D617F8"/>
    <w:rsid w:val="00D628E6"/>
    <w:rsid w:val="00D629C2"/>
    <w:rsid w:val="00D62A5C"/>
    <w:rsid w:val="00D63C84"/>
    <w:rsid w:val="00D64409"/>
    <w:rsid w:val="00D6514C"/>
    <w:rsid w:val="00D65732"/>
    <w:rsid w:val="00D663B3"/>
    <w:rsid w:val="00D666A6"/>
    <w:rsid w:val="00D66C3F"/>
    <w:rsid w:val="00D67282"/>
    <w:rsid w:val="00D67442"/>
    <w:rsid w:val="00D676EC"/>
    <w:rsid w:val="00D67A99"/>
    <w:rsid w:val="00D69B7C"/>
    <w:rsid w:val="00D70177"/>
    <w:rsid w:val="00D701CF"/>
    <w:rsid w:val="00D73AE7"/>
    <w:rsid w:val="00D744C4"/>
    <w:rsid w:val="00D74902"/>
    <w:rsid w:val="00D74E48"/>
    <w:rsid w:val="00D74F5E"/>
    <w:rsid w:val="00D75A13"/>
    <w:rsid w:val="00D75AE1"/>
    <w:rsid w:val="00D75D2D"/>
    <w:rsid w:val="00D75E39"/>
    <w:rsid w:val="00D76A9A"/>
    <w:rsid w:val="00D8020C"/>
    <w:rsid w:val="00D80AEF"/>
    <w:rsid w:val="00D824C9"/>
    <w:rsid w:val="00D82BAC"/>
    <w:rsid w:val="00D83B49"/>
    <w:rsid w:val="00D84FB0"/>
    <w:rsid w:val="00D86018"/>
    <w:rsid w:val="00D861FB"/>
    <w:rsid w:val="00D863DA"/>
    <w:rsid w:val="00D86FEA"/>
    <w:rsid w:val="00D8774A"/>
    <w:rsid w:val="00D87794"/>
    <w:rsid w:val="00D8792C"/>
    <w:rsid w:val="00D90D79"/>
    <w:rsid w:val="00D91E70"/>
    <w:rsid w:val="00D920E7"/>
    <w:rsid w:val="00D92194"/>
    <w:rsid w:val="00D9284A"/>
    <w:rsid w:val="00D92AEE"/>
    <w:rsid w:val="00D932F9"/>
    <w:rsid w:val="00D939AC"/>
    <w:rsid w:val="00D93C68"/>
    <w:rsid w:val="00D94444"/>
    <w:rsid w:val="00D94BCC"/>
    <w:rsid w:val="00D9519E"/>
    <w:rsid w:val="00D957F8"/>
    <w:rsid w:val="00D95BFC"/>
    <w:rsid w:val="00D96B92"/>
    <w:rsid w:val="00D96CA2"/>
    <w:rsid w:val="00D979E2"/>
    <w:rsid w:val="00DA0476"/>
    <w:rsid w:val="00DA061F"/>
    <w:rsid w:val="00DA1B8F"/>
    <w:rsid w:val="00DA2115"/>
    <w:rsid w:val="00DA2BFC"/>
    <w:rsid w:val="00DA2D96"/>
    <w:rsid w:val="00DA2FCD"/>
    <w:rsid w:val="00DA335F"/>
    <w:rsid w:val="00DA34A4"/>
    <w:rsid w:val="00DA53B0"/>
    <w:rsid w:val="00DA569D"/>
    <w:rsid w:val="00DA5EE0"/>
    <w:rsid w:val="00DA6387"/>
    <w:rsid w:val="00DB06E8"/>
    <w:rsid w:val="00DB0FF6"/>
    <w:rsid w:val="00DB10DA"/>
    <w:rsid w:val="00DB3A2B"/>
    <w:rsid w:val="00DB4239"/>
    <w:rsid w:val="00DB65B6"/>
    <w:rsid w:val="00DB72BE"/>
    <w:rsid w:val="00DB7599"/>
    <w:rsid w:val="00DC182C"/>
    <w:rsid w:val="00DC1EEE"/>
    <w:rsid w:val="00DC208F"/>
    <w:rsid w:val="00DC2823"/>
    <w:rsid w:val="00DC2C0C"/>
    <w:rsid w:val="00DC2FFB"/>
    <w:rsid w:val="00DC3D73"/>
    <w:rsid w:val="00DC3F74"/>
    <w:rsid w:val="00DC4637"/>
    <w:rsid w:val="00DC72BD"/>
    <w:rsid w:val="00DD0D3F"/>
    <w:rsid w:val="00DD18AA"/>
    <w:rsid w:val="00DD1FEF"/>
    <w:rsid w:val="00DD2CEF"/>
    <w:rsid w:val="00DD4565"/>
    <w:rsid w:val="00DD4775"/>
    <w:rsid w:val="00DD4DB8"/>
    <w:rsid w:val="00DD63DC"/>
    <w:rsid w:val="00DD6AC8"/>
    <w:rsid w:val="00DD6CDF"/>
    <w:rsid w:val="00DD75A2"/>
    <w:rsid w:val="00DE023D"/>
    <w:rsid w:val="00DE0E22"/>
    <w:rsid w:val="00DE2F51"/>
    <w:rsid w:val="00DE3A6B"/>
    <w:rsid w:val="00DE3AAB"/>
    <w:rsid w:val="00DE4B75"/>
    <w:rsid w:val="00DE4DC2"/>
    <w:rsid w:val="00DE528D"/>
    <w:rsid w:val="00DE6DEA"/>
    <w:rsid w:val="00DE76A3"/>
    <w:rsid w:val="00DF10F1"/>
    <w:rsid w:val="00DF1840"/>
    <w:rsid w:val="00DF1887"/>
    <w:rsid w:val="00DF2554"/>
    <w:rsid w:val="00DF3BD8"/>
    <w:rsid w:val="00DF6AE0"/>
    <w:rsid w:val="00DF708E"/>
    <w:rsid w:val="00DF7901"/>
    <w:rsid w:val="00DF7A07"/>
    <w:rsid w:val="00DF7DED"/>
    <w:rsid w:val="00E007F6"/>
    <w:rsid w:val="00E00C7C"/>
    <w:rsid w:val="00E02602"/>
    <w:rsid w:val="00E02A4C"/>
    <w:rsid w:val="00E03CC7"/>
    <w:rsid w:val="00E03DFC"/>
    <w:rsid w:val="00E03E9B"/>
    <w:rsid w:val="00E040EC"/>
    <w:rsid w:val="00E0462D"/>
    <w:rsid w:val="00E0478E"/>
    <w:rsid w:val="00E05D5D"/>
    <w:rsid w:val="00E05F46"/>
    <w:rsid w:val="00E06153"/>
    <w:rsid w:val="00E06CA0"/>
    <w:rsid w:val="00E1081A"/>
    <w:rsid w:val="00E1333C"/>
    <w:rsid w:val="00E13447"/>
    <w:rsid w:val="00E1497E"/>
    <w:rsid w:val="00E158E6"/>
    <w:rsid w:val="00E15F2C"/>
    <w:rsid w:val="00E207CF"/>
    <w:rsid w:val="00E20837"/>
    <w:rsid w:val="00E218B2"/>
    <w:rsid w:val="00E21DC1"/>
    <w:rsid w:val="00E229AC"/>
    <w:rsid w:val="00E23ADB"/>
    <w:rsid w:val="00E24094"/>
    <w:rsid w:val="00E24293"/>
    <w:rsid w:val="00E25094"/>
    <w:rsid w:val="00E25994"/>
    <w:rsid w:val="00E25A6C"/>
    <w:rsid w:val="00E269F6"/>
    <w:rsid w:val="00E27A81"/>
    <w:rsid w:val="00E304AF"/>
    <w:rsid w:val="00E30839"/>
    <w:rsid w:val="00E3096C"/>
    <w:rsid w:val="00E31470"/>
    <w:rsid w:val="00E314D2"/>
    <w:rsid w:val="00E31896"/>
    <w:rsid w:val="00E320CA"/>
    <w:rsid w:val="00E32373"/>
    <w:rsid w:val="00E339FF"/>
    <w:rsid w:val="00E34388"/>
    <w:rsid w:val="00E34B01"/>
    <w:rsid w:val="00E34FCA"/>
    <w:rsid w:val="00E353D7"/>
    <w:rsid w:val="00E35E26"/>
    <w:rsid w:val="00E36530"/>
    <w:rsid w:val="00E36611"/>
    <w:rsid w:val="00E3668C"/>
    <w:rsid w:val="00E36C3A"/>
    <w:rsid w:val="00E3705E"/>
    <w:rsid w:val="00E374A1"/>
    <w:rsid w:val="00E400B8"/>
    <w:rsid w:val="00E419A4"/>
    <w:rsid w:val="00E43AF5"/>
    <w:rsid w:val="00E44267"/>
    <w:rsid w:val="00E449C9"/>
    <w:rsid w:val="00E4536C"/>
    <w:rsid w:val="00E45810"/>
    <w:rsid w:val="00E461DE"/>
    <w:rsid w:val="00E46ABB"/>
    <w:rsid w:val="00E46B0E"/>
    <w:rsid w:val="00E46B56"/>
    <w:rsid w:val="00E477A4"/>
    <w:rsid w:val="00E47ADB"/>
    <w:rsid w:val="00E51FCB"/>
    <w:rsid w:val="00E52037"/>
    <w:rsid w:val="00E52831"/>
    <w:rsid w:val="00E53424"/>
    <w:rsid w:val="00E53554"/>
    <w:rsid w:val="00E538CF"/>
    <w:rsid w:val="00E54558"/>
    <w:rsid w:val="00E54619"/>
    <w:rsid w:val="00E548E3"/>
    <w:rsid w:val="00E565C5"/>
    <w:rsid w:val="00E568B1"/>
    <w:rsid w:val="00E5719E"/>
    <w:rsid w:val="00E606ED"/>
    <w:rsid w:val="00E60F98"/>
    <w:rsid w:val="00E61003"/>
    <w:rsid w:val="00E61E87"/>
    <w:rsid w:val="00E622B3"/>
    <w:rsid w:val="00E62505"/>
    <w:rsid w:val="00E62C46"/>
    <w:rsid w:val="00E62F5D"/>
    <w:rsid w:val="00E63057"/>
    <w:rsid w:val="00E64090"/>
    <w:rsid w:val="00E64D07"/>
    <w:rsid w:val="00E66D73"/>
    <w:rsid w:val="00E67113"/>
    <w:rsid w:val="00E672D0"/>
    <w:rsid w:val="00E673C0"/>
    <w:rsid w:val="00E676B8"/>
    <w:rsid w:val="00E67724"/>
    <w:rsid w:val="00E7026E"/>
    <w:rsid w:val="00E704A1"/>
    <w:rsid w:val="00E70771"/>
    <w:rsid w:val="00E70CDC"/>
    <w:rsid w:val="00E71291"/>
    <w:rsid w:val="00E725F4"/>
    <w:rsid w:val="00E72BDE"/>
    <w:rsid w:val="00E72F1D"/>
    <w:rsid w:val="00E73517"/>
    <w:rsid w:val="00E73E84"/>
    <w:rsid w:val="00E742F5"/>
    <w:rsid w:val="00E75A5B"/>
    <w:rsid w:val="00E774CD"/>
    <w:rsid w:val="00E80923"/>
    <w:rsid w:val="00E8160C"/>
    <w:rsid w:val="00E81941"/>
    <w:rsid w:val="00E81BFF"/>
    <w:rsid w:val="00E8239F"/>
    <w:rsid w:val="00E82994"/>
    <w:rsid w:val="00E83C8F"/>
    <w:rsid w:val="00E873B5"/>
    <w:rsid w:val="00E875B7"/>
    <w:rsid w:val="00E90B0D"/>
    <w:rsid w:val="00E90F9C"/>
    <w:rsid w:val="00E91F7A"/>
    <w:rsid w:val="00E943BE"/>
    <w:rsid w:val="00E94474"/>
    <w:rsid w:val="00E94838"/>
    <w:rsid w:val="00E9508A"/>
    <w:rsid w:val="00E9535C"/>
    <w:rsid w:val="00E95B1F"/>
    <w:rsid w:val="00E97592"/>
    <w:rsid w:val="00E976C9"/>
    <w:rsid w:val="00EA06CD"/>
    <w:rsid w:val="00EA0C85"/>
    <w:rsid w:val="00EA1859"/>
    <w:rsid w:val="00EA1B60"/>
    <w:rsid w:val="00EA1BF1"/>
    <w:rsid w:val="00EA1E41"/>
    <w:rsid w:val="00EA1EA5"/>
    <w:rsid w:val="00EA1F88"/>
    <w:rsid w:val="00EA2FA6"/>
    <w:rsid w:val="00EA48F3"/>
    <w:rsid w:val="00EA5651"/>
    <w:rsid w:val="00EA6508"/>
    <w:rsid w:val="00EA6ADB"/>
    <w:rsid w:val="00EA70F5"/>
    <w:rsid w:val="00EB14DF"/>
    <w:rsid w:val="00EB171D"/>
    <w:rsid w:val="00EB1C9F"/>
    <w:rsid w:val="00EB2131"/>
    <w:rsid w:val="00EB2F55"/>
    <w:rsid w:val="00EB4204"/>
    <w:rsid w:val="00EB4346"/>
    <w:rsid w:val="00EB4604"/>
    <w:rsid w:val="00EB5578"/>
    <w:rsid w:val="00EB5B83"/>
    <w:rsid w:val="00EB6ADC"/>
    <w:rsid w:val="00EB6D25"/>
    <w:rsid w:val="00EB6D45"/>
    <w:rsid w:val="00EB7A0B"/>
    <w:rsid w:val="00EC06F8"/>
    <w:rsid w:val="00EC0A0A"/>
    <w:rsid w:val="00EC1CBA"/>
    <w:rsid w:val="00EC2391"/>
    <w:rsid w:val="00EC2CEE"/>
    <w:rsid w:val="00EC3E98"/>
    <w:rsid w:val="00EC4736"/>
    <w:rsid w:val="00EC4741"/>
    <w:rsid w:val="00EC5070"/>
    <w:rsid w:val="00EC54A7"/>
    <w:rsid w:val="00EC5CEB"/>
    <w:rsid w:val="00EC61E3"/>
    <w:rsid w:val="00EC61F1"/>
    <w:rsid w:val="00EC6278"/>
    <w:rsid w:val="00EC63AE"/>
    <w:rsid w:val="00EC64A5"/>
    <w:rsid w:val="00EC69DE"/>
    <w:rsid w:val="00EC6A6A"/>
    <w:rsid w:val="00EC77A3"/>
    <w:rsid w:val="00EC7B6E"/>
    <w:rsid w:val="00ED0090"/>
    <w:rsid w:val="00ED01C4"/>
    <w:rsid w:val="00ED0673"/>
    <w:rsid w:val="00ED0B3F"/>
    <w:rsid w:val="00ED0D40"/>
    <w:rsid w:val="00ED0F41"/>
    <w:rsid w:val="00ED1703"/>
    <w:rsid w:val="00ED1B21"/>
    <w:rsid w:val="00ED1FCD"/>
    <w:rsid w:val="00ED4CC0"/>
    <w:rsid w:val="00ED5027"/>
    <w:rsid w:val="00ED55DE"/>
    <w:rsid w:val="00ED5E76"/>
    <w:rsid w:val="00ED5FD5"/>
    <w:rsid w:val="00ED6075"/>
    <w:rsid w:val="00ED75A5"/>
    <w:rsid w:val="00EE032E"/>
    <w:rsid w:val="00EE0A87"/>
    <w:rsid w:val="00EE0AC8"/>
    <w:rsid w:val="00EE1672"/>
    <w:rsid w:val="00EE171F"/>
    <w:rsid w:val="00EE1C91"/>
    <w:rsid w:val="00EE33DF"/>
    <w:rsid w:val="00EE4289"/>
    <w:rsid w:val="00EE4461"/>
    <w:rsid w:val="00EE58D5"/>
    <w:rsid w:val="00EE5D0F"/>
    <w:rsid w:val="00EE62B3"/>
    <w:rsid w:val="00EE62FC"/>
    <w:rsid w:val="00EE6E75"/>
    <w:rsid w:val="00EE76CC"/>
    <w:rsid w:val="00EF16F5"/>
    <w:rsid w:val="00EF1854"/>
    <w:rsid w:val="00EF2296"/>
    <w:rsid w:val="00EF27E5"/>
    <w:rsid w:val="00EF37E5"/>
    <w:rsid w:val="00EF3B0F"/>
    <w:rsid w:val="00EF43E3"/>
    <w:rsid w:val="00EF4BD8"/>
    <w:rsid w:val="00EF4F34"/>
    <w:rsid w:val="00EF6713"/>
    <w:rsid w:val="00EF71F6"/>
    <w:rsid w:val="00F0069C"/>
    <w:rsid w:val="00F00B93"/>
    <w:rsid w:val="00F00C3D"/>
    <w:rsid w:val="00F01690"/>
    <w:rsid w:val="00F01E5D"/>
    <w:rsid w:val="00F02232"/>
    <w:rsid w:val="00F0292F"/>
    <w:rsid w:val="00F02EAC"/>
    <w:rsid w:val="00F03C17"/>
    <w:rsid w:val="00F0444B"/>
    <w:rsid w:val="00F050F5"/>
    <w:rsid w:val="00F0519F"/>
    <w:rsid w:val="00F055E9"/>
    <w:rsid w:val="00F059AE"/>
    <w:rsid w:val="00F06001"/>
    <w:rsid w:val="00F061E5"/>
    <w:rsid w:val="00F07D5F"/>
    <w:rsid w:val="00F12043"/>
    <w:rsid w:val="00F120ED"/>
    <w:rsid w:val="00F1308D"/>
    <w:rsid w:val="00F13738"/>
    <w:rsid w:val="00F152EB"/>
    <w:rsid w:val="00F15A6E"/>
    <w:rsid w:val="00F179D2"/>
    <w:rsid w:val="00F205F7"/>
    <w:rsid w:val="00F21146"/>
    <w:rsid w:val="00F2194E"/>
    <w:rsid w:val="00F21A95"/>
    <w:rsid w:val="00F2273C"/>
    <w:rsid w:val="00F22B89"/>
    <w:rsid w:val="00F2337C"/>
    <w:rsid w:val="00F233BE"/>
    <w:rsid w:val="00F23BC2"/>
    <w:rsid w:val="00F2461C"/>
    <w:rsid w:val="00F24BED"/>
    <w:rsid w:val="00F263F8"/>
    <w:rsid w:val="00F26926"/>
    <w:rsid w:val="00F27AB7"/>
    <w:rsid w:val="00F3150E"/>
    <w:rsid w:val="00F31ED3"/>
    <w:rsid w:val="00F31F85"/>
    <w:rsid w:val="00F3220A"/>
    <w:rsid w:val="00F32D80"/>
    <w:rsid w:val="00F3451B"/>
    <w:rsid w:val="00F355EB"/>
    <w:rsid w:val="00F35855"/>
    <w:rsid w:val="00F359A9"/>
    <w:rsid w:val="00F366D4"/>
    <w:rsid w:val="00F37A1A"/>
    <w:rsid w:val="00F41012"/>
    <w:rsid w:val="00F4136C"/>
    <w:rsid w:val="00F41AF3"/>
    <w:rsid w:val="00F42AE2"/>
    <w:rsid w:val="00F42E35"/>
    <w:rsid w:val="00F437A2"/>
    <w:rsid w:val="00F43BB6"/>
    <w:rsid w:val="00F442FE"/>
    <w:rsid w:val="00F46177"/>
    <w:rsid w:val="00F46721"/>
    <w:rsid w:val="00F50F2C"/>
    <w:rsid w:val="00F520F4"/>
    <w:rsid w:val="00F52E83"/>
    <w:rsid w:val="00F530E9"/>
    <w:rsid w:val="00F544D1"/>
    <w:rsid w:val="00F54D67"/>
    <w:rsid w:val="00F57C09"/>
    <w:rsid w:val="00F602B8"/>
    <w:rsid w:val="00F60928"/>
    <w:rsid w:val="00F62308"/>
    <w:rsid w:val="00F627DF"/>
    <w:rsid w:val="00F6293A"/>
    <w:rsid w:val="00F6304F"/>
    <w:rsid w:val="00F63297"/>
    <w:rsid w:val="00F6364B"/>
    <w:rsid w:val="00F64DE5"/>
    <w:rsid w:val="00F6547E"/>
    <w:rsid w:val="00F674EA"/>
    <w:rsid w:val="00F676F2"/>
    <w:rsid w:val="00F67A7C"/>
    <w:rsid w:val="00F67C73"/>
    <w:rsid w:val="00F67ECD"/>
    <w:rsid w:val="00F70500"/>
    <w:rsid w:val="00F70762"/>
    <w:rsid w:val="00F71F65"/>
    <w:rsid w:val="00F72392"/>
    <w:rsid w:val="00F7273B"/>
    <w:rsid w:val="00F728E4"/>
    <w:rsid w:val="00F72CE4"/>
    <w:rsid w:val="00F73E02"/>
    <w:rsid w:val="00F75C10"/>
    <w:rsid w:val="00F75FB1"/>
    <w:rsid w:val="00F76F51"/>
    <w:rsid w:val="00F8025C"/>
    <w:rsid w:val="00F80A2E"/>
    <w:rsid w:val="00F81932"/>
    <w:rsid w:val="00F81B88"/>
    <w:rsid w:val="00F83D1A"/>
    <w:rsid w:val="00F85AFE"/>
    <w:rsid w:val="00F87109"/>
    <w:rsid w:val="00F8725C"/>
    <w:rsid w:val="00F875BA"/>
    <w:rsid w:val="00F87795"/>
    <w:rsid w:val="00F905AD"/>
    <w:rsid w:val="00F91375"/>
    <w:rsid w:val="00F91A35"/>
    <w:rsid w:val="00F92330"/>
    <w:rsid w:val="00F9423A"/>
    <w:rsid w:val="00F94C92"/>
    <w:rsid w:val="00F97151"/>
    <w:rsid w:val="00F97B50"/>
    <w:rsid w:val="00FA1602"/>
    <w:rsid w:val="00FA1BD1"/>
    <w:rsid w:val="00FA1EFB"/>
    <w:rsid w:val="00FA2CF7"/>
    <w:rsid w:val="00FA2E56"/>
    <w:rsid w:val="00FA30DA"/>
    <w:rsid w:val="00FA3501"/>
    <w:rsid w:val="00FA39C1"/>
    <w:rsid w:val="00FA3D76"/>
    <w:rsid w:val="00FA439C"/>
    <w:rsid w:val="00FA4A42"/>
    <w:rsid w:val="00FA4B9E"/>
    <w:rsid w:val="00FA4E06"/>
    <w:rsid w:val="00FA512B"/>
    <w:rsid w:val="00FA6AB6"/>
    <w:rsid w:val="00FA70AE"/>
    <w:rsid w:val="00FA72E8"/>
    <w:rsid w:val="00FA752D"/>
    <w:rsid w:val="00FA799E"/>
    <w:rsid w:val="00FA7E24"/>
    <w:rsid w:val="00FB131F"/>
    <w:rsid w:val="00FB1428"/>
    <w:rsid w:val="00FB3706"/>
    <w:rsid w:val="00FB3AAD"/>
    <w:rsid w:val="00FB5190"/>
    <w:rsid w:val="00FB521E"/>
    <w:rsid w:val="00FB5CAE"/>
    <w:rsid w:val="00FB6521"/>
    <w:rsid w:val="00FC0301"/>
    <w:rsid w:val="00FC08B6"/>
    <w:rsid w:val="00FC0E41"/>
    <w:rsid w:val="00FC1B96"/>
    <w:rsid w:val="00FC345D"/>
    <w:rsid w:val="00FC35DF"/>
    <w:rsid w:val="00FC47FF"/>
    <w:rsid w:val="00FC4F94"/>
    <w:rsid w:val="00FC591A"/>
    <w:rsid w:val="00FC5A65"/>
    <w:rsid w:val="00FC773B"/>
    <w:rsid w:val="00FD088A"/>
    <w:rsid w:val="00FD28EA"/>
    <w:rsid w:val="00FD2E88"/>
    <w:rsid w:val="00FD38BF"/>
    <w:rsid w:val="00FD3B17"/>
    <w:rsid w:val="00FD3F61"/>
    <w:rsid w:val="00FD3F83"/>
    <w:rsid w:val="00FD4953"/>
    <w:rsid w:val="00FD5AFB"/>
    <w:rsid w:val="00FE04DB"/>
    <w:rsid w:val="00FE08AA"/>
    <w:rsid w:val="00FE0F25"/>
    <w:rsid w:val="00FE167B"/>
    <w:rsid w:val="00FE1743"/>
    <w:rsid w:val="00FE209C"/>
    <w:rsid w:val="00FE2468"/>
    <w:rsid w:val="00FE309D"/>
    <w:rsid w:val="00FE591F"/>
    <w:rsid w:val="00FE6A01"/>
    <w:rsid w:val="00FE72CB"/>
    <w:rsid w:val="00FE743B"/>
    <w:rsid w:val="00FE7DCF"/>
    <w:rsid w:val="00FF0A9B"/>
    <w:rsid w:val="00FF16F7"/>
    <w:rsid w:val="00FF1C1A"/>
    <w:rsid w:val="00FF2481"/>
    <w:rsid w:val="00FF2B37"/>
    <w:rsid w:val="00FF3689"/>
    <w:rsid w:val="00FF3CA2"/>
    <w:rsid w:val="00FF4131"/>
    <w:rsid w:val="00FF4190"/>
    <w:rsid w:val="00FF4385"/>
    <w:rsid w:val="00FF4B2A"/>
    <w:rsid w:val="00FF4D86"/>
    <w:rsid w:val="00FF5F45"/>
    <w:rsid w:val="00FF68ED"/>
    <w:rsid w:val="00FF77D5"/>
    <w:rsid w:val="00FF7F2D"/>
    <w:rsid w:val="013CA426"/>
    <w:rsid w:val="01E2D80C"/>
    <w:rsid w:val="01FFAA1B"/>
    <w:rsid w:val="02385534"/>
    <w:rsid w:val="0242F815"/>
    <w:rsid w:val="024C7AE8"/>
    <w:rsid w:val="025E7F9C"/>
    <w:rsid w:val="0261CC16"/>
    <w:rsid w:val="0290A9AA"/>
    <w:rsid w:val="02E12732"/>
    <w:rsid w:val="02F1FB94"/>
    <w:rsid w:val="03013284"/>
    <w:rsid w:val="033232FC"/>
    <w:rsid w:val="03349228"/>
    <w:rsid w:val="033C3031"/>
    <w:rsid w:val="036766BB"/>
    <w:rsid w:val="03714967"/>
    <w:rsid w:val="039B8E76"/>
    <w:rsid w:val="03A874C9"/>
    <w:rsid w:val="04255D96"/>
    <w:rsid w:val="045CB174"/>
    <w:rsid w:val="0461CFB2"/>
    <w:rsid w:val="0468E36D"/>
    <w:rsid w:val="048285EA"/>
    <w:rsid w:val="05878374"/>
    <w:rsid w:val="06088B99"/>
    <w:rsid w:val="063A2E2E"/>
    <w:rsid w:val="06E23FDC"/>
    <w:rsid w:val="070CEEBC"/>
    <w:rsid w:val="0717525B"/>
    <w:rsid w:val="08045823"/>
    <w:rsid w:val="08F45D08"/>
    <w:rsid w:val="09378556"/>
    <w:rsid w:val="0938ADC5"/>
    <w:rsid w:val="0962224E"/>
    <w:rsid w:val="0965C42C"/>
    <w:rsid w:val="09960127"/>
    <w:rsid w:val="09A0773D"/>
    <w:rsid w:val="09B047B3"/>
    <w:rsid w:val="0A0B1554"/>
    <w:rsid w:val="0A162F81"/>
    <w:rsid w:val="0A4FB69B"/>
    <w:rsid w:val="0A51BC39"/>
    <w:rsid w:val="0A5C90C7"/>
    <w:rsid w:val="0A87DB29"/>
    <w:rsid w:val="0AC90E74"/>
    <w:rsid w:val="0B12AB55"/>
    <w:rsid w:val="0B137F0E"/>
    <w:rsid w:val="0B3BF602"/>
    <w:rsid w:val="0B546288"/>
    <w:rsid w:val="0B9E1224"/>
    <w:rsid w:val="0BB300DA"/>
    <w:rsid w:val="0BEA8B78"/>
    <w:rsid w:val="0C095248"/>
    <w:rsid w:val="0C2A82D5"/>
    <w:rsid w:val="0C55CEDD"/>
    <w:rsid w:val="0C8B55C1"/>
    <w:rsid w:val="0C9EAE5A"/>
    <w:rsid w:val="0D1872B1"/>
    <w:rsid w:val="0D1E3813"/>
    <w:rsid w:val="0D3CC2F4"/>
    <w:rsid w:val="0D7D1036"/>
    <w:rsid w:val="0D985CF1"/>
    <w:rsid w:val="0D9FD0A7"/>
    <w:rsid w:val="0DE23090"/>
    <w:rsid w:val="0DE32BE1"/>
    <w:rsid w:val="0DE3E293"/>
    <w:rsid w:val="0DEB6466"/>
    <w:rsid w:val="0E43C42E"/>
    <w:rsid w:val="0EACD0CF"/>
    <w:rsid w:val="0ECD973E"/>
    <w:rsid w:val="0F06BAA0"/>
    <w:rsid w:val="0F12B220"/>
    <w:rsid w:val="0FA4B65A"/>
    <w:rsid w:val="0FD885AA"/>
    <w:rsid w:val="0FD8D053"/>
    <w:rsid w:val="0FF83FC7"/>
    <w:rsid w:val="1015A8B9"/>
    <w:rsid w:val="1022B7C3"/>
    <w:rsid w:val="10265AE4"/>
    <w:rsid w:val="10760C49"/>
    <w:rsid w:val="107B1DBA"/>
    <w:rsid w:val="10F871DA"/>
    <w:rsid w:val="1125951A"/>
    <w:rsid w:val="112E956B"/>
    <w:rsid w:val="119E22F6"/>
    <w:rsid w:val="11F4AE7B"/>
    <w:rsid w:val="1211CC04"/>
    <w:rsid w:val="12A6464B"/>
    <w:rsid w:val="12D0DDE6"/>
    <w:rsid w:val="12D22A21"/>
    <w:rsid w:val="12DF4C37"/>
    <w:rsid w:val="1323E7F9"/>
    <w:rsid w:val="1356C26E"/>
    <w:rsid w:val="136CBC9C"/>
    <w:rsid w:val="13A63B5A"/>
    <w:rsid w:val="13A9FC27"/>
    <w:rsid w:val="14321DBF"/>
    <w:rsid w:val="14C4D58B"/>
    <w:rsid w:val="14D7F2EF"/>
    <w:rsid w:val="14ECAC3B"/>
    <w:rsid w:val="14F96CCC"/>
    <w:rsid w:val="150A69F2"/>
    <w:rsid w:val="15358EE3"/>
    <w:rsid w:val="1535E6E6"/>
    <w:rsid w:val="158EDB5E"/>
    <w:rsid w:val="162275AC"/>
    <w:rsid w:val="1624DBC0"/>
    <w:rsid w:val="165C95AE"/>
    <w:rsid w:val="165F846B"/>
    <w:rsid w:val="16680B17"/>
    <w:rsid w:val="1712252F"/>
    <w:rsid w:val="171904D6"/>
    <w:rsid w:val="173C5092"/>
    <w:rsid w:val="173FAA59"/>
    <w:rsid w:val="178D835A"/>
    <w:rsid w:val="179C21AC"/>
    <w:rsid w:val="17D3CC0D"/>
    <w:rsid w:val="18B146CA"/>
    <w:rsid w:val="18C371ED"/>
    <w:rsid w:val="18C803BC"/>
    <w:rsid w:val="18D0D8E1"/>
    <w:rsid w:val="18EEAD3D"/>
    <w:rsid w:val="19009E45"/>
    <w:rsid w:val="19026326"/>
    <w:rsid w:val="191CADF0"/>
    <w:rsid w:val="196473B1"/>
    <w:rsid w:val="19AFEFC6"/>
    <w:rsid w:val="19F599D6"/>
    <w:rsid w:val="1A703134"/>
    <w:rsid w:val="1AA739CD"/>
    <w:rsid w:val="1AEADDF1"/>
    <w:rsid w:val="1B141F27"/>
    <w:rsid w:val="1B679EC6"/>
    <w:rsid w:val="1BDAC093"/>
    <w:rsid w:val="1C69FAA5"/>
    <w:rsid w:val="1C8B0CC5"/>
    <w:rsid w:val="1CA526BD"/>
    <w:rsid w:val="1CE417B2"/>
    <w:rsid w:val="1CFB71A3"/>
    <w:rsid w:val="1CFFB68E"/>
    <w:rsid w:val="1D0AF244"/>
    <w:rsid w:val="1D3AF2FB"/>
    <w:rsid w:val="1D5571B1"/>
    <w:rsid w:val="1D78D46C"/>
    <w:rsid w:val="1D8EC6E7"/>
    <w:rsid w:val="1D93F0E8"/>
    <w:rsid w:val="1DBE12E4"/>
    <w:rsid w:val="1DC6DA47"/>
    <w:rsid w:val="1DE1A18C"/>
    <w:rsid w:val="1E02EA8A"/>
    <w:rsid w:val="1E28FCCA"/>
    <w:rsid w:val="1EC1AF73"/>
    <w:rsid w:val="1EDCFF04"/>
    <w:rsid w:val="1EE54FAA"/>
    <w:rsid w:val="1F5D5A4B"/>
    <w:rsid w:val="2090D2F0"/>
    <w:rsid w:val="2095C69A"/>
    <w:rsid w:val="214D5C44"/>
    <w:rsid w:val="215E1059"/>
    <w:rsid w:val="21CB41C3"/>
    <w:rsid w:val="224FA1B1"/>
    <w:rsid w:val="22945356"/>
    <w:rsid w:val="22EE55A6"/>
    <w:rsid w:val="23638038"/>
    <w:rsid w:val="236769D1"/>
    <w:rsid w:val="236C1054"/>
    <w:rsid w:val="236C540E"/>
    <w:rsid w:val="238102CE"/>
    <w:rsid w:val="2392F776"/>
    <w:rsid w:val="23B3DABB"/>
    <w:rsid w:val="23D77AEE"/>
    <w:rsid w:val="23E11E81"/>
    <w:rsid w:val="2405D86A"/>
    <w:rsid w:val="240E83EC"/>
    <w:rsid w:val="243C0D58"/>
    <w:rsid w:val="247304F6"/>
    <w:rsid w:val="24A4D1E3"/>
    <w:rsid w:val="2517557E"/>
    <w:rsid w:val="256193F2"/>
    <w:rsid w:val="258B74A5"/>
    <w:rsid w:val="25908C08"/>
    <w:rsid w:val="259B75B8"/>
    <w:rsid w:val="25ADC3CF"/>
    <w:rsid w:val="25E26D81"/>
    <w:rsid w:val="25F237AA"/>
    <w:rsid w:val="260626C9"/>
    <w:rsid w:val="260C3F3E"/>
    <w:rsid w:val="2634A795"/>
    <w:rsid w:val="267B9EE1"/>
    <w:rsid w:val="2689D5C5"/>
    <w:rsid w:val="269A7784"/>
    <w:rsid w:val="26BA660D"/>
    <w:rsid w:val="26F9EA7B"/>
    <w:rsid w:val="2726633B"/>
    <w:rsid w:val="2745A3E3"/>
    <w:rsid w:val="277C72A7"/>
    <w:rsid w:val="277D50A6"/>
    <w:rsid w:val="27AC7E1C"/>
    <w:rsid w:val="27ACD9F5"/>
    <w:rsid w:val="27EE4F7D"/>
    <w:rsid w:val="284E3FB6"/>
    <w:rsid w:val="28554F32"/>
    <w:rsid w:val="2879A8EC"/>
    <w:rsid w:val="289466E7"/>
    <w:rsid w:val="28A35745"/>
    <w:rsid w:val="28ED15E2"/>
    <w:rsid w:val="29287BCC"/>
    <w:rsid w:val="29408C84"/>
    <w:rsid w:val="2A20EA0C"/>
    <w:rsid w:val="2B0FEC0F"/>
    <w:rsid w:val="2B2B2B90"/>
    <w:rsid w:val="2B5D24BB"/>
    <w:rsid w:val="2B60A4D5"/>
    <w:rsid w:val="2B6A2415"/>
    <w:rsid w:val="2BA9674D"/>
    <w:rsid w:val="2BC86793"/>
    <w:rsid w:val="2BDE6D83"/>
    <w:rsid w:val="2C11BF8D"/>
    <w:rsid w:val="2D2A6464"/>
    <w:rsid w:val="2D827590"/>
    <w:rsid w:val="2E3166AB"/>
    <w:rsid w:val="2E3644DA"/>
    <w:rsid w:val="2E440164"/>
    <w:rsid w:val="2E97F2A1"/>
    <w:rsid w:val="2EA9E447"/>
    <w:rsid w:val="2EFE7340"/>
    <w:rsid w:val="2F1AA626"/>
    <w:rsid w:val="2F410D57"/>
    <w:rsid w:val="2F79E104"/>
    <w:rsid w:val="2FCC0B3E"/>
    <w:rsid w:val="30138D28"/>
    <w:rsid w:val="309D0B1E"/>
    <w:rsid w:val="30FA0F78"/>
    <w:rsid w:val="30FD3350"/>
    <w:rsid w:val="31372FCC"/>
    <w:rsid w:val="3142EDFA"/>
    <w:rsid w:val="328064E2"/>
    <w:rsid w:val="329877D2"/>
    <w:rsid w:val="330CC730"/>
    <w:rsid w:val="332450F6"/>
    <w:rsid w:val="33ADE81C"/>
    <w:rsid w:val="33EDAA7D"/>
    <w:rsid w:val="34336756"/>
    <w:rsid w:val="343415F8"/>
    <w:rsid w:val="345CE205"/>
    <w:rsid w:val="346CCB28"/>
    <w:rsid w:val="347E204F"/>
    <w:rsid w:val="34A5D172"/>
    <w:rsid w:val="34DDDEE6"/>
    <w:rsid w:val="34FAC376"/>
    <w:rsid w:val="35159AEB"/>
    <w:rsid w:val="35321094"/>
    <w:rsid w:val="3592EC30"/>
    <w:rsid w:val="359892FF"/>
    <w:rsid w:val="35C021A8"/>
    <w:rsid w:val="35C5A17B"/>
    <w:rsid w:val="35D37B0C"/>
    <w:rsid w:val="35EA461F"/>
    <w:rsid w:val="35EABA1E"/>
    <w:rsid w:val="35F8E67B"/>
    <w:rsid w:val="3616C85B"/>
    <w:rsid w:val="365FD628"/>
    <w:rsid w:val="366B57BE"/>
    <w:rsid w:val="3677380D"/>
    <w:rsid w:val="36E3F512"/>
    <w:rsid w:val="36ED7D5D"/>
    <w:rsid w:val="36FF928D"/>
    <w:rsid w:val="372EEF4E"/>
    <w:rsid w:val="376EC203"/>
    <w:rsid w:val="3796228B"/>
    <w:rsid w:val="37B98760"/>
    <w:rsid w:val="37C0DD1D"/>
    <w:rsid w:val="37FBAB5C"/>
    <w:rsid w:val="381B6013"/>
    <w:rsid w:val="38251B59"/>
    <w:rsid w:val="38254F36"/>
    <w:rsid w:val="386C604D"/>
    <w:rsid w:val="38A48B24"/>
    <w:rsid w:val="38DA83B2"/>
    <w:rsid w:val="38DB90D0"/>
    <w:rsid w:val="391F7254"/>
    <w:rsid w:val="397CC403"/>
    <w:rsid w:val="399002AF"/>
    <w:rsid w:val="3B023C5D"/>
    <w:rsid w:val="3BC35C75"/>
    <w:rsid w:val="3BDCAE71"/>
    <w:rsid w:val="3C3D2C61"/>
    <w:rsid w:val="3C418F15"/>
    <w:rsid w:val="3CBBC6F3"/>
    <w:rsid w:val="3CCDF2D6"/>
    <w:rsid w:val="3CD448CF"/>
    <w:rsid w:val="3D236216"/>
    <w:rsid w:val="3D7AAA46"/>
    <w:rsid w:val="3DA9EFC8"/>
    <w:rsid w:val="3DDF8E99"/>
    <w:rsid w:val="3DEA9B50"/>
    <w:rsid w:val="3E1CFA9D"/>
    <w:rsid w:val="3E31DCBC"/>
    <w:rsid w:val="3E8A21EA"/>
    <w:rsid w:val="3EBE533E"/>
    <w:rsid w:val="3F0AF487"/>
    <w:rsid w:val="3F183C5F"/>
    <w:rsid w:val="3F325868"/>
    <w:rsid w:val="3F3E55D2"/>
    <w:rsid w:val="4012DFC9"/>
    <w:rsid w:val="401FFA42"/>
    <w:rsid w:val="405A0354"/>
    <w:rsid w:val="408AE88B"/>
    <w:rsid w:val="40BFCCDA"/>
    <w:rsid w:val="41027021"/>
    <w:rsid w:val="4124514F"/>
    <w:rsid w:val="41863D99"/>
    <w:rsid w:val="41C28EF6"/>
    <w:rsid w:val="41F9B287"/>
    <w:rsid w:val="42302BDB"/>
    <w:rsid w:val="423BC13E"/>
    <w:rsid w:val="42487C3F"/>
    <w:rsid w:val="425DFFCB"/>
    <w:rsid w:val="42DA9024"/>
    <w:rsid w:val="42FF6A90"/>
    <w:rsid w:val="43C9E8B2"/>
    <w:rsid w:val="442FFDDD"/>
    <w:rsid w:val="44453604"/>
    <w:rsid w:val="4499C890"/>
    <w:rsid w:val="4502DAB3"/>
    <w:rsid w:val="452F3104"/>
    <w:rsid w:val="453FEE94"/>
    <w:rsid w:val="45419427"/>
    <w:rsid w:val="45465665"/>
    <w:rsid w:val="456F3E33"/>
    <w:rsid w:val="459CE3A0"/>
    <w:rsid w:val="460C8CA4"/>
    <w:rsid w:val="467971A7"/>
    <w:rsid w:val="468AB7EB"/>
    <w:rsid w:val="4721B343"/>
    <w:rsid w:val="4748B701"/>
    <w:rsid w:val="474DC6F9"/>
    <w:rsid w:val="4751BBC2"/>
    <w:rsid w:val="47570A6D"/>
    <w:rsid w:val="4801A0D2"/>
    <w:rsid w:val="48226CDF"/>
    <w:rsid w:val="488500FF"/>
    <w:rsid w:val="489DCF7D"/>
    <w:rsid w:val="4901B685"/>
    <w:rsid w:val="497C0608"/>
    <w:rsid w:val="49831571"/>
    <w:rsid w:val="499ADD18"/>
    <w:rsid w:val="49DC21A5"/>
    <w:rsid w:val="4A40B228"/>
    <w:rsid w:val="4A8122FC"/>
    <w:rsid w:val="4A8338CB"/>
    <w:rsid w:val="4B44E07F"/>
    <w:rsid w:val="4B5AC23F"/>
    <w:rsid w:val="4B5D5227"/>
    <w:rsid w:val="4B8691FB"/>
    <w:rsid w:val="4BE89131"/>
    <w:rsid w:val="4C2ED076"/>
    <w:rsid w:val="4C3F45B9"/>
    <w:rsid w:val="4C90BD32"/>
    <w:rsid w:val="4CF231C2"/>
    <w:rsid w:val="4D1445D7"/>
    <w:rsid w:val="4D2950DF"/>
    <w:rsid w:val="4D796EE0"/>
    <w:rsid w:val="4D7A0ED8"/>
    <w:rsid w:val="4DA513BD"/>
    <w:rsid w:val="4DDC5E91"/>
    <w:rsid w:val="4E6EB055"/>
    <w:rsid w:val="4E7260A3"/>
    <w:rsid w:val="4EBBBF61"/>
    <w:rsid w:val="4EE74A37"/>
    <w:rsid w:val="4F0AD3CB"/>
    <w:rsid w:val="4F4D67C5"/>
    <w:rsid w:val="4FFAD9CB"/>
    <w:rsid w:val="501FB731"/>
    <w:rsid w:val="50E4762C"/>
    <w:rsid w:val="514E150B"/>
    <w:rsid w:val="51536547"/>
    <w:rsid w:val="51814792"/>
    <w:rsid w:val="51DF80AD"/>
    <w:rsid w:val="5207DCE8"/>
    <w:rsid w:val="521C45F0"/>
    <w:rsid w:val="524661D5"/>
    <w:rsid w:val="52DC4043"/>
    <w:rsid w:val="53A49C75"/>
    <w:rsid w:val="53AD9997"/>
    <w:rsid w:val="53C60AD4"/>
    <w:rsid w:val="541BA0C0"/>
    <w:rsid w:val="541D3F7B"/>
    <w:rsid w:val="548C2B0A"/>
    <w:rsid w:val="54B0320F"/>
    <w:rsid w:val="54B0C320"/>
    <w:rsid w:val="54BF91B6"/>
    <w:rsid w:val="54EA1336"/>
    <w:rsid w:val="552F494D"/>
    <w:rsid w:val="55A6F413"/>
    <w:rsid w:val="55D53D9C"/>
    <w:rsid w:val="55F89F4A"/>
    <w:rsid w:val="56271616"/>
    <w:rsid w:val="5632E24C"/>
    <w:rsid w:val="57020EA5"/>
    <w:rsid w:val="5719E684"/>
    <w:rsid w:val="571C9ED6"/>
    <w:rsid w:val="57261D26"/>
    <w:rsid w:val="574BC931"/>
    <w:rsid w:val="574F2FAC"/>
    <w:rsid w:val="574FD14E"/>
    <w:rsid w:val="5754D1B4"/>
    <w:rsid w:val="57812EE4"/>
    <w:rsid w:val="5785E863"/>
    <w:rsid w:val="57D0D63F"/>
    <w:rsid w:val="57D453B3"/>
    <w:rsid w:val="57FA239E"/>
    <w:rsid w:val="581E26B1"/>
    <w:rsid w:val="58330943"/>
    <w:rsid w:val="5847EF08"/>
    <w:rsid w:val="58544C34"/>
    <w:rsid w:val="58E59224"/>
    <w:rsid w:val="58E69392"/>
    <w:rsid w:val="58F26661"/>
    <w:rsid w:val="5922C16E"/>
    <w:rsid w:val="595A5818"/>
    <w:rsid w:val="596131F1"/>
    <w:rsid w:val="597A347E"/>
    <w:rsid w:val="59B1CBEF"/>
    <w:rsid w:val="59DE2F40"/>
    <w:rsid w:val="59E00C37"/>
    <w:rsid w:val="5A070B12"/>
    <w:rsid w:val="5A13C3CA"/>
    <w:rsid w:val="5A3458CA"/>
    <w:rsid w:val="5A593F49"/>
    <w:rsid w:val="5A9F42C1"/>
    <w:rsid w:val="5AAAD324"/>
    <w:rsid w:val="5B3E68AD"/>
    <w:rsid w:val="5B42E801"/>
    <w:rsid w:val="5B7781F3"/>
    <w:rsid w:val="5BA4E1C1"/>
    <w:rsid w:val="5BE81514"/>
    <w:rsid w:val="5C5B7A74"/>
    <w:rsid w:val="5C663746"/>
    <w:rsid w:val="5C7416CC"/>
    <w:rsid w:val="5D21400C"/>
    <w:rsid w:val="5D24DBC7"/>
    <w:rsid w:val="5D7A1A7A"/>
    <w:rsid w:val="5E941F6C"/>
    <w:rsid w:val="5E948EAF"/>
    <w:rsid w:val="5EB45974"/>
    <w:rsid w:val="5EBD106D"/>
    <w:rsid w:val="5EF98523"/>
    <w:rsid w:val="5F011D82"/>
    <w:rsid w:val="5FB64236"/>
    <w:rsid w:val="5FB92EEB"/>
    <w:rsid w:val="6043396B"/>
    <w:rsid w:val="605101F4"/>
    <w:rsid w:val="605EF51C"/>
    <w:rsid w:val="60659723"/>
    <w:rsid w:val="606C9176"/>
    <w:rsid w:val="60F9E1D9"/>
    <w:rsid w:val="6107F165"/>
    <w:rsid w:val="61B00F8B"/>
    <w:rsid w:val="61D0BFB2"/>
    <w:rsid w:val="61DD94BB"/>
    <w:rsid w:val="62109D01"/>
    <w:rsid w:val="6225509E"/>
    <w:rsid w:val="62267DC5"/>
    <w:rsid w:val="6245061F"/>
    <w:rsid w:val="628A3762"/>
    <w:rsid w:val="628F0408"/>
    <w:rsid w:val="62A8FC19"/>
    <w:rsid w:val="62B3E2F3"/>
    <w:rsid w:val="62B5DF1D"/>
    <w:rsid w:val="62B7EF9E"/>
    <w:rsid w:val="62CC74E4"/>
    <w:rsid w:val="62EA08F4"/>
    <w:rsid w:val="638210D1"/>
    <w:rsid w:val="638DD4D3"/>
    <w:rsid w:val="64158F51"/>
    <w:rsid w:val="641FF8EC"/>
    <w:rsid w:val="6433FED4"/>
    <w:rsid w:val="64743489"/>
    <w:rsid w:val="647BCE47"/>
    <w:rsid w:val="64FA6D75"/>
    <w:rsid w:val="64FD8231"/>
    <w:rsid w:val="6501FED7"/>
    <w:rsid w:val="65436B35"/>
    <w:rsid w:val="65C00D42"/>
    <w:rsid w:val="664C2252"/>
    <w:rsid w:val="66ED5AE8"/>
    <w:rsid w:val="66F0221E"/>
    <w:rsid w:val="67054448"/>
    <w:rsid w:val="670A737F"/>
    <w:rsid w:val="670CAF36"/>
    <w:rsid w:val="67DD190B"/>
    <w:rsid w:val="67EA6D87"/>
    <w:rsid w:val="67FC45FA"/>
    <w:rsid w:val="681E56AF"/>
    <w:rsid w:val="68321B9B"/>
    <w:rsid w:val="68ABC4A5"/>
    <w:rsid w:val="68BB7B4C"/>
    <w:rsid w:val="6901D0BA"/>
    <w:rsid w:val="69178B4F"/>
    <w:rsid w:val="699BD9AD"/>
    <w:rsid w:val="69E980D4"/>
    <w:rsid w:val="6A0A21BE"/>
    <w:rsid w:val="6A1FA7D0"/>
    <w:rsid w:val="6A627A37"/>
    <w:rsid w:val="6A6D0B1E"/>
    <w:rsid w:val="6A95AA07"/>
    <w:rsid w:val="6A9BA193"/>
    <w:rsid w:val="6AA9510F"/>
    <w:rsid w:val="6AAD0BB9"/>
    <w:rsid w:val="6AB724A7"/>
    <w:rsid w:val="6AE057C0"/>
    <w:rsid w:val="6AF08B22"/>
    <w:rsid w:val="6C06A1E1"/>
    <w:rsid w:val="6C95F8C4"/>
    <w:rsid w:val="6CA9AB9E"/>
    <w:rsid w:val="6CD68C61"/>
    <w:rsid w:val="6D1CBDA8"/>
    <w:rsid w:val="6D21A84C"/>
    <w:rsid w:val="6D34A328"/>
    <w:rsid w:val="6D520DAB"/>
    <w:rsid w:val="6D575EC8"/>
    <w:rsid w:val="6D86DACC"/>
    <w:rsid w:val="6D9DDC31"/>
    <w:rsid w:val="6DF74732"/>
    <w:rsid w:val="6E6E8F44"/>
    <w:rsid w:val="6EACEE00"/>
    <w:rsid w:val="6EAE5180"/>
    <w:rsid w:val="6F07BF0E"/>
    <w:rsid w:val="6F19B1AD"/>
    <w:rsid w:val="6F59F31E"/>
    <w:rsid w:val="6FBD5E88"/>
    <w:rsid w:val="706E0550"/>
    <w:rsid w:val="70EB197E"/>
    <w:rsid w:val="70FCA18B"/>
    <w:rsid w:val="7141AB1F"/>
    <w:rsid w:val="7142174A"/>
    <w:rsid w:val="717A56ED"/>
    <w:rsid w:val="71EFE58A"/>
    <w:rsid w:val="71F2D91A"/>
    <w:rsid w:val="7228EE9E"/>
    <w:rsid w:val="725F3228"/>
    <w:rsid w:val="72CE7094"/>
    <w:rsid w:val="73757DD8"/>
    <w:rsid w:val="7392A808"/>
    <w:rsid w:val="73A91D3D"/>
    <w:rsid w:val="73CE906D"/>
    <w:rsid w:val="73CEAC01"/>
    <w:rsid w:val="73E18624"/>
    <w:rsid w:val="740803F0"/>
    <w:rsid w:val="742057C8"/>
    <w:rsid w:val="747C6056"/>
    <w:rsid w:val="74869E03"/>
    <w:rsid w:val="74B8EFF7"/>
    <w:rsid w:val="74E61440"/>
    <w:rsid w:val="7501EC76"/>
    <w:rsid w:val="75079652"/>
    <w:rsid w:val="75088098"/>
    <w:rsid w:val="7523D8D1"/>
    <w:rsid w:val="753DB379"/>
    <w:rsid w:val="7552CD71"/>
    <w:rsid w:val="758F368B"/>
    <w:rsid w:val="759FCDCB"/>
    <w:rsid w:val="75ECF904"/>
    <w:rsid w:val="763E130B"/>
    <w:rsid w:val="768296B4"/>
    <w:rsid w:val="769F7547"/>
    <w:rsid w:val="76BE2170"/>
    <w:rsid w:val="76F77BA7"/>
    <w:rsid w:val="7731D969"/>
    <w:rsid w:val="776AAE7C"/>
    <w:rsid w:val="779D1A38"/>
    <w:rsid w:val="77ECEDC3"/>
    <w:rsid w:val="78533443"/>
    <w:rsid w:val="7854C434"/>
    <w:rsid w:val="78896D64"/>
    <w:rsid w:val="78C87409"/>
    <w:rsid w:val="78D56C5B"/>
    <w:rsid w:val="78E6D9D0"/>
    <w:rsid w:val="78FA7E26"/>
    <w:rsid w:val="7916A23D"/>
    <w:rsid w:val="794060C3"/>
    <w:rsid w:val="7947AFAA"/>
    <w:rsid w:val="7995CCB0"/>
    <w:rsid w:val="799B1F23"/>
    <w:rsid w:val="79A93E33"/>
    <w:rsid w:val="79E86583"/>
    <w:rsid w:val="7A599BA5"/>
    <w:rsid w:val="7AF2A6D5"/>
    <w:rsid w:val="7B373D0F"/>
    <w:rsid w:val="7B62E8AE"/>
    <w:rsid w:val="7BD3EEA6"/>
    <w:rsid w:val="7BFE5E77"/>
    <w:rsid w:val="7C650A70"/>
    <w:rsid w:val="7CF98661"/>
    <w:rsid w:val="7D125A44"/>
    <w:rsid w:val="7D5AEED0"/>
    <w:rsid w:val="7D6529D5"/>
    <w:rsid w:val="7D9F0DE9"/>
    <w:rsid w:val="7DB66761"/>
    <w:rsid w:val="7DC2F588"/>
    <w:rsid w:val="7E11491B"/>
    <w:rsid w:val="7E98F893"/>
    <w:rsid w:val="7F04081F"/>
    <w:rsid w:val="7FD7868D"/>
    <w:rsid w:val="7FF16ADB"/>
    <w:rsid w:val="7FF491A3"/>
    <w:rsid w:val="7FFEC2A0"/>
  </w:rsids>
  <m:mathPr>
    <m:mathFont m:val="Cambria Math"/>
    <m:brkBin m:val="before"/>
    <m:brkBinSub m:val="--"/>
    <m:smallFrac m:val="0"/>
    <m:dispDef/>
    <m:lMargin m:val="0"/>
    <m:rMargin m:val="0"/>
    <m:defJc m:val="centerGroup"/>
    <m:wrapIndent m:val="1440"/>
    <m:intLim m:val="subSup"/>
    <m:naryLim m:val="undOvr"/>
  </m:mathPr>
  <w:themeFontLang w:val="en-NZ" w:eastAsia="ja-JP"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6FA19A9F"/>
  <w15:chartTrackingRefBased/>
  <w15:docId w15:val="{5D796B44-95DF-4F29-8F35-76BBF2566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kern w:val="2"/>
        <w:sz w:val="24"/>
        <w:szCs w:val="24"/>
        <w:lang w:val="en-N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F381F"/>
    <w:rPr>
      <w:lang w:val="en-GB"/>
    </w:rPr>
  </w:style>
  <w:style w:type="paragraph" w:styleId="Heading2">
    <w:name w:val="heading 2"/>
    <w:basedOn w:val="Normal"/>
    <w:next w:val="Normal"/>
    <w:link w:val="Heading2Char"/>
    <w:uiPriority w:val="9"/>
    <w:semiHidden/>
    <w:unhideWhenUsed/>
    <w:qFormat/>
    <w:rsid w:val="008F3066"/>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7F381F"/>
    <w:pPr>
      <w:tabs>
        <w:tab w:val="center" w:pos="4513"/>
        <w:tab w:val="right" w:pos="9026"/>
      </w:tabs>
    </w:pPr>
  </w:style>
  <w:style w:type="character" w:styleId="HeaderChar" w:customStyle="1">
    <w:name w:val="Header Char"/>
    <w:basedOn w:val="DefaultParagraphFont"/>
    <w:link w:val="Header"/>
    <w:uiPriority w:val="99"/>
    <w:rsid w:val="007F381F"/>
  </w:style>
  <w:style w:type="paragraph" w:styleId="Footer">
    <w:name w:val="footer"/>
    <w:basedOn w:val="Normal"/>
    <w:link w:val="FooterChar"/>
    <w:uiPriority w:val="99"/>
    <w:unhideWhenUsed/>
    <w:rsid w:val="007F381F"/>
    <w:pPr>
      <w:tabs>
        <w:tab w:val="center" w:pos="4513"/>
        <w:tab w:val="right" w:pos="9026"/>
      </w:tabs>
    </w:pPr>
  </w:style>
  <w:style w:type="character" w:styleId="FooterChar" w:customStyle="1">
    <w:name w:val="Footer Char"/>
    <w:basedOn w:val="DefaultParagraphFont"/>
    <w:link w:val="Footer"/>
    <w:uiPriority w:val="99"/>
    <w:rsid w:val="007F381F"/>
  </w:style>
  <w:style w:type="character" w:styleId="Hyperlink">
    <w:name w:val="Hyperlink"/>
    <w:basedOn w:val="DefaultParagraphFont"/>
    <w:uiPriority w:val="99"/>
    <w:unhideWhenUsed/>
    <w:rsid w:val="00273ED8"/>
    <w:rPr>
      <w:b/>
      <w:color w:val="002BE1"/>
      <w:u w:val="single"/>
    </w:rPr>
  </w:style>
  <w:style w:type="paragraph" w:styleId="ListParagraph">
    <w:name w:val="List Paragraph"/>
    <w:aliases w:val="FooterText,Bullet List,List Paragraph1,numbered,Paragraphe de liste1,Bulletr List Paragraph,列出段落,列出段落1,Listeafsnit1,Parágrafo da Lista1,List Paragraph2,List Paragraph21,Párrafo de lista1,リスト段落1,Bullet points,Recommendation,Bullet list"/>
    <w:basedOn w:val="Normal"/>
    <w:link w:val="ListParagraphChar"/>
    <w:uiPriority w:val="34"/>
    <w:qFormat/>
    <w:rsid w:val="001A76F7"/>
    <w:pPr>
      <w:spacing w:after="160" w:line="259" w:lineRule="auto"/>
      <w:ind w:left="720"/>
      <w:contextualSpacing/>
    </w:pPr>
    <w:rPr>
      <w:kern w:val="0"/>
      <w:sz w:val="20"/>
      <w:szCs w:val="22"/>
      <w:lang w:val="en-US"/>
      <w14:ligatures w14:val="none"/>
    </w:rPr>
  </w:style>
  <w:style w:type="character" w:styleId="ListParagraphChar" w:customStyle="1">
    <w:name w:val="List Paragraph Char"/>
    <w:aliases w:val="FooterText Char,Bullet List Char,List Paragraph1 Char,numbered Char,Paragraphe de liste1 Char,Bulletr List Paragraph Char,列出段落 Char,列出段落1 Char,Listeafsnit1 Char,Parágrafo da Lista1 Char,List Paragraph2 Char,List Paragraph21 Char"/>
    <w:basedOn w:val="DefaultParagraphFont"/>
    <w:link w:val="ListParagraph"/>
    <w:uiPriority w:val="34"/>
    <w:qFormat/>
    <w:locked/>
    <w:rsid w:val="001A76F7"/>
    <w:rPr>
      <w:kern w:val="0"/>
      <w:sz w:val="20"/>
      <w:szCs w:val="22"/>
      <w:lang w:val="en-US"/>
      <w14:ligatures w14:val="none"/>
    </w:rPr>
  </w:style>
  <w:style w:type="paragraph" w:styleId="NormalWeb">
    <w:name w:val="Normal (Web)"/>
    <w:basedOn w:val="Normal"/>
    <w:uiPriority w:val="99"/>
    <w:unhideWhenUsed/>
    <w:rsid w:val="00732D8A"/>
    <w:pPr>
      <w:spacing w:before="100" w:beforeAutospacing="1" w:after="100" w:afterAutospacing="1"/>
    </w:pPr>
    <w:rPr>
      <w:rFonts w:ascii="Times New Roman" w:hAnsi="Times New Roman" w:eastAsia="Times New Roman" w:cs="Times New Roman"/>
      <w:kern w:val="0"/>
      <w:lang w:val="en-CA" w:eastAsia="en-CA"/>
      <w14:ligatures w14:val="none"/>
    </w:rPr>
  </w:style>
  <w:style w:type="character" w:styleId="Strong">
    <w:name w:val="Strong"/>
    <w:basedOn w:val="DefaultParagraphFont"/>
    <w:uiPriority w:val="22"/>
    <w:qFormat/>
    <w:rsid w:val="00D87794"/>
    <w:rPr>
      <w:b/>
      <w:bCs/>
    </w:rPr>
  </w:style>
  <w:style w:type="character" w:styleId="UnresolvedMention">
    <w:name w:val="Unresolved Mention"/>
    <w:basedOn w:val="DefaultParagraphFont"/>
    <w:uiPriority w:val="99"/>
    <w:semiHidden/>
    <w:unhideWhenUsed/>
    <w:rsid w:val="0075192C"/>
    <w:rPr>
      <w:color w:val="605E5C"/>
      <w:shd w:val="clear" w:color="auto" w:fill="E1DFDD"/>
    </w:rPr>
  </w:style>
  <w:style w:type="character" w:styleId="FollowedHyperlink">
    <w:name w:val="FollowedHyperlink"/>
    <w:basedOn w:val="DefaultParagraphFont"/>
    <w:uiPriority w:val="99"/>
    <w:semiHidden/>
    <w:unhideWhenUsed/>
    <w:rsid w:val="000A01F7"/>
    <w:rPr>
      <w:color w:val="954F72" w:themeColor="followedHyperlink"/>
      <w:u w:val="single"/>
    </w:rPr>
  </w:style>
  <w:style w:type="paragraph" w:styleId="Revision">
    <w:name w:val="Revision"/>
    <w:hidden/>
    <w:uiPriority w:val="99"/>
    <w:semiHidden/>
    <w:rsid w:val="00802554"/>
  </w:style>
  <w:style w:type="character" w:styleId="CommentReference">
    <w:name w:val="annotation reference"/>
    <w:basedOn w:val="DefaultParagraphFont"/>
    <w:uiPriority w:val="99"/>
    <w:semiHidden/>
    <w:unhideWhenUsed/>
    <w:rsid w:val="00A50A9D"/>
    <w:rPr>
      <w:sz w:val="16"/>
      <w:szCs w:val="16"/>
    </w:rPr>
  </w:style>
  <w:style w:type="paragraph" w:styleId="CommentText">
    <w:name w:val="annotation text"/>
    <w:basedOn w:val="Normal"/>
    <w:link w:val="CommentTextChar"/>
    <w:uiPriority w:val="99"/>
    <w:unhideWhenUsed/>
    <w:rsid w:val="00A50A9D"/>
    <w:rPr>
      <w:sz w:val="20"/>
      <w:szCs w:val="20"/>
    </w:rPr>
  </w:style>
  <w:style w:type="character" w:styleId="CommentTextChar" w:customStyle="1">
    <w:name w:val="Comment Text Char"/>
    <w:basedOn w:val="DefaultParagraphFont"/>
    <w:link w:val="CommentText"/>
    <w:uiPriority w:val="99"/>
    <w:rsid w:val="00A50A9D"/>
    <w:rPr>
      <w:sz w:val="20"/>
      <w:szCs w:val="20"/>
    </w:rPr>
  </w:style>
  <w:style w:type="paragraph" w:styleId="CommentSubject">
    <w:name w:val="annotation subject"/>
    <w:basedOn w:val="CommentText"/>
    <w:next w:val="CommentText"/>
    <w:link w:val="CommentSubjectChar"/>
    <w:uiPriority w:val="99"/>
    <w:semiHidden/>
    <w:unhideWhenUsed/>
    <w:rsid w:val="00A50A9D"/>
    <w:rPr>
      <w:b/>
      <w:bCs/>
    </w:rPr>
  </w:style>
  <w:style w:type="character" w:styleId="CommentSubjectChar" w:customStyle="1">
    <w:name w:val="Comment Subject Char"/>
    <w:basedOn w:val="CommentTextChar"/>
    <w:link w:val="CommentSubject"/>
    <w:uiPriority w:val="99"/>
    <w:semiHidden/>
    <w:rsid w:val="00A50A9D"/>
    <w:rPr>
      <w:b/>
      <w:bCs/>
      <w:sz w:val="20"/>
      <w:szCs w:val="20"/>
    </w:rPr>
  </w:style>
  <w:style w:type="paragraph" w:styleId="paragraph" w:customStyle="1">
    <w:name w:val="paragraph"/>
    <w:basedOn w:val="Normal"/>
    <w:rsid w:val="00973A93"/>
    <w:pPr>
      <w:spacing w:before="100" w:beforeAutospacing="1" w:after="100" w:afterAutospacing="1"/>
    </w:pPr>
    <w:rPr>
      <w:rFonts w:ascii="Times New Roman" w:hAnsi="Times New Roman" w:eastAsia="Times New Roman" w:cs="Times New Roman"/>
      <w:kern w:val="0"/>
      <w:lang w:eastAsia="en-GB"/>
      <w14:ligatures w14:val="none"/>
    </w:rPr>
  </w:style>
  <w:style w:type="character" w:styleId="normaltextrun" w:customStyle="1">
    <w:name w:val="normaltextrun"/>
    <w:basedOn w:val="DefaultParagraphFont"/>
    <w:rsid w:val="00973A93"/>
  </w:style>
  <w:style w:type="character" w:styleId="eop" w:customStyle="1">
    <w:name w:val="eop"/>
    <w:basedOn w:val="DefaultParagraphFont"/>
    <w:rsid w:val="00973A93"/>
  </w:style>
  <w:style w:type="character" w:styleId="spellingerror" w:customStyle="1">
    <w:name w:val="spellingerror"/>
    <w:basedOn w:val="DefaultParagraphFont"/>
    <w:rsid w:val="00973A93"/>
  </w:style>
  <w:style w:type="table" w:styleId="TableGrid">
    <w:name w:val="Table Grid"/>
    <w:basedOn w:val="TableNormal"/>
    <w:uiPriority w:val="39"/>
    <w:rsid w:val="0070147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Mention">
    <w:name w:val="Mention"/>
    <w:basedOn w:val="DefaultParagraphFont"/>
    <w:uiPriority w:val="99"/>
    <w:unhideWhenUsed/>
    <w:rPr>
      <w:color w:val="2B579A"/>
      <w:shd w:val="clear" w:color="auto" w:fill="E6E6E6"/>
    </w:rPr>
  </w:style>
  <w:style w:type="paragraph" w:styleId="xmsolistparagraph" w:customStyle="1">
    <w:name w:val="x_msolistparagraph"/>
    <w:basedOn w:val="Normal"/>
    <w:rsid w:val="003B040B"/>
    <w:pPr>
      <w:spacing w:before="100" w:beforeAutospacing="1" w:after="100" w:afterAutospacing="1"/>
    </w:pPr>
    <w:rPr>
      <w:rFonts w:ascii="Times New Roman" w:hAnsi="Times New Roman" w:eastAsia="Times New Roman" w:cs="Times New Roman"/>
      <w:kern w:val="0"/>
      <w:lang w:bidi="he-IL"/>
      <w14:ligatures w14:val="none"/>
    </w:rPr>
  </w:style>
  <w:style w:type="character" w:styleId="root-3tdqk" w:customStyle="1">
    <w:name w:val="root-3tdqk"/>
    <w:basedOn w:val="DefaultParagraphFont"/>
    <w:rsid w:val="00222FBA"/>
  </w:style>
  <w:style w:type="paragraph" w:styleId="Style1" w:customStyle="1">
    <w:name w:val="Style1"/>
    <w:basedOn w:val="Normal"/>
    <w:link w:val="Style1Char"/>
    <w:qFormat/>
    <w:rsid w:val="00216899"/>
    <w:pPr>
      <w:shd w:val="clear" w:color="auto" w:fill="FFFFFF"/>
      <w:jc w:val="center"/>
    </w:pPr>
    <w:rPr>
      <w:rFonts w:ascii="Calibri" w:hAnsi="Calibri" w:eastAsia="Times New Roman" w:cs="Calibri"/>
      <w:color w:val="7030A0"/>
      <w:kern w:val="0"/>
      <w:sz w:val="22"/>
      <w:szCs w:val="22"/>
      <w:bdr w:val="none" w:color="auto" w:sz="0" w:space="0" w:frame="1"/>
      <w:lang w:val="pt-BR" w:bidi="he-IL"/>
      <w14:ligatures w14:val="none"/>
    </w:rPr>
  </w:style>
  <w:style w:type="character" w:styleId="Style1Char" w:customStyle="1">
    <w:name w:val="Style1 Char"/>
    <w:basedOn w:val="DefaultParagraphFont"/>
    <w:link w:val="Style1"/>
    <w:rsid w:val="00216899"/>
    <w:rPr>
      <w:rFonts w:ascii="Calibri" w:hAnsi="Calibri" w:eastAsia="Times New Roman" w:cs="Calibri"/>
      <w:color w:val="7030A0"/>
      <w:kern w:val="0"/>
      <w:sz w:val="22"/>
      <w:szCs w:val="22"/>
      <w:bdr w:val="none" w:color="auto" w:sz="0" w:space="0" w:frame="1"/>
      <w:shd w:val="clear" w:color="auto" w:fill="FFFFFF"/>
      <w:lang w:val="pt-BR" w:bidi="he-IL"/>
      <w14:ligatures w14:val="none"/>
    </w:rPr>
  </w:style>
  <w:style w:type="paragraph" w:styleId="FootnoteText">
    <w:name w:val="footnote text"/>
    <w:basedOn w:val="Normal"/>
    <w:link w:val="FootnoteTextChar"/>
    <w:uiPriority w:val="99"/>
    <w:semiHidden/>
    <w:unhideWhenUsed/>
    <w:rsid w:val="00892E1E"/>
    <w:rPr>
      <w:sz w:val="20"/>
      <w:szCs w:val="20"/>
    </w:rPr>
  </w:style>
  <w:style w:type="character" w:styleId="FootnoteTextChar" w:customStyle="1">
    <w:name w:val="Footnote Text Char"/>
    <w:basedOn w:val="DefaultParagraphFont"/>
    <w:link w:val="FootnoteText"/>
    <w:uiPriority w:val="99"/>
    <w:semiHidden/>
    <w:rsid w:val="00892E1E"/>
    <w:rPr>
      <w:sz w:val="20"/>
      <w:szCs w:val="20"/>
    </w:rPr>
  </w:style>
  <w:style w:type="character" w:styleId="FootnoteReference">
    <w:name w:val="footnote reference"/>
    <w:basedOn w:val="DefaultParagraphFont"/>
    <w:uiPriority w:val="99"/>
    <w:semiHidden/>
    <w:unhideWhenUsed/>
    <w:rsid w:val="00892E1E"/>
    <w:rPr>
      <w:vertAlign w:val="superscript"/>
    </w:rPr>
  </w:style>
  <w:style w:type="paragraph" w:styleId="EndnoteText">
    <w:name w:val="endnote text"/>
    <w:basedOn w:val="Normal"/>
    <w:link w:val="EndnoteTextChar"/>
    <w:uiPriority w:val="99"/>
    <w:semiHidden/>
    <w:unhideWhenUsed/>
    <w:rsid w:val="005A3F85"/>
    <w:rPr>
      <w:sz w:val="20"/>
      <w:szCs w:val="20"/>
    </w:rPr>
  </w:style>
  <w:style w:type="character" w:styleId="EndnoteTextChar" w:customStyle="1">
    <w:name w:val="Endnote Text Char"/>
    <w:basedOn w:val="DefaultParagraphFont"/>
    <w:link w:val="EndnoteText"/>
    <w:uiPriority w:val="99"/>
    <w:semiHidden/>
    <w:rsid w:val="005A3F85"/>
    <w:rPr>
      <w:sz w:val="20"/>
      <w:szCs w:val="20"/>
    </w:rPr>
  </w:style>
  <w:style w:type="character" w:styleId="EndnoteReference">
    <w:name w:val="endnote reference"/>
    <w:basedOn w:val="DefaultParagraphFont"/>
    <w:uiPriority w:val="99"/>
    <w:semiHidden/>
    <w:unhideWhenUsed/>
    <w:rsid w:val="005A3F85"/>
    <w:rPr>
      <w:vertAlign w:val="superscript"/>
    </w:rPr>
  </w:style>
  <w:style w:type="character" w:styleId="Heading2Char" w:customStyle="1">
    <w:name w:val="Heading 2 Char"/>
    <w:basedOn w:val="DefaultParagraphFont"/>
    <w:link w:val="Heading2"/>
    <w:uiPriority w:val="9"/>
    <w:semiHidden/>
    <w:rsid w:val="008F3066"/>
    <w:rPr>
      <w:rFonts w:asciiTheme="majorHAnsi" w:hAnsiTheme="majorHAnsi" w:eastAsiaTheme="majorEastAsia" w:cstheme="majorBidi"/>
      <w:color w:val="2F5496"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0603">
      <w:bodyDiv w:val="1"/>
      <w:marLeft w:val="0"/>
      <w:marRight w:val="0"/>
      <w:marTop w:val="0"/>
      <w:marBottom w:val="0"/>
      <w:divBdr>
        <w:top w:val="none" w:sz="0" w:space="0" w:color="auto"/>
        <w:left w:val="none" w:sz="0" w:space="0" w:color="auto"/>
        <w:bottom w:val="none" w:sz="0" w:space="0" w:color="auto"/>
        <w:right w:val="none" w:sz="0" w:space="0" w:color="auto"/>
      </w:divBdr>
    </w:div>
    <w:div w:id="25371863">
      <w:bodyDiv w:val="1"/>
      <w:marLeft w:val="0"/>
      <w:marRight w:val="0"/>
      <w:marTop w:val="0"/>
      <w:marBottom w:val="0"/>
      <w:divBdr>
        <w:top w:val="none" w:sz="0" w:space="0" w:color="auto"/>
        <w:left w:val="none" w:sz="0" w:space="0" w:color="auto"/>
        <w:bottom w:val="none" w:sz="0" w:space="0" w:color="auto"/>
        <w:right w:val="none" w:sz="0" w:space="0" w:color="auto"/>
      </w:divBdr>
    </w:div>
    <w:div w:id="52393496">
      <w:bodyDiv w:val="1"/>
      <w:marLeft w:val="0"/>
      <w:marRight w:val="0"/>
      <w:marTop w:val="0"/>
      <w:marBottom w:val="0"/>
      <w:divBdr>
        <w:top w:val="none" w:sz="0" w:space="0" w:color="auto"/>
        <w:left w:val="none" w:sz="0" w:space="0" w:color="auto"/>
        <w:bottom w:val="none" w:sz="0" w:space="0" w:color="auto"/>
        <w:right w:val="none" w:sz="0" w:space="0" w:color="auto"/>
      </w:divBdr>
      <w:divsChild>
        <w:div w:id="274102370">
          <w:marLeft w:val="0"/>
          <w:marRight w:val="0"/>
          <w:marTop w:val="0"/>
          <w:marBottom w:val="0"/>
          <w:divBdr>
            <w:top w:val="none" w:sz="0" w:space="0" w:color="auto"/>
            <w:left w:val="none" w:sz="0" w:space="0" w:color="auto"/>
            <w:bottom w:val="none" w:sz="0" w:space="0" w:color="auto"/>
            <w:right w:val="none" w:sz="0" w:space="0" w:color="auto"/>
          </w:divBdr>
        </w:div>
      </w:divsChild>
    </w:div>
    <w:div w:id="53243620">
      <w:bodyDiv w:val="1"/>
      <w:marLeft w:val="0"/>
      <w:marRight w:val="0"/>
      <w:marTop w:val="0"/>
      <w:marBottom w:val="0"/>
      <w:divBdr>
        <w:top w:val="none" w:sz="0" w:space="0" w:color="auto"/>
        <w:left w:val="none" w:sz="0" w:space="0" w:color="auto"/>
        <w:bottom w:val="none" w:sz="0" w:space="0" w:color="auto"/>
        <w:right w:val="none" w:sz="0" w:space="0" w:color="auto"/>
      </w:divBdr>
    </w:div>
    <w:div w:id="58138319">
      <w:bodyDiv w:val="1"/>
      <w:marLeft w:val="0"/>
      <w:marRight w:val="0"/>
      <w:marTop w:val="0"/>
      <w:marBottom w:val="0"/>
      <w:divBdr>
        <w:top w:val="none" w:sz="0" w:space="0" w:color="auto"/>
        <w:left w:val="none" w:sz="0" w:space="0" w:color="auto"/>
        <w:bottom w:val="none" w:sz="0" w:space="0" w:color="auto"/>
        <w:right w:val="none" w:sz="0" w:space="0" w:color="auto"/>
      </w:divBdr>
      <w:divsChild>
        <w:div w:id="1488279088">
          <w:marLeft w:val="446"/>
          <w:marRight w:val="0"/>
          <w:marTop w:val="200"/>
          <w:marBottom w:val="0"/>
          <w:divBdr>
            <w:top w:val="none" w:sz="0" w:space="0" w:color="auto"/>
            <w:left w:val="none" w:sz="0" w:space="0" w:color="auto"/>
            <w:bottom w:val="none" w:sz="0" w:space="0" w:color="auto"/>
            <w:right w:val="none" w:sz="0" w:space="0" w:color="auto"/>
          </w:divBdr>
        </w:div>
      </w:divsChild>
    </w:div>
    <w:div w:id="75825460">
      <w:bodyDiv w:val="1"/>
      <w:marLeft w:val="0"/>
      <w:marRight w:val="0"/>
      <w:marTop w:val="0"/>
      <w:marBottom w:val="0"/>
      <w:divBdr>
        <w:top w:val="none" w:sz="0" w:space="0" w:color="auto"/>
        <w:left w:val="none" w:sz="0" w:space="0" w:color="auto"/>
        <w:bottom w:val="none" w:sz="0" w:space="0" w:color="auto"/>
        <w:right w:val="none" w:sz="0" w:space="0" w:color="auto"/>
      </w:divBdr>
    </w:div>
    <w:div w:id="87429961">
      <w:bodyDiv w:val="1"/>
      <w:marLeft w:val="0"/>
      <w:marRight w:val="0"/>
      <w:marTop w:val="0"/>
      <w:marBottom w:val="0"/>
      <w:divBdr>
        <w:top w:val="none" w:sz="0" w:space="0" w:color="auto"/>
        <w:left w:val="none" w:sz="0" w:space="0" w:color="auto"/>
        <w:bottom w:val="none" w:sz="0" w:space="0" w:color="auto"/>
        <w:right w:val="none" w:sz="0" w:space="0" w:color="auto"/>
      </w:divBdr>
      <w:divsChild>
        <w:div w:id="299964319">
          <w:marLeft w:val="446"/>
          <w:marRight w:val="0"/>
          <w:marTop w:val="200"/>
          <w:marBottom w:val="0"/>
          <w:divBdr>
            <w:top w:val="none" w:sz="0" w:space="0" w:color="auto"/>
            <w:left w:val="none" w:sz="0" w:space="0" w:color="auto"/>
            <w:bottom w:val="none" w:sz="0" w:space="0" w:color="auto"/>
            <w:right w:val="none" w:sz="0" w:space="0" w:color="auto"/>
          </w:divBdr>
        </w:div>
        <w:div w:id="549418816">
          <w:marLeft w:val="446"/>
          <w:marRight w:val="0"/>
          <w:marTop w:val="200"/>
          <w:marBottom w:val="0"/>
          <w:divBdr>
            <w:top w:val="none" w:sz="0" w:space="0" w:color="auto"/>
            <w:left w:val="none" w:sz="0" w:space="0" w:color="auto"/>
            <w:bottom w:val="none" w:sz="0" w:space="0" w:color="auto"/>
            <w:right w:val="none" w:sz="0" w:space="0" w:color="auto"/>
          </w:divBdr>
        </w:div>
        <w:div w:id="563829895">
          <w:marLeft w:val="446"/>
          <w:marRight w:val="0"/>
          <w:marTop w:val="200"/>
          <w:marBottom w:val="0"/>
          <w:divBdr>
            <w:top w:val="none" w:sz="0" w:space="0" w:color="auto"/>
            <w:left w:val="none" w:sz="0" w:space="0" w:color="auto"/>
            <w:bottom w:val="none" w:sz="0" w:space="0" w:color="auto"/>
            <w:right w:val="none" w:sz="0" w:space="0" w:color="auto"/>
          </w:divBdr>
        </w:div>
        <w:div w:id="691954535">
          <w:marLeft w:val="446"/>
          <w:marRight w:val="0"/>
          <w:marTop w:val="200"/>
          <w:marBottom w:val="0"/>
          <w:divBdr>
            <w:top w:val="none" w:sz="0" w:space="0" w:color="auto"/>
            <w:left w:val="none" w:sz="0" w:space="0" w:color="auto"/>
            <w:bottom w:val="none" w:sz="0" w:space="0" w:color="auto"/>
            <w:right w:val="none" w:sz="0" w:space="0" w:color="auto"/>
          </w:divBdr>
        </w:div>
        <w:div w:id="758914866">
          <w:marLeft w:val="446"/>
          <w:marRight w:val="0"/>
          <w:marTop w:val="200"/>
          <w:marBottom w:val="0"/>
          <w:divBdr>
            <w:top w:val="none" w:sz="0" w:space="0" w:color="auto"/>
            <w:left w:val="none" w:sz="0" w:space="0" w:color="auto"/>
            <w:bottom w:val="none" w:sz="0" w:space="0" w:color="auto"/>
            <w:right w:val="none" w:sz="0" w:space="0" w:color="auto"/>
          </w:divBdr>
        </w:div>
        <w:div w:id="1066951644">
          <w:marLeft w:val="446"/>
          <w:marRight w:val="0"/>
          <w:marTop w:val="200"/>
          <w:marBottom w:val="0"/>
          <w:divBdr>
            <w:top w:val="none" w:sz="0" w:space="0" w:color="auto"/>
            <w:left w:val="none" w:sz="0" w:space="0" w:color="auto"/>
            <w:bottom w:val="none" w:sz="0" w:space="0" w:color="auto"/>
            <w:right w:val="none" w:sz="0" w:space="0" w:color="auto"/>
          </w:divBdr>
        </w:div>
        <w:div w:id="1475634989">
          <w:marLeft w:val="446"/>
          <w:marRight w:val="0"/>
          <w:marTop w:val="200"/>
          <w:marBottom w:val="0"/>
          <w:divBdr>
            <w:top w:val="none" w:sz="0" w:space="0" w:color="auto"/>
            <w:left w:val="none" w:sz="0" w:space="0" w:color="auto"/>
            <w:bottom w:val="none" w:sz="0" w:space="0" w:color="auto"/>
            <w:right w:val="none" w:sz="0" w:space="0" w:color="auto"/>
          </w:divBdr>
        </w:div>
        <w:div w:id="1838687471">
          <w:marLeft w:val="446"/>
          <w:marRight w:val="0"/>
          <w:marTop w:val="200"/>
          <w:marBottom w:val="0"/>
          <w:divBdr>
            <w:top w:val="none" w:sz="0" w:space="0" w:color="auto"/>
            <w:left w:val="none" w:sz="0" w:space="0" w:color="auto"/>
            <w:bottom w:val="none" w:sz="0" w:space="0" w:color="auto"/>
            <w:right w:val="none" w:sz="0" w:space="0" w:color="auto"/>
          </w:divBdr>
        </w:div>
      </w:divsChild>
    </w:div>
    <w:div w:id="149249799">
      <w:bodyDiv w:val="1"/>
      <w:marLeft w:val="0"/>
      <w:marRight w:val="0"/>
      <w:marTop w:val="0"/>
      <w:marBottom w:val="0"/>
      <w:divBdr>
        <w:top w:val="none" w:sz="0" w:space="0" w:color="auto"/>
        <w:left w:val="none" w:sz="0" w:space="0" w:color="auto"/>
        <w:bottom w:val="none" w:sz="0" w:space="0" w:color="auto"/>
        <w:right w:val="none" w:sz="0" w:space="0" w:color="auto"/>
      </w:divBdr>
    </w:div>
    <w:div w:id="165562361">
      <w:bodyDiv w:val="1"/>
      <w:marLeft w:val="0"/>
      <w:marRight w:val="0"/>
      <w:marTop w:val="0"/>
      <w:marBottom w:val="0"/>
      <w:divBdr>
        <w:top w:val="none" w:sz="0" w:space="0" w:color="auto"/>
        <w:left w:val="none" w:sz="0" w:space="0" w:color="auto"/>
        <w:bottom w:val="none" w:sz="0" w:space="0" w:color="auto"/>
        <w:right w:val="none" w:sz="0" w:space="0" w:color="auto"/>
      </w:divBdr>
    </w:div>
    <w:div w:id="172914558">
      <w:bodyDiv w:val="1"/>
      <w:marLeft w:val="0"/>
      <w:marRight w:val="0"/>
      <w:marTop w:val="0"/>
      <w:marBottom w:val="0"/>
      <w:divBdr>
        <w:top w:val="none" w:sz="0" w:space="0" w:color="auto"/>
        <w:left w:val="none" w:sz="0" w:space="0" w:color="auto"/>
        <w:bottom w:val="none" w:sz="0" w:space="0" w:color="auto"/>
        <w:right w:val="none" w:sz="0" w:space="0" w:color="auto"/>
      </w:divBdr>
    </w:div>
    <w:div w:id="219482835">
      <w:bodyDiv w:val="1"/>
      <w:marLeft w:val="0"/>
      <w:marRight w:val="0"/>
      <w:marTop w:val="0"/>
      <w:marBottom w:val="0"/>
      <w:divBdr>
        <w:top w:val="none" w:sz="0" w:space="0" w:color="auto"/>
        <w:left w:val="none" w:sz="0" w:space="0" w:color="auto"/>
        <w:bottom w:val="none" w:sz="0" w:space="0" w:color="auto"/>
        <w:right w:val="none" w:sz="0" w:space="0" w:color="auto"/>
      </w:divBdr>
    </w:div>
    <w:div w:id="227032953">
      <w:bodyDiv w:val="1"/>
      <w:marLeft w:val="0"/>
      <w:marRight w:val="0"/>
      <w:marTop w:val="0"/>
      <w:marBottom w:val="0"/>
      <w:divBdr>
        <w:top w:val="none" w:sz="0" w:space="0" w:color="auto"/>
        <w:left w:val="none" w:sz="0" w:space="0" w:color="auto"/>
        <w:bottom w:val="none" w:sz="0" w:space="0" w:color="auto"/>
        <w:right w:val="none" w:sz="0" w:space="0" w:color="auto"/>
      </w:divBdr>
    </w:div>
    <w:div w:id="233202331">
      <w:bodyDiv w:val="1"/>
      <w:marLeft w:val="0"/>
      <w:marRight w:val="0"/>
      <w:marTop w:val="0"/>
      <w:marBottom w:val="0"/>
      <w:divBdr>
        <w:top w:val="none" w:sz="0" w:space="0" w:color="auto"/>
        <w:left w:val="none" w:sz="0" w:space="0" w:color="auto"/>
        <w:bottom w:val="none" w:sz="0" w:space="0" w:color="auto"/>
        <w:right w:val="none" w:sz="0" w:space="0" w:color="auto"/>
      </w:divBdr>
    </w:div>
    <w:div w:id="243611208">
      <w:bodyDiv w:val="1"/>
      <w:marLeft w:val="0"/>
      <w:marRight w:val="0"/>
      <w:marTop w:val="0"/>
      <w:marBottom w:val="0"/>
      <w:divBdr>
        <w:top w:val="none" w:sz="0" w:space="0" w:color="auto"/>
        <w:left w:val="none" w:sz="0" w:space="0" w:color="auto"/>
        <w:bottom w:val="none" w:sz="0" w:space="0" w:color="auto"/>
        <w:right w:val="none" w:sz="0" w:space="0" w:color="auto"/>
      </w:divBdr>
    </w:div>
    <w:div w:id="265693767">
      <w:bodyDiv w:val="1"/>
      <w:marLeft w:val="0"/>
      <w:marRight w:val="0"/>
      <w:marTop w:val="0"/>
      <w:marBottom w:val="0"/>
      <w:divBdr>
        <w:top w:val="none" w:sz="0" w:space="0" w:color="auto"/>
        <w:left w:val="none" w:sz="0" w:space="0" w:color="auto"/>
        <w:bottom w:val="none" w:sz="0" w:space="0" w:color="auto"/>
        <w:right w:val="none" w:sz="0" w:space="0" w:color="auto"/>
      </w:divBdr>
      <w:divsChild>
        <w:div w:id="779840156">
          <w:marLeft w:val="446"/>
          <w:marRight w:val="0"/>
          <w:marTop w:val="0"/>
          <w:marBottom w:val="0"/>
          <w:divBdr>
            <w:top w:val="none" w:sz="0" w:space="0" w:color="auto"/>
            <w:left w:val="none" w:sz="0" w:space="0" w:color="auto"/>
            <w:bottom w:val="none" w:sz="0" w:space="0" w:color="auto"/>
            <w:right w:val="none" w:sz="0" w:space="0" w:color="auto"/>
          </w:divBdr>
        </w:div>
      </w:divsChild>
    </w:div>
    <w:div w:id="285964226">
      <w:bodyDiv w:val="1"/>
      <w:marLeft w:val="0"/>
      <w:marRight w:val="0"/>
      <w:marTop w:val="0"/>
      <w:marBottom w:val="0"/>
      <w:divBdr>
        <w:top w:val="none" w:sz="0" w:space="0" w:color="auto"/>
        <w:left w:val="none" w:sz="0" w:space="0" w:color="auto"/>
        <w:bottom w:val="none" w:sz="0" w:space="0" w:color="auto"/>
        <w:right w:val="none" w:sz="0" w:space="0" w:color="auto"/>
      </w:divBdr>
      <w:divsChild>
        <w:div w:id="474377541">
          <w:marLeft w:val="446"/>
          <w:marRight w:val="0"/>
          <w:marTop w:val="200"/>
          <w:marBottom w:val="0"/>
          <w:divBdr>
            <w:top w:val="none" w:sz="0" w:space="0" w:color="auto"/>
            <w:left w:val="none" w:sz="0" w:space="0" w:color="auto"/>
            <w:bottom w:val="none" w:sz="0" w:space="0" w:color="auto"/>
            <w:right w:val="none" w:sz="0" w:space="0" w:color="auto"/>
          </w:divBdr>
        </w:div>
      </w:divsChild>
    </w:div>
    <w:div w:id="309749653">
      <w:bodyDiv w:val="1"/>
      <w:marLeft w:val="0"/>
      <w:marRight w:val="0"/>
      <w:marTop w:val="0"/>
      <w:marBottom w:val="0"/>
      <w:divBdr>
        <w:top w:val="none" w:sz="0" w:space="0" w:color="auto"/>
        <w:left w:val="none" w:sz="0" w:space="0" w:color="auto"/>
        <w:bottom w:val="none" w:sz="0" w:space="0" w:color="auto"/>
        <w:right w:val="none" w:sz="0" w:space="0" w:color="auto"/>
      </w:divBdr>
    </w:div>
    <w:div w:id="352725796">
      <w:bodyDiv w:val="1"/>
      <w:marLeft w:val="0"/>
      <w:marRight w:val="0"/>
      <w:marTop w:val="0"/>
      <w:marBottom w:val="0"/>
      <w:divBdr>
        <w:top w:val="none" w:sz="0" w:space="0" w:color="auto"/>
        <w:left w:val="none" w:sz="0" w:space="0" w:color="auto"/>
        <w:bottom w:val="none" w:sz="0" w:space="0" w:color="auto"/>
        <w:right w:val="none" w:sz="0" w:space="0" w:color="auto"/>
      </w:divBdr>
    </w:div>
    <w:div w:id="354158930">
      <w:bodyDiv w:val="1"/>
      <w:marLeft w:val="0"/>
      <w:marRight w:val="0"/>
      <w:marTop w:val="0"/>
      <w:marBottom w:val="0"/>
      <w:divBdr>
        <w:top w:val="none" w:sz="0" w:space="0" w:color="auto"/>
        <w:left w:val="none" w:sz="0" w:space="0" w:color="auto"/>
        <w:bottom w:val="none" w:sz="0" w:space="0" w:color="auto"/>
        <w:right w:val="none" w:sz="0" w:space="0" w:color="auto"/>
      </w:divBdr>
    </w:div>
    <w:div w:id="426929019">
      <w:bodyDiv w:val="1"/>
      <w:marLeft w:val="0"/>
      <w:marRight w:val="0"/>
      <w:marTop w:val="0"/>
      <w:marBottom w:val="0"/>
      <w:divBdr>
        <w:top w:val="none" w:sz="0" w:space="0" w:color="auto"/>
        <w:left w:val="none" w:sz="0" w:space="0" w:color="auto"/>
        <w:bottom w:val="none" w:sz="0" w:space="0" w:color="auto"/>
        <w:right w:val="none" w:sz="0" w:space="0" w:color="auto"/>
      </w:divBdr>
      <w:divsChild>
        <w:div w:id="142696786">
          <w:marLeft w:val="1166"/>
          <w:marRight w:val="0"/>
          <w:marTop w:val="200"/>
          <w:marBottom w:val="0"/>
          <w:divBdr>
            <w:top w:val="none" w:sz="0" w:space="0" w:color="auto"/>
            <w:left w:val="none" w:sz="0" w:space="0" w:color="auto"/>
            <w:bottom w:val="none" w:sz="0" w:space="0" w:color="auto"/>
            <w:right w:val="none" w:sz="0" w:space="0" w:color="auto"/>
          </w:divBdr>
        </w:div>
        <w:div w:id="331495238">
          <w:marLeft w:val="1166"/>
          <w:marRight w:val="0"/>
          <w:marTop w:val="200"/>
          <w:marBottom w:val="0"/>
          <w:divBdr>
            <w:top w:val="none" w:sz="0" w:space="0" w:color="auto"/>
            <w:left w:val="none" w:sz="0" w:space="0" w:color="auto"/>
            <w:bottom w:val="none" w:sz="0" w:space="0" w:color="auto"/>
            <w:right w:val="none" w:sz="0" w:space="0" w:color="auto"/>
          </w:divBdr>
        </w:div>
      </w:divsChild>
    </w:div>
    <w:div w:id="450515794">
      <w:bodyDiv w:val="1"/>
      <w:marLeft w:val="0"/>
      <w:marRight w:val="0"/>
      <w:marTop w:val="0"/>
      <w:marBottom w:val="0"/>
      <w:divBdr>
        <w:top w:val="none" w:sz="0" w:space="0" w:color="auto"/>
        <w:left w:val="none" w:sz="0" w:space="0" w:color="auto"/>
        <w:bottom w:val="none" w:sz="0" w:space="0" w:color="auto"/>
        <w:right w:val="none" w:sz="0" w:space="0" w:color="auto"/>
      </w:divBdr>
    </w:div>
    <w:div w:id="454376322">
      <w:bodyDiv w:val="1"/>
      <w:marLeft w:val="0"/>
      <w:marRight w:val="0"/>
      <w:marTop w:val="0"/>
      <w:marBottom w:val="0"/>
      <w:divBdr>
        <w:top w:val="none" w:sz="0" w:space="0" w:color="auto"/>
        <w:left w:val="none" w:sz="0" w:space="0" w:color="auto"/>
        <w:bottom w:val="none" w:sz="0" w:space="0" w:color="auto"/>
        <w:right w:val="none" w:sz="0" w:space="0" w:color="auto"/>
      </w:divBdr>
    </w:div>
    <w:div w:id="463274839">
      <w:bodyDiv w:val="1"/>
      <w:marLeft w:val="0"/>
      <w:marRight w:val="0"/>
      <w:marTop w:val="0"/>
      <w:marBottom w:val="0"/>
      <w:divBdr>
        <w:top w:val="none" w:sz="0" w:space="0" w:color="auto"/>
        <w:left w:val="none" w:sz="0" w:space="0" w:color="auto"/>
        <w:bottom w:val="none" w:sz="0" w:space="0" w:color="auto"/>
        <w:right w:val="none" w:sz="0" w:space="0" w:color="auto"/>
      </w:divBdr>
    </w:div>
    <w:div w:id="473445756">
      <w:bodyDiv w:val="1"/>
      <w:marLeft w:val="0"/>
      <w:marRight w:val="0"/>
      <w:marTop w:val="0"/>
      <w:marBottom w:val="0"/>
      <w:divBdr>
        <w:top w:val="none" w:sz="0" w:space="0" w:color="auto"/>
        <w:left w:val="none" w:sz="0" w:space="0" w:color="auto"/>
        <w:bottom w:val="none" w:sz="0" w:space="0" w:color="auto"/>
        <w:right w:val="none" w:sz="0" w:space="0" w:color="auto"/>
      </w:divBdr>
      <w:divsChild>
        <w:div w:id="1382053056">
          <w:marLeft w:val="274"/>
          <w:marRight w:val="0"/>
          <w:marTop w:val="0"/>
          <w:marBottom w:val="0"/>
          <w:divBdr>
            <w:top w:val="none" w:sz="0" w:space="0" w:color="auto"/>
            <w:left w:val="none" w:sz="0" w:space="0" w:color="auto"/>
            <w:bottom w:val="none" w:sz="0" w:space="0" w:color="auto"/>
            <w:right w:val="none" w:sz="0" w:space="0" w:color="auto"/>
          </w:divBdr>
        </w:div>
        <w:div w:id="1812667794">
          <w:marLeft w:val="274"/>
          <w:marRight w:val="0"/>
          <w:marTop w:val="0"/>
          <w:marBottom w:val="0"/>
          <w:divBdr>
            <w:top w:val="none" w:sz="0" w:space="0" w:color="auto"/>
            <w:left w:val="none" w:sz="0" w:space="0" w:color="auto"/>
            <w:bottom w:val="none" w:sz="0" w:space="0" w:color="auto"/>
            <w:right w:val="none" w:sz="0" w:space="0" w:color="auto"/>
          </w:divBdr>
        </w:div>
      </w:divsChild>
    </w:div>
    <w:div w:id="475689395">
      <w:bodyDiv w:val="1"/>
      <w:marLeft w:val="0"/>
      <w:marRight w:val="0"/>
      <w:marTop w:val="0"/>
      <w:marBottom w:val="0"/>
      <w:divBdr>
        <w:top w:val="none" w:sz="0" w:space="0" w:color="auto"/>
        <w:left w:val="none" w:sz="0" w:space="0" w:color="auto"/>
        <w:bottom w:val="none" w:sz="0" w:space="0" w:color="auto"/>
        <w:right w:val="none" w:sz="0" w:space="0" w:color="auto"/>
      </w:divBdr>
      <w:divsChild>
        <w:div w:id="1451435355">
          <w:marLeft w:val="0"/>
          <w:marRight w:val="0"/>
          <w:marTop w:val="0"/>
          <w:marBottom w:val="0"/>
          <w:divBdr>
            <w:top w:val="none" w:sz="0" w:space="0" w:color="auto"/>
            <w:left w:val="none" w:sz="0" w:space="0" w:color="auto"/>
            <w:bottom w:val="none" w:sz="0" w:space="0" w:color="auto"/>
            <w:right w:val="none" w:sz="0" w:space="0" w:color="auto"/>
          </w:divBdr>
        </w:div>
      </w:divsChild>
    </w:div>
    <w:div w:id="491220232">
      <w:bodyDiv w:val="1"/>
      <w:marLeft w:val="0"/>
      <w:marRight w:val="0"/>
      <w:marTop w:val="0"/>
      <w:marBottom w:val="0"/>
      <w:divBdr>
        <w:top w:val="none" w:sz="0" w:space="0" w:color="auto"/>
        <w:left w:val="none" w:sz="0" w:space="0" w:color="auto"/>
        <w:bottom w:val="none" w:sz="0" w:space="0" w:color="auto"/>
        <w:right w:val="none" w:sz="0" w:space="0" w:color="auto"/>
      </w:divBdr>
    </w:div>
    <w:div w:id="506284460">
      <w:bodyDiv w:val="1"/>
      <w:marLeft w:val="0"/>
      <w:marRight w:val="0"/>
      <w:marTop w:val="0"/>
      <w:marBottom w:val="0"/>
      <w:divBdr>
        <w:top w:val="none" w:sz="0" w:space="0" w:color="auto"/>
        <w:left w:val="none" w:sz="0" w:space="0" w:color="auto"/>
        <w:bottom w:val="none" w:sz="0" w:space="0" w:color="auto"/>
        <w:right w:val="none" w:sz="0" w:space="0" w:color="auto"/>
      </w:divBdr>
      <w:divsChild>
        <w:div w:id="82453390">
          <w:marLeft w:val="0"/>
          <w:marRight w:val="0"/>
          <w:marTop w:val="0"/>
          <w:marBottom w:val="0"/>
          <w:divBdr>
            <w:top w:val="none" w:sz="0" w:space="0" w:color="auto"/>
            <w:left w:val="none" w:sz="0" w:space="0" w:color="auto"/>
            <w:bottom w:val="none" w:sz="0" w:space="0" w:color="auto"/>
            <w:right w:val="none" w:sz="0" w:space="0" w:color="auto"/>
          </w:divBdr>
          <w:divsChild>
            <w:div w:id="324823014">
              <w:marLeft w:val="0"/>
              <w:marRight w:val="0"/>
              <w:marTop w:val="0"/>
              <w:marBottom w:val="0"/>
              <w:divBdr>
                <w:top w:val="none" w:sz="0" w:space="0" w:color="auto"/>
                <w:left w:val="none" w:sz="0" w:space="0" w:color="auto"/>
                <w:bottom w:val="none" w:sz="0" w:space="0" w:color="auto"/>
                <w:right w:val="none" w:sz="0" w:space="0" w:color="auto"/>
              </w:divBdr>
            </w:div>
          </w:divsChild>
        </w:div>
        <w:div w:id="479880169">
          <w:marLeft w:val="0"/>
          <w:marRight w:val="0"/>
          <w:marTop w:val="0"/>
          <w:marBottom w:val="0"/>
          <w:divBdr>
            <w:top w:val="none" w:sz="0" w:space="0" w:color="auto"/>
            <w:left w:val="none" w:sz="0" w:space="0" w:color="auto"/>
            <w:bottom w:val="none" w:sz="0" w:space="0" w:color="auto"/>
            <w:right w:val="none" w:sz="0" w:space="0" w:color="auto"/>
          </w:divBdr>
          <w:divsChild>
            <w:div w:id="102309337">
              <w:marLeft w:val="0"/>
              <w:marRight w:val="0"/>
              <w:marTop w:val="0"/>
              <w:marBottom w:val="0"/>
              <w:divBdr>
                <w:top w:val="none" w:sz="0" w:space="0" w:color="auto"/>
                <w:left w:val="none" w:sz="0" w:space="0" w:color="auto"/>
                <w:bottom w:val="none" w:sz="0" w:space="0" w:color="auto"/>
                <w:right w:val="none" w:sz="0" w:space="0" w:color="auto"/>
              </w:divBdr>
            </w:div>
          </w:divsChild>
        </w:div>
        <w:div w:id="628703704">
          <w:marLeft w:val="0"/>
          <w:marRight w:val="0"/>
          <w:marTop w:val="0"/>
          <w:marBottom w:val="0"/>
          <w:divBdr>
            <w:top w:val="none" w:sz="0" w:space="0" w:color="auto"/>
            <w:left w:val="none" w:sz="0" w:space="0" w:color="auto"/>
            <w:bottom w:val="none" w:sz="0" w:space="0" w:color="auto"/>
            <w:right w:val="none" w:sz="0" w:space="0" w:color="auto"/>
          </w:divBdr>
          <w:divsChild>
            <w:div w:id="1915893271">
              <w:marLeft w:val="0"/>
              <w:marRight w:val="0"/>
              <w:marTop w:val="0"/>
              <w:marBottom w:val="0"/>
              <w:divBdr>
                <w:top w:val="none" w:sz="0" w:space="0" w:color="auto"/>
                <w:left w:val="none" w:sz="0" w:space="0" w:color="auto"/>
                <w:bottom w:val="none" w:sz="0" w:space="0" w:color="auto"/>
                <w:right w:val="none" w:sz="0" w:space="0" w:color="auto"/>
              </w:divBdr>
            </w:div>
          </w:divsChild>
        </w:div>
        <w:div w:id="855197984">
          <w:marLeft w:val="0"/>
          <w:marRight w:val="0"/>
          <w:marTop w:val="0"/>
          <w:marBottom w:val="0"/>
          <w:divBdr>
            <w:top w:val="none" w:sz="0" w:space="0" w:color="auto"/>
            <w:left w:val="none" w:sz="0" w:space="0" w:color="auto"/>
            <w:bottom w:val="none" w:sz="0" w:space="0" w:color="auto"/>
            <w:right w:val="none" w:sz="0" w:space="0" w:color="auto"/>
          </w:divBdr>
          <w:divsChild>
            <w:div w:id="382490154">
              <w:marLeft w:val="0"/>
              <w:marRight w:val="0"/>
              <w:marTop w:val="0"/>
              <w:marBottom w:val="0"/>
              <w:divBdr>
                <w:top w:val="none" w:sz="0" w:space="0" w:color="auto"/>
                <w:left w:val="none" w:sz="0" w:space="0" w:color="auto"/>
                <w:bottom w:val="none" w:sz="0" w:space="0" w:color="auto"/>
                <w:right w:val="none" w:sz="0" w:space="0" w:color="auto"/>
              </w:divBdr>
            </w:div>
          </w:divsChild>
        </w:div>
        <w:div w:id="949432137">
          <w:marLeft w:val="0"/>
          <w:marRight w:val="0"/>
          <w:marTop w:val="0"/>
          <w:marBottom w:val="0"/>
          <w:divBdr>
            <w:top w:val="none" w:sz="0" w:space="0" w:color="auto"/>
            <w:left w:val="none" w:sz="0" w:space="0" w:color="auto"/>
            <w:bottom w:val="none" w:sz="0" w:space="0" w:color="auto"/>
            <w:right w:val="none" w:sz="0" w:space="0" w:color="auto"/>
          </w:divBdr>
          <w:divsChild>
            <w:div w:id="421486190">
              <w:marLeft w:val="0"/>
              <w:marRight w:val="0"/>
              <w:marTop w:val="0"/>
              <w:marBottom w:val="0"/>
              <w:divBdr>
                <w:top w:val="none" w:sz="0" w:space="0" w:color="auto"/>
                <w:left w:val="none" w:sz="0" w:space="0" w:color="auto"/>
                <w:bottom w:val="none" w:sz="0" w:space="0" w:color="auto"/>
                <w:right w:val="none" w:sz="0" w:space="0" w:color="auto"/>
              </w:divBdr>
            </w:div>
          </w:divsChild>
        </w:div>
        <w:div w:id="1626234350">
          <w:marLeft w:val="0"/>
          <w:marRight w:val="0"/>
          <w:marTop w:val="0"/>
          <w:marBottom w:val="0"/>
          <w:divBdr>
            <w:top w:val="none" w:sz="0" w:space="0" w:color="auto"/>
            <w:left w:val="none" w:sz="0" w:space="0" w:color="auto"/>
            <w:bottom w:val="none" w:sz="0" w:space="0" w:color="auto"/>
            <w:right w:val="none" w:sz="0" w:space="0" w:color="auto"/>
          </w:divBdr>
          <w:divsChild>
            <w:div w:id="174479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16129">
      <w:bodyDiv w:val="1"/>
      <w:marLeft w:val="0"/>
      <w:marRight w:val="0"/>
      <w:marTop w:val="0"/>
      <w:marBottom w:val="0"/>
      <w:divBdr>
        <w:top w:val="none" w:sz="0" w:space="0" w:color="auto"/>
        <w:left w:val="none" w:sz="0" w:space="0" w:color="auto"/>
        <w:bottom w:val="none" w:sz="0" w:space="0" w:color="auto"/>
        <w:right w:val="none" w:sz="0" w:space="0" w:color="auto"/>
      </w:divBdr>
      <w:divsChild>
        <w:div w:id="735662979">
          <w:marLeft w:val="274"/>
          <w:marRight w:val="0"/>
          <w:marTop w:val="0"/>
          <w:marBottom w:val="0"/>
          <w:divBdr>
            <w:top w:val="none" w:sz="0" w:space="0" w:color="auto"/>
            <w:left w:val="none" w:sz="0" w:space="0" w:color="auto"/>
            <w:bottom w:val="none" w:sz="0" w:space="0" w:color="auto"/>
            <w:right w:val="none" w:sz="0" w:space="0" w:color="auto"/>
          </w:divBdr>
        </w:div>
        <w:div w:id="1622956466">
          <w:marLeft w:val="274"/>
          <w:marRight w:val="0"/>
          <w:marTop w:val="0"/>
          <w:marBottom w:val="0"/>
          <w:divBdr>
            <w:top w:val="none" w:sz="0" w:space="0" w:color="auto"/>
            <w:left w:val="none" w:sz="0" w:space="0" w:color="auto"/>
            <w:bottom w:val="none" w:sz="0" w:space="0" w:color="auto"/>
            <w:right w:val="none" w:sz="0" w:space="0" w:color="auto"/>
          </w:divBdr>
        </w:div>
      </w:divsChild>
    </w:div>
    <w:div w:id="531266867">
      <w:bodyDiv w:val="1"/>
      <w:marLeft w:val="0"/>
      <w:marRight w:val="0"/>
      <w:marTop w:val="0"/>
      <w:marBottom w:val="0"/>
      <w:divBdr>
        <w:top w:val="none" w:sz="0" w:space="0" w:color="auto"/>
        <w:left w:val="none" w:sz="0" w:space="0" w:color="auto"/>
        <w:bottom w:val="none" w:sz="0" w:space="0" w:color="auto"/>
        <w:right w:val="none" w:sz="0" w:space="0" w:color="auto"/>
      </w:divBdr>
    </w:div>
    <w:div w:id="535777070">
      <w:bodyDiv w:val="1"/>
      <w:marLeft w:val="0"/>
      <w:marRight w:val="0"/>
      <w:marTop w:val="0"/>
      <w:marBottom w:val="0"/>
      <w:divBdr>
        <w:top w:val="none" w:sz="0" w:space="0" w:color="auto"/>
        <w:left w:val="none" w:sz="0" w:space="0" w:color="auto"/>
        <w:bottom w:val="none" w:sz="0" w:space="0" w:color="auto"/>
        <w:right w:val="none" w:sz="0" w:space="0" w:color="auto"/>
      </w:divBdr>
    </w:div>
    <w:div w:id="563879376">
      <w:bodyDiv w:val="1"/>
      <w:marLeft w:val="0"/>
      <w:marRight w:val="0"/>
      <w:marTop w:val="0"/>
      <w:marBottom w:val="0"/>
      <w:divBdr>
        <w:top w:val="none" w:sz="0" w:space="0" w:color="auto"/>
        <w:left w:val="none" w:sz="0" w:space="0" w:color="auto"/>
        <w:bottom w:val="none" w:sz="0" w:space="0" w:color="auto"/>
        <w:right w:val="none" w:sz="0" w:space="0" w:color="auto"/>
      </w:divBdr>
    </w:div>
    <w:div w:id="564991276">
      <w:bodyDiv w:val="1"/>
      <w:marLeft w:val="0"/>
      <w:marRight w:val="0"/>
      <w:marTop w:val="0"/>
      <w:marBottom w:val="0"/>
      <w:divBdr>
        <w:top w:val="none" w:sz="0" w:space="0" w:color="auto"/>
        <w:left w:val="none" w:sz="0" w:space="0" w:color="auto"/>
        <w:bottom w:val="none" w:sz="0" w:space="0" w:color="auto"/>
        <w:right w:val="none" w:sz="0" w:space="0" w:color="auto"/>
      </w:divBdr>
    </w:div>
    <w:div w:id="611745279">
      <w:bodyDiv w:val="1"/>
      <w:marLeft w:val="0"/>
      <w:marRight w:val="0"/>
      <w:marTop w:val="0"/>
      <w:marBottom w:val="0"/>
      <w:divBdr>
        <w:top w:val="none" w:sz="0" w:space="0" w:color="auto"/>
        <w:left w:val="none" w:sz="0" w:space="0" w:color="auto"/>
        <w:bottom w:val="none" w:sz="0" w:space="0" w:color="auto"/>
        <w:right w:val="none" w:sz="0" w:space="0" w:color="auto"/>
      </w:divBdr>
      <w:divsChild>
        <w:div w:id="10227913">
          <w:marLeft w:val="1166"/>
          <w:marRight w:val="0"/>
          <w:marTop w:val="0"/>
          <w:marBottom w:val="0"/>
          <w:divBdr>
            <w:top w:val="none" w:sz="0" w:space="0" w:color="auto"/>
            <w:left w:val="none" w:sz="0" w:space="0" w:color="auto"/>
            <w:bottom w:val="none" w:sz="0" w:space="0" w:color="auto"/>
            <w:right w:val="none" w:sz="0" w:space="0" w:color="auto"/>
          </w:divBdr>
        </w:div>
        <w:div w:id="29452851">
          <w:marLeft w:val="1166"/>
          <w:marRight w:val="0"/>
          <w:marTop w:val="0"/>
          <w:marBottom w:val="0"/>
          <w:divBdr>
            <w:top w:val="none" w:sz="0" w:space="0" w:color="auto"/>
            <w:left w:val="none" w:sz="0" w:space="0" w:color="auto"/>
            <w:bottom w:val="none" w:sz="0" w:space="0" w:color="auto"/>
            <w:right w:val="none" w:sz="0" w:space="0" w:color="auto"/>
          </w:divBdr>
        </w:div>
        <w:div w:id="1011373864">
          <w:marLeft w:val="1166"/>
          <w:marRight w:val="0"/>
          <w:marTop w:val="0"/>
          <w:marBottom w:val="0"/>
          <w:divBdr>
            <w:top w:val="none" w:sz="0" w:space="0" w:color="auto"/>
            <w:left w:val="none" w:sz="0" w:space="0" w:color="auto"/>
            <w:bottom w:val="none" w:sz="0" w:space="0" w:color="auto"/>
            <w:right w:val="none" w:sz="0" w:space="0" w:color="auto"/>
          </w:divBdr>
        </w:div>
        <w:div w:id="1200704478">
          <w:marLeft w:val="1166"/>
          <w:marRight w:val="0"/>
          <w:marTop w:val="0"/>
          <w:marBottom w:val="0"/>
          <w:divBdr>
            <w:top w:val="none" w:sz="0" w:space="0" w:color="auto"/>
            <w:left w:val="none" w:sz="0" w:space="0" w:color="auto"/>
            <w:bottom w:val="none" w:sz="0" w:space="0" w:color="auto"/>
            <w:right w:val="none" w:sz="0" w:space="0" w:color="auto"/>
          </w:divBdr>
        </w:div>
      </w:divsChild>
    </w:div>
    <w:div w:id="634681992">
      <w:bodyDiv w:val="1"/>
      <w:marLeft w:val="0"/>
      <w:marRight w:val="0"/>
      <w:marTop w:val="0"/>
      <w:marBottom w:val="0"/>
      <w:divBdr>
        <w:top w:val="none" w:sz="0" w:space="0" w:color="auto"/>
        <w:left w:val="none" w:sz="0" w:space="0" w:color="auto"/>
        <w:bottom w:val="none" w:sz="0" w:space="0" w:color="auto"/>
        <w:right w:val="none" w:sz="0" w:space="0" w:color="auto"/>
      </w:divBdr>
      <w:divsChild>
        <w:div w:id="743575226">
          <w:marLeft w:val="0"/>
          <w:marRight w:val="0"/>
          <w:marTop w:val="0"/>
          <w:marBottom w:val="0"/>
          <w:divBdr>
            <w:top w:val="single" w:sz="2" w:space="0" w:color="E3E3E3"/>
            <w:left w:val="single" w:sz="2" w:space="0" w:color="E3E3E3"/>
            <w:bottom w:val="single" w:sz="2" w:space="0" w:color="E3E3E3"/>
            <w:right w:val="single" w:sz="2" w:space="0" w:color="E3E3E3"/>
          </w:divBdr>
          <w:divsChild>
            <w:div w:id="1417290749">
              <w:marLeft w:val="0"/>
              <w:marRight w:val="0"/>
              <w:marTop w:val="0"/>
              <w:marBottom w:val="0"/>
              <w:divBdr>
                <w:top w:val="single" w:sz="2" w:space="2" w:color="E3E3E3"/>
                <w:left w:val="single" w:sz="2" w:space="0" w:color="E3E3E3"/>
                <w:bottom w:val="single" w:sz="2" w:space="0" w:color="E3E3E3"/>
                <w:right w:val="single" w:sz="2" w:space="0" w:color="E3E3E3"/>
              </w:divBdr>
              <w:divsChild>
                <w:div w:id="12267234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61373595">
          <w:marLeft w:val="0"/>
          <w:marRight w:val="0"/>
          <w:marTop w:val="0"/>
          <w:marBottom w:val="0"/>
          <w:divBdr>
            <w:top w:val="single" w:sz="2" w:space="0" w:color="E3E3E3"/>
            <w:left w:val="single" w:sz="2" w:space="0" w:color="E3E3E3"/>
            <w:bottom w:val="single" w:sz="2" w:space="0" w:color="E3E3E3"/>
            <w:right w:val="single" w:sz="2" w:space="0" w:color="E3E3E3"/>
          </w:divBdr>
          <w:divsChild>
            <w:div w:id="2110002369">
              <w:marLeft w:val="0"/>
              <w:marRight w:val="0"/>
              <w:marTop w:val="0"/>
              <w:marBottom w:val="0"/>
              <w:divBdr>
                <w:top w:val="single" w:sz="2" w:space="2" w:color="E3E3E3"/>
                <w:left w:val="single" w:sz="2" w:space="0" w:color="E3E3E3"/>
                <w:bottom w:val="single" w:sz="2" w:space="0" w:color="E3E3E3"/>
                <w:right w:val="single" w:sz="2" w:space="0" w:color="E3E3E3"/>
              </w:divBdr>
              <w:divsChild>
                <w:div w:id="2061787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36254850">
      <w:bodyDiv w:val="1"/>
      <w:marLeft w:val="0"/>
      <w:marRight w:val="0"/>
      <w:marTop w:val="0"/>
      <w:marBottom w:val="0"/>
      <w:divBdr>
        <w:top w:val="none" w:sz="0" w:space="0" w:color="auto"/>
        <w:left w:val="none" w:sz="0" w:space="0" w:color="auto"/>
        <w:bottom w:val="none" w:sz="0" w:space="0" w:color="auto"/>
        <w:right w:val="none" w:sz="0" w:space="0" w:color="auto"/>
      </w:divBdr>
    </w:div>
    <w:div w:id="689451549">
      <w:bodyDiv w:val="1"/>
      <w:marLeft w:val="0"/>
      <w:marRight w:val="0"/>
      <w:marTop w:val="0"/>
      <w:marBottom w:val="0"/>
      <w:divBdr>
        <w:top w:val="none" w:sz="0" w:space="0" w:color="auto"/>
        <w:left w:val="none" w:sz="0" w:space="0" w:color="auto"/>
        <w:bottom w:val="none" w:sz="0" w:space="0" w:color="auto"/>
        <w:right w:val="none" w:sz="0" w:space="0" w:color="auto"/>
      </w:divBdr>
    </w:div>
    <w:div w:id="699429188">
      <w:bodyDiv w:val="1"/>
      <w:marLeft w:val="0"/>
      <w:marRight w:val="0"/>
      <w:marTop w:val="0"/>
      <w:marBottom w:val="0"/>
      <w:divBdr>
        <w:top w:val="none" w:sz="0" w:space="0" w:color="auto"/>
        <w:left w:val="none" w:sz="0" w:space="0" w:color="auto"/>
        <w:bottom w:val="none" w:sz="0" w:space="0" w:color="auto"/>
        <w:right w:val="none" w:sz="0" w:space="0" w:color="auto"/>
      </w:divBdr>
    </w:div>
    <w:div w:id="721295106">
      <w:bodyDiv w:val="1"/>
      <w:marLeft w:val="0"/>
      <w:marRight w:val="0"/>
      <w:marTop w:val="0"/>
      <w:marBottom w:val="0"/>
      <w:divBdr>
        <w:top w:val="none" w:sz="0" w:space="0" w:color="auto"/>
        <w:left w:val="none" w:sz="0" w:space="0" w:color="auto"/>
        <w:bottom w:val="none" w:sz="0" w:space="0" w:color="auto"/>
        <w:right w:val="none" w:sz="0" w:space="0" w:color="auto"/>
      </w:divBdr>
      <w:divsChild>
        <w:div w:id="262147571">
          <w:marLeft w:val="274"/>
          <w:marRight w:val="0"/>
          <w:marTop w:val="0"/>
          <w:marBottom w:val="0"/>
          <w:divBdr>
            <w:top w:val="none" w:sz="0" w:space="0" w:color="auto"/>
            <w:left w:val="none" w:sz="0" w:space="0" w:color="auto"/>
            <w:bottom w:val="none" w:sz="0" w:space="0" w:color="auto"/>
            <w:right w:val="none" w:sz="0" w:space="0" w:color="auto"/>
          </w:divBdr>
        </w:div>
        <w:div w:id="829977770">
          <w:marLeft w:val="274"/>
          <w:marRight w:val="0"/>
          <w:marTop w:val="0"/>
          <w:marBottom w:val="0"/>
          <w:divBdr>
            <w:top w:val="none" w:sz="0" w:space="0" w:color="auto"/>
            <w:left w:val="none" w:sz="0" w:space="0" w:color="auto"/>
            <w:bottom w:val="none" w:sz="0" w:space="0" w:color="auto"/>
            <w:right w:val="none" w:sz="0" w:space="0" w:color="auto"/>
          </w:divBdr>
        </w:div>
      </w:divsChild>
    </w:div>
    <w:div w:id="728309698">
      <w:bodyDiv w:val="1"/>
      <w:marLeft w:val="0"/>
      <w:marRight w:val="0"/>
      <w:marTop w:val="0"/>
      <w:marBottom w:val="0"/>
      <w:divBdr>
        <w:top w:val="none" w:sz="0" w:space="0" w:color="auto"/>
        <w:left w:val="none" w:sz="0" w:space="0" w:color="auto"/>
        <w:bottom w:val="none" w:sz="0" w:space="0" w:color="auto"/>
        <w:right w:val="none" w:sz="0" w:space="0" w:color="auto"/>
      </w:divBdr>
    </w:div>
    <w:div w:id="787361343">
      <w:bodyDiv w:val="1"/>
      <w:marLeft w:val="0"/>
      <w:marRight w:val="0"/>
      <w:marTop w:val="0"/>
      <w:marBottom w:val="0"/>
      <w:divBdr>
        <w:top w:val="none" w:sz="0" w:space="0" w:color="auto"/>
        <w:left w:val="none" w:sz="0" w:space="0" w:color="auto"/>
        <w:bottom w:val="none" w:sz="0" w:space="0" w:color="auto"/>
        <w:right w:val="none" w:sz="0" w:space="0" w:color="auto"/>
      </w:divBdr>
    </w:div>
    <w:div w:id="795176322">
      <w:bodyDiv w:val="1"/>
      <w:marLeft w:val="0"/>
      <w:marRight w:val="0"/>
      <w:marTop w:val="0"/>
      <w:marBottom w:val="0"/>
      <w:divBdr>
        <w:top w:val="none" w:sz="0" w:space="0" w:color="auto"/>
        <w:left w:val="none" w:sz="0" w:space="0" w:color="auto"/>
        <w:bottom w:val="none" w:sz="0" w:space="0" w:color="auto"/>
        <w:right w:val="none" w:sz="0" w:space="0" w:color="auto"/>
      </w:divBdr>
      <w:divsChild>
        <w:div w:id="622199733">
          <w:marLeft w:val="274"/>
          <w:marRight w:val="0"/>
          <w:marTop w:val="0"/>
          <w:marBottom w:val="0"/>
          <w:divBdr>
            <w:top w:val="none" w:sz="0" w:space="0" w:color="auto"/>
            <w:left w:val="none" w:sz="0" w:space="0" w:color="auto"/>
            <w:bottom w:val="none" w:sz="0" w:space="0" w:color="auto"/>
            <w:right w:val="none" w:sz="0" w:space="0" w:color="auto"/>
          </w:divBdr>
        </w:div>
        <w:div w:id="652023067">
          <w:marLeft w:val="274"/>
          <w:marRight w:val="0"/>
          <w:marTop w:val="0"/>
          <w:marBottom w:val="0"/>
          <w:divBdr>
            <w:top w:val="none" w:sz="0" w:space="0" w:color="auto"/>
            <w:left w:val="none" w:sz="0" w:space="0" w:color="auto"/>
            <w:bottom w:val="none" w:sz="0" w:space="0" w:color="auto"/>
            <w:right w:val="none" w:sz="0" w:space="0" w:color="auto"/>
          </w:divBdr>
        </w:div>
      </w:divsChild>
    </w:div>
    <w:div w:id="804617386">
      <w:bodyDiv w:val="1"/>
      <w:marLeft w:val="0"/>
      <w:marRight w:val="0"/>
      <w:marTop w:val="0"/>
      <w:marBottom w:val="0"/>
      <w:divBdr>
        <w:top w:val="none" w:sz="0" w:space="0" w:color="auto"/>
        <w:left w:val="none" w:sz="0" w:space="0" w:color="auto"/>
        <w:bottom w:val="none" w:sz="0" w:space="0" w:color="auto"/>
        <w:right w:val="none" w:sz="0" w:space="0" w:color="auto"/>
      </w:divBdr>
      <w:divsChild>
        <w:div w:id="1448084637">
          <w:marLeft w:val="446"/>
          <w:marRight w:val="0"/>
          <w:marTop w:val="200"/>
          <w:marBottom w:val="0"/>
          <w:divBdr>
            <w:top w:val="none" w:sz="0" w:space="0" w:color="auto"/>
            <w:left w:val="none" w:sz="0" w:space="0" w:color="auto"/>
            <w:bottom w:val="none" w:sz="0" w:space="0" w:color="auto"/>
            <w:right w:val="none" w:sz="0" w:space="0" w:color="auto"/>
          </w:divBdr>
        </w:div>
        <w:div w:id="2108962104">
          <w:marLeft w:val="446"/>
          <w:marRight w:val="0"/>
          <w:marTop w:val="200"/>
          <w:marBottom w:val="0"/>
          <w:divBdr>
            <w:top w:val="none" w:sz="0" w:space="0" w:color="auto"/>
            <w:left w:val="none" w:sz="0" w:space="0" w:color="auto"/>
            <w:bottom w:val="none" w:sz="0" w:space="0" w:color="auto"/>
            <w:right w:val="none" w:sz="0" w:space="0" w:color="auto"/>
          </w:divBdr>
        </w:div>
      </w:divsChild>
    </w:div>
    <w:div w:id="806974487">
      <w:bodyDiv w:val="1"/>
      <w:marLeft w:val="0"/>
      <w:marRight w:val="0"/>
      <w:marTop w:val="0"/>
      <w:marBottom w:val="0"/>
      <w:divBdr>
        <w:top w:val="none" w:sz="0" w:space="0" w:color="auto"/>
        <w:left w:val="none" w:sz="0" w:space="0" w:color="auto"/>
        <w:bottom w:val="none" w:sz="0" w:space="0" w:color="auto"/>
        <w:right w:val="none" w:sz="0" w:space="0" w:color="auto"/>
      </w:divBdr>
      <w:divsChild>
        <w:div w:id="745341209">
          <w:marLeft w:val="1440"/>
          <w:marRight w:val="0"/>
          <w:marTop w:val="100"/>
          <w:marBottom w:val="0"/>
          <w:divBdr>
            <w:top w:val="none" w:sz="0" w:space="0" w:color="auto"/>
            <w:left w:val="none" w:sz="0" w:space="0" w:color="auto"/>
            <w:bottom w:val="none" w:sz="0" w:space="0" w:color="auto"/>
            <w:right w:val="none" w:sz="0" w:space="0" w:color="auto"/>
          </w:divBdr>
        </w:div>
      </w:divsChild>
    </w:div>
    <w:div w:id="815033211">
      <w:bodyDiv w:val="1"/>
      <w:marLeft w:val="0"/>
      <w:marRight w:val="0"/>
      <w:marTop w:val="0"/>
      <w:marBottom w:val="0"/>
      <w:divBdr>
        <w:top w:val="none" w:sz="0" w:space="0" w:color="auto"/>
        <w:left w:val="none" w:sz="0" w:space="0" w:color="auto"/>
        <w:bottom w:val="none" w:sz="0" w:space="0" w:color="auto"/>
        <w:right w:val="none" w:sz="0" w:space="0" w:color="auto"/>
      </w:divBdr>
    </w:div>
    <w:div w:id="816453597">
      <w:bodyDiv w:val="1"/>
      <w:marLeft w:val="0"/>
      <w:marRight w:val="0"/>
      <w:marTop w:val="0"/>
      <w:marBottom w:val="0"/>
      <w:divBdr>
        <w:top w:val="none" w:sz="0" w:space="0" w:color="auto"/>
        <w:left w:val="none" w:sz="0" w:space="0" w:color="auto"/>
        <w:bottom w:val="none" w:sz="0" w:space="0" w:color="auto"/>
        <w:right w:val="none" w:sz="0" w:space="0" w:color="auto"/>
      </w:divBdr>
    </w:div>
    <w:div w:id="845558465">
      <w:bodyDiv w:val="1"/>
      <w:marLeft w:val="0"/>
      <w:marRight w:val="0"/>
      <w:marTop w:val="0"/>
      <w:marBottom w:val="0"/>
      <w:divBdr>
        <w:top w:val="none" w:sz="0" w:space="0" w:color="auto"/>
        <w:left w:val="none" w:sz="0" w:space="0" w:color="auto"/>
        <w:bottom w:val="none" w:sz="0" w:space="0" w:color="auto"/>
        <w:right w:val="none" w:sz="0" w:space="0" w:color="auto"/>
      </w:divBdr>
    </w:div>
    <w:div w:id="856893018">
      <w:bodyDiv w:val="1"/>
      <w:marLeft w:val="0"/>
      <w:marRight w:val="0"/>
      <w:marTop w:val="0"/>
      <w:marBottom w:val="0"/>
      <w:divBdr>
        <w:top w:val="none" w:sz="0" w:space="0" w:color="auto"/>
        <w:left w:val="none" w:sz="0" w:space="0" w:color="auto"/>
        <w:bottom w:val="none" w:sz="0" w:space="0" w:color="auto"/>
        <w:right w:val="none" w:sz="0" w:space="0" w:color="auto"/>
      </w:divBdr>
    </w:div>
    <w:div w:id="868564289">
      <w:bodyDiv w:val="1"/>
      <w:marLeft w:val="0"/>
      <w:marRight w:val="0"/>
      <w:marTop w:val="0"/>
      <w:marBottom w:val="0"/>
      <w:divBdr>
        <w:top w:val="none" w:sz="0" w:space="0" w:color="auto"/>
        <w:left w:val="none" w:sz="0" w:space="0" w:color="auto"/>
        <w:bottom w:val="none" w:sz="0" w:space="0" w:color="auto"/>
        <w:right w:val="none" w:sz="0" w:space="0" w:color="auto"/>
      </w:divBdr>
    </w:div>
    <w:div w:id="930745923">
      <w:bodyDiv w:val="1"/>
      <w:marLeft w:val="0"/>
      <w:marRight w:val="0"/>
      <w:marTop w:val="0"/>
      <w:marBottom w:val="0"/>
      <w:divBdr>
        <w:top w:val="none" w:sz="0" w:space="0" w:color="auto"/>
        <w:left w:val="none" w:sz="0" w:space="0" w:color="auto"/>
        <w:bottom w:val="none" w:sz="0" w:space="0" w:color="auto"/>
        <w:right w:val="none" w:sz="0" w:space="0" w:color="auto"/>
      </w:divBdr>
      <w:divsChild>
        <w:div w:id="1078985536">
          <w:marLeft w:val="0"/>
          <w:marRight w:val="0"/>
          <w:marTop w:val="0"/>
          <w:marBottom w:val="0"/>
          <w:divBdr>
            <w:top w:val="none" w:sz="0" w:space="0" w:color="auto"/>
            <w:left w:val="none" w:sz="0" w:space="0" w:color="auto"/>
            <w:bottom w:val="none" w:sz="0" w:space="0" w:color="auto"/>
            <w:right w:val="none" w:sz="0" w:space="0" w:color="auto"/>
          </w:divBdr>
          <w:divsChild>
            <w:div w:id="761410472">
              <w:marLeft w:val="0"/>
              <w:marRight w:val="0"/>
              <w:marTop w:val="0"/>
              <w:marBottom w:val="0"/>
              <w:divBdr>
                <w:top w:val="none" w:sz="0" w:space="0" w:color="auto"/>
                <w:left w:val="none" w:sz="0" w:space="0" w:color="auto"/>
                <w:bottom w:val="none" w:sz="0" w:space="0" w:color="auto"/>
                <w:right w:val="none" w:sz="0" w:space="0" w:color="auto"/>
              </w:divBdr>
              <w:divsChild>
                <w:div w:id="45679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134521">
      <w:bodyDiv w:val="1"/>
      <w:marLeft w:val="0"/>
      <w:marRight w:val="0"/>
      <w:marTop w:val="0"/>
      <w:marBottom w:val="0"/>
      <w:divBdr>
        <w:top w:val="none" w:sz="0" w:space="0" w:color="auto"/>
        <w:left w:val="none" w:sz="0" w:space="0" w:color="auto"/>
        <w:bottom w:val="none" w:sz="0" w:space="0" w:color="auto"/>
        <w:right w:val="none" w:sz="0" w:space="0" w:color="auto"/>
      </w:divBdr>
    </w:div>
    <w:div w:id="1010182927">
      <w:bodyDiv w:val="1"/>
      <w:marLeft w:val="0"/>
      <w:marRight w:val="0"/>
      <w:marTop w:val="0"/>
      <w:marBottom w:val="0"/>
      <w:divBdr>
        <w:top w:val="none" w:sz="0" w:space="0" w:color="auto"/>
        <w:left w:val="none" w:sz="0" w:space="0" w:color="auto"/>
        <w:bottom w:val="none" w:sz="0" w:space="0" w:color="auto"/>
        <w:right w:val="none" w:sz="0" w:space="0" w:color="auto"/>
      </w:divBdr>
      <w:divsChild>
        <w:div w:id="973605133">
          <w:marLeft w:val="1166"/>
          <w:marRight w:val="0"/>
          <w:marTop w:val="200"/>
          <w:marBottom w:val="0"/>
          <w:divBdr>
            <w:top w:val="none" w:sz="0" w:space="0" w:color="auto"/>
            <w:left w:val="none" w:sz="0" w:space="0" w:color="auto"/>
            <w:bottom w:val="none" w:sz="0" w:space="0" w:color="auto"/>
            <w:right w:val="none" w:sz="0" w:space="0" w:color="auto"/>
          </w:divBdr>
        </w:div>
        <w:div w:id="1719207965">
          <w:marLeft w:val="446"/>
          <w:marRight w:val="0"/>
          <w:marTop w:val="0"/>
          <w:marBottom w:val="0"/>
          <w:divBdr>
            <w:top w:val="none" w:sz="0" w:space="0" w:color="auto"/>
            <w:left w:val="none" w:sz="0" w:space="0" w:color="auto"/>
            <w:bottom w:val="none" w:sz="0" w:space="0" w:color="auto"/>
            <w:right w:val="none" w:sz="0" w:space="0" w:color="auto"/>
          </w:divBdr>
        </w:div>
      </w:divsChild>
    </w:div>
    <w:div w:id="1015764587">
      <w:bodyDiv w:val="1"/>
      <w:marLeft w:val="0"/>
      <w:marRight w:val="0"/>
      <w:marTop w:val="0"/>
      <w:marBottom w:val="0"/>
      <w:divBdr>
        <w:top w:val="none" w:sz="0" w:space="0" w:color="auto"/>
        <w:left w:val="none" w:sz="0" w:space="0" w:color="auto"/>
        <w:bottom w:val="none" w:sz="0" w:space="0" w:color="auto"/>
        <w:right w:val="none" w:sz="0" w:space="0" w:color="auto"/>
      </w:divBdr>
      <w:divsChild>
        <w:div w:id="258677700">
          <w:marLeft w:val="317"/>
          <w:marRight w:val="0"/>
          <w:marTop w:val="200"/>
          <w:marBottom w:val="0"/>
          <w:divBdr>
            <w:top w:val="none" w:sz="0" w:space="0" w:color="auto"/>
            <w:left w:val="none" w:sz="0" w:space="0" w:color="auto"/>
            <w:bottom w:val="none" w:sz="0" w:space="0" w:color="auto"/>
            <w:right w:val="none" w:sz="0" w:space="0" w:color="auto"/>
          </w:divBdr>
        </w:div>
        <w:div w:id="925842121">
          <w:marLeft w:val="317"/>
          <w:marRight w:val="0"/>
          <w:marTop w:val="200"/>
          <w:marBottom w:val="0"/>
          <w:divBdr>
            <w:top w:val="none" w:sz="0" w:space="0" w:color="auto"/>
            <w:left w:val="none" w:sz="0" w:space="0" w:color="auto"/>
            <w:bottom w:val="none" w:sz="0" w:space="0" w:color="auto"/>
            <w:right w:val="none" w:sz="0" w:space="0" w:color="auto"/>
          </w:divBdr>
        </w:div>
      </w:divsChild>
    </w:div>
    <w:div w:id="1058552431">
      <w:bodyDiv w:val="1"/>
      <w:marLeft w:val="0"/>
      <w:marRight w:val="0"/>
      <w:marTop w:val="0"/>
      <w:marBottom w:val="0"/>
      <w:divBdr>
        <w:top w:val="none" w:sz="0" w:space="0" w:color="auto"/>
        <w:left w:val="none" w:sz="0" w:space="0" w:color="auto"/>
        <w:bottom w:val="none" w:sz="0" w:space="0" w:color="auto"/>
        <w:right w:val="none" w:sz="0" w:space="0" w:color="auto"/>
      </w:divBdr>
    </w:div>
    <w:div w:id="1064185966">
      <w:bodyDiv w:val="1"/>
      <w:marLeft w:val="0"/>
      <w:marRight w:val="0"/>
      <w:marTop w:val="0"/>
      <w:marBottom w:val="0"/>
      <w:divBdr>
        <w:top w:val="none" w:sz="0" w:space="0" w:color="auto"/>
        <w:left w:val="none" w:sz="0" w:space="0" w:color="auto"/>
        <w:bottom w:val="none" w:sz="0" w:space="0" w:color="auto"/>
        <w:right w:val="none" w:sz="0" w:space="0" w:color="auto"/>
      </w:divBdr>
    </w:div>
    <w:div w:id="1090194471">
      <w:bodyDiv w:val="1"/>
      <w:marLeft w:val="0"/>
      <w:marRight w:val="0"/>
      <w:marTop w:val="0"/>
      <w:marBottom w:val="0"/>
      <w:divBdr>
        <w:top w:val="none" w:sz="0" w:space="0" w:color="auto"/>
        <w:left w:val="none" w:sz="0" w:space="0" w:color="auto"/>
        <w:bottom w:val="none" w:sz="0" w:space="0" w:color="auto"/>
        <w:right w:val="none" w:sz="0" w:space="0" w:color="auto"/>
      </w:divBdr>
      <w:divsChild>
        <w:div w:id="1481069092">
          <w:marLeft w:val="0"/>
          <w:marRight w:val="0"/>
          <w:marTop w:val="0"/>
          <w:marBottom w:val="0"/>
          <w:divBdr>
            <w:top w:val="none" w:sz="0" w:space="0" w:color="auto"/>
            <w:left w:val="none" w:sz="0" w:space="0" w:color="auto"/>
            <w:bottom w:val="none" w:sz="0" w:space="0" w:color="auto"/>
            <w:right w:val="none" w:sz="0" w:space="0" w:color="auto"/>
          </w:divBdr>
        </w:div>
        <w:div w:id="1699548720">
          <w:marLeft w:val="0"/>
          <w:marRight w:val="0"/>
          <w:marTop w:val="0"/>
          <w:marBottom w:val="0"/>
          <w:divBdr>
            <w:top w:val="none" w:sz="0" w:space="0" w:color="auto"/>
            <w:left w:val="none" w:sz="0" w:space="0" w:color="auto"/>
            <w:bottom w:val="none" w:sz="0" w:space="0" w:color="auto"/>
            <w:right w:val="none" w:sz="0" w:space="0" w:color="auto"/>
          </w:divBdr>
          <w:divsChild>
            <w:div w:id="1959755440">
              <w:marLeft w:val="0"/>
              <w:marRight w:val="0"/>
              <w:marTop w:val="0"/>
              <w:marBottom w:val="0"/>
              <w:divBdr>
                <w:top w:val="none" w:sz="0" w:space="0" w:color="auto"/>
                <w:left w:val="none" w:sz="0" w:space="0" w:color="auto"/>
                <w:bottom w:val="none" w:sz="0" w:space="0" w:color="auto"/>
                <w:right w:val="none" w:sz="0" w:space="0" w:color="auto"/>
              </w:divBdr>
              <w:divsChild>
                <w:div w:id="671298885">
                  <w:marLeft w:val="0"/>
                  <w:marRight w:val="0"/>
                  <w:marTop w:val="0"/>
                  <w:marBottom w:val="0"/>
                  <w:divBdr>
                    <w:top w:val="none" w:sz="0" w:space="0" w:color="auto"/>
                    <w:left w:val="none" w:sz="0" w:space="0" w:color="auto"/>
                    <w:bottom w:val="none" w:sz="0" w:space="0" w:color="auto"/>
                    <w:right w:val="none" w:sz="0" w:space="0" w:color="auto"/>
                  </w:divBdr>
                </w:div>
                <w:div w:id="1350066159">
                  <w:marLeft w:val="0"/>
                  <w:marRight w:val="0"/>
                  <w:marTop w:val="0"/>
                  <w:marBottom w:val="0"/>
                  <w:divBdr>
                    <w:top w:val="none" w:sz="0" w:space="0" w:color="auto"/>
                    <w:left w:val="none" w:sz="0" w:space="0" w:color="auto"/>
                    <w:bottom w:val="none" w:sz="0" w:space="0" w:color="auto"/>
                    <w:right w:val="none" w:sz="0" w:space="0" w:color="auto"/>
                  </w:divBdr>
                  <w:divsChild>
                    <w:div w:id="12010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178517">
      <w:bodyDiv w:val="1"/>
      <w:marLeft w:val="0"/>
      <w:marRight w:val="0"/>
      <w:marTop w:val="0"/>
      <w:marBottom w:val="0"/>
      <w:divBdr>
        <w:top w:val="none" w:sz="0" w:space="0" w:color="auto"/>
        <w:left w:val="none" w:sz="0" w:space="0" w:color="auto"/>
        <w:bottom w:val="none" w:sz="0" w:space="0" w:color="auto"/>
        <w:right w:val="none" w:sz="0" w:space="0" w:color="auto"/>
      </w:divBdr>
    </w:div>
    <w:div w:id="1106728074">
      <w:bodyDiv w:val="1"/>
      <w:marLeft w:val="0"/>
      <w:marRight w:val="0"/>
      <w:marTop w:val="0"/>
      <w:marBottom w:val="0"/>
      <w:divBdr>
        <w:top w:val="none" w:sz="0" w:space="0" w:color="auto"/>
        <w:left w:val="none" w:sz="0" w:space="0" w:color="auto"/>
        <w:bottom w:val="none" w:sz="0" w:space="0" w:color="auto"/>
        <w:right w:val="none" w:sz="0" w:space="0" w:color="auto"/>
      </w:divBdr>
    </w:div>
    <w:div w:id="1121338852">
      <w:bodyDiv w:val="1"/>
      <w:marLeft w:val="0"/>
      <w:marRight w:val="0"/>
      <w:marTop w:val="0"/>
      <w:marBottom w:val="0"/>
      <w:divBdr>
        <w:top w:val="none" w:sz="0" w:space="0" w:color="auto"/>
        <w:left w:val="none" w:sz="0" w:space="0" w:color="auto"/>
        <w:bottom w:val="none" w:sz="0" w:space="0" w:color="auto"/>
        <w:right w:val="none" w:sz="0" w:space="0" w:color="auto"/>
      </w:divBdr>
    </w:div>
    <w:div w:id="1138374852">
      <w:bodyDiv w:val="1"/>
      <w:marLeft w:val="0"/>
      <w:marRight w:val="0"/>
      <w:marTop w:val="0"/>
      <w:marBottom w:val="0"/>
      <w:divBdr>
        <w:top w:val="none" w:sz="0" w:space="0" w:color="auto"/>
        <w:left w:val="none" w:sz="0" w:space="0" w:color="auto"/>
        <w:bottom w:val="none" w:sz="0" w:space="0" w:color="auto"/>
        <w:right w:val="none" w:sz="0" w:space="0" w:color="auto"/>
      </w:divBdr>
      <w:divsChild>
        <w:div w:id="323780036">
          <w:marLeft w:val="446"/>
          <w:marRight w:val="0"/>
          <w:marTop w:val="0"/>
          <w:marBottom w:val="0"/>
          <w:divBdr>
            <w:top w:val="none" w:sz="0" w:space="0" w:color="auto"/>
            <w:left w:val="none" w:sz="0" w:space="0" w:color="auto"/>
            <w:bottom w:val="none" w:sz="0" w:space="0" w:color="auto"/>
            <w:right w:val="none" w:sz="0" w:space="0" w:color="auto"/>
          </w:divBdr>
        </w:div>
        <w:div w:id="936476664">
          <w:marLeft w:val="446"/>
          <w:marRight w:val="0"/>
          <w:marTop w:val="0"/>
          <w:marBottom w:val="0"/>
          <w:divBdr>
            <w:top w:val="none" w:sz="0" w:space="0" w:color="auto"/>
            <w:left w:val="none" w:sz="0" w:space="0" w:color="auto"/>
            <w:bottom w:val="none" w:sz="0" w:space="0" w:color="auto"/>
            <w:right w:val="none" w:sz="0" w:space="0" w:color="auto"/>
          </w:divBdr>
        </w:div>
        <w:div w:id="1098909543">
          <w:marLeft w:val="446"/>
          <w:marRight w:val="0"/>
          <w:marTop w:val="0"/>
          <w:marBottom w:val="0"/>
          <w:divBdr>
            <w:top w:val="none" w:sz="0" w:space="0" w:color="auto"/>
            <w:left w:val="none" w:sz="0" w:space="0" w:color="auto"/>
            <w:bottom w:val="none" w:sz="0" w:space="0" w:color="auto"/>
            <w:right w:val="none" w:sz="0" w:space="0" w:color="auto"/>
          </w:divBdr>
        </w:div>
        <w:div w:id="1455951747">
          <w:marLeft w:val="446"/>
          <w:marRight w:val="0"/>
          <w:marTop w:val="0"/>
          <w:marBottom w:val="0"/>
          <w:divBdr>
            <w:top w:val="none" w:sz="0" w:space="0" w:color="auto"/>
            <w:left w:val="none" w:sz="0" w:space="0" w:color="auto"/>
            <w:bottom w:val="none" w:sz="0" w:space="0" w:color="auto"/>
            <w:right w:val="none" w:sz="0" w:space="0" w:color="auto"/>
          </w:divBdr>
        </w:div>
        <w:div w:id="2037919982">
          <w:marLeft w:val="446"/>
          <w:marRight w:val="0"/>
          <w:marTop w:val="0"/>
          <w:marBottom w:val="0"/>
          <w:divBdr>
            <w:top w:val="none" w:sz="0" w:space="0" w:color="auto"/>
            <w:left w:val="none" w:sz="0" w:space="0" w:color="auto"/>
            <w:bottom w:val="none" w:sz="0" w:space="0" w:color="auto"/>
            <w:right w:val="none" w:sz="0" w:space="0" w:color="auto"/>
          </w:divBdr>
        </w:div>
      </w:divsChild>
    </w:div>
    <w:div w:id="1141576056">
      <w:bodyDiv w:val="1"/>
      <w:marLeft w:val="0"/>
      <w:marRight w:val="0"/>
      <w:marTop w:val="0"/>
      <w:marBottom w:val="0"/>
      <w:divBdr>
        <w:top w:val="none" w:sz="0" w:space="0" w:color="auto"/>
        <w:left w:val="none" w:sz="0" w:space="0" w:color="auto"/>
        <w:bottom w:val="none" w:sz="0" w:space="0" w:color="auto"/>
        <w:right w:val="none" w:sz="0" w:space="0" w:color="auto"/>
      </w:divBdr>
      <w:divsChild>
        <w:div w:id="146678610">
          <w:marLeft w:val="446"/>
          <w:marRight w:val="0"/>
          <w:marTop w:val="200"/>
          <w:marBottom w:val="0"/>
          <w:divBdr>
            <w:top w:val="none" w:sz="0" w:space="0" w:color="auto"/>
            <w:left w:val="none" w:sz="0" w:space="0" w:color="auto"/>
            <w:bottom w:val="none" w:sz="0" w:space="0" w:color="auto"/>
            <w:right w:val="none" w:sz="0" w:space="0" w:color="auto"/>
          </w:divBdr>
        </w:div>
        <w:div w:id="752629861">
          <w:marLeft w:val="446"/>
          <w:marRight w:val="0"/>
          <w:marTop w:val="200"/>
          <w:marBottom w:val="0"/>
          <w:divBdr>
            <w:top w:val="none" w:sz="0" w:space="0" w:color="auto"/>
            <w:left w:val="none" w:sz="0" w:space="0" w:color="auto"/>
            <w:bottom w:val="none" w:sz="0" w:space="0" w:color="auto"/>
            <w:right w:val="none" w:sz="0" w:space="0" w:color="auto"/>
          </w:divBdr>
        </w:div>
        <w:div w:id="958727847">
          <w:marLeft w:val="446"/>
          <w:marRight w:val="0"/>
          <w:marTop w:val="200"/>
          <w:marBottom w:val="0"/>
          <w:divBdr>
            <w:top w:val="none" w:sz="0" w:space="0" w:color="auto"/>
            <w:left w:val="none" w:sz="0" w:space="0" w:color="auto"/>
            <w:bottom w:val="none" w:sz="0" w:space="0" w:color="auto"/>
            <w:right w:val="none" w:sz="0" w:space="0" w:color="auto"/>
          </w:divBdr>
        </w:div>
        <w:div w:id="1242985279">
          <w:marLeft w:val="446"/>
          <w:marRight w:val="0"/>
          <w:marTop w:val="200"/>
          <w:marBottom w:val="0"/>
          <w:divBdr>
            <w:top w:val="none" w:sz="0" w:space="0" w:color="auto"/>
            <w:left w:val="none" w:sz="0" w:space="0" w:color="auto"/>
            <w:bottom w:val="none" w:sz="0" w:space="0" w:color="auto"/>
            <w:right w:val="none" w:sz="0" w:space="0" w:color="auto"/>
          </w:divBdr>
        </w:div>
        <w:div w:id="1848330522">
          <w:marLeft w:val="446"/>
          <w:marRight w:val="0"/>
          <w:marTop w:val="200"/>
          <w:marBottom w:val="0"/>
          <w:divBdr>
            <w:top w:val="none" w:sz="0" w:space="0" w:color="auto"/>
            <w:left w:val="none" w:sz="0" w:space="0" w:color="auto"/>
            <w:bottom w:val="none" w:sz="0" w:space="0" w:color="auto"/>
            <w:right w:val="none" w:sz="0" w:space="0" w:color="auto"/>
          </w:divBdr>
        </w:div>
        <w:div w:id="1854609962">
          <w:marLeft w:val="446"/>
          <w:marRight w:val="0"/>
          <w:marTop w:val="200"/>
          <w:marBottom w:val="0"/>
          <w:divBdr>
            <w:top w:val="none" w:sz="0" w:space="0" w:color="auto"/>
            <w:left w:val="none" w:sz="0" w:space="0" w:color="auto"/>
            <w:bottom w:val="none" w:sz="0" w:space="0" w:color="auto"/>
            <w:right w:val="none" w:sz="0" w:space="0" w:color="auto"/>
          </w:divBdr>
        </w:div>
        <w:div w:id="1934166443">
          <w:marLeft w:val="446"/>
          <w:marRight w:val="0"/>
          <w:marTop w:val="200"/>
          <w:marBottom w:val="0"/>
          <w:divBdr>
            <w:top w:val="none" w:sz="0" w:space="0" w:color="auto"/>
            <w:left w:val="none" w:sz="0" w:space="0" w:color="auto"/>
            <w:bottom w:val="none" w:sz="0" w:space="0" w:color="auto"/>
            <w:right w:val="none" w:sz="0" w:space="0" w:color="auto"/>
          </w:divBdr>
        </w:div>
        <w:div w:id="1948343780">
          <w:marLeft w:val="446"/>
          <w:marRight w:val="0"/>
          <w:marTop w:val="200"/>
          <w:marBottom w:val="0"/>
          <w:divBdr>
            <w:top w:val="none" w:sz="0" w:space="0" w:color="auto"/>
            <w:left w:val="none" w:sz="0" w:space="0" w:color="auto"/>
            <w:bottom w:val="none" w:sz="0" w:space="0" w:color="auto"/>
            <w:right w:val="none" w:sz="0" w:space="0" w:color="auto"/>
          </w:divBdr>
        </w:div>
        <w:div w:id="1979913900">
          <w:marLeft w:val="446"/>
          <w:marRight w:val="0"/>
          <w:marTop w:val="200"/>
          <w:marBottom w:val="0"/>
          <w:divBdr>
            <w:top w:val="none" w:sz="0" w:space="0" w:color="auto"/>
            <w:left w:val="none" w:sz="0" w:space="0" w:color="auto"/>
            <w:bottom w:val="none" w:sz="0" w:space="0" w:color="auto"/>
            <w:right w:val="none" w:sz="0" w:space="0" w:color="auto"/>
          </w:divBdr>
        </w:div>
        <w:div w:id="2065448556">
          <w:marLeft w:val="446"/>
          <w:marRight w:val="0"/>
          <w:marTop w:val="200"/>
          <w:marBottom w:val="0"/>
          <w:divBdr>
            <w:top w:val="none" w:sz="0" w:space="0" w:color="auto"/>
            <w:left w:val="none" w:sz="0" w:space="0" w:color="auto"/>
            <w:bottom w:val="none" w:sz="0" w:space="0" w:color="auto"/>
            <w:right w:val="none" w:sz="0" w:space="0" w:color="auto"/>
          </w:divBdr>
        </w:div>
      </w:divsChild>
    </w:div>
    <w:div w:id="1249312774">
      <w:bodyDiv w:val="1"/>
      <w:marLeft w:val="0"/>
      <w:marRight w:val="0"/>
      <w:marTop w:val="0"/>
      <w:marBottom w:val="0"/>
      <w:divBdr>
        <w:top w:val="none" w:sz="0" w:space="0" w:color="auto"/>
        <w:left w:val="none" w:sz="0" w:space="0" w:color="auto"/>
        <w:bottom w:val="none" w:sz="0" w:space="0" w:color="auto"/>
        <w:right w:val="none" w:sz="0" w:space="0" w:color="auto"/>
      </w:divBdr>
    </w:div>
    <w:div w:id="1251041061">
      <w:bodyDiv w:val="1"/>
      <w:marLeft w:val="0"/>
      <w:marRight w:val="0"/>
      <w:marTop w:val="0"/>
      <w:marBottom w:val="0"/>
      <w:divBdr>
        <w:top w:val="none" w:sz="0" w:space="0" w:color="auto"/>
        <w:left w:val="none" w:sz="0" w:space="0" w:color="auto"/>
        <w:bottom w:val="none" w:sz="0" w:space="0" w:color="auto"/>
        <w:right w:val="none" w:sz="0" w:space="0" w:color="auto"/>
      </w:divBdr>
    </w:div>
    <w:div w:id="1262757380">
      <w:bodyDiv w:val="1"/>
      <w:marLeft w:val="0"/>
      <w:marRight w:val="0"/>
      <w:marTop w:val="0"/>
      <w:marBottom w:val="0"/>
      <w:divBdr>
        <w:top w:val="none" w:sz="0" w:space="0" w:color="auto"/>
        <w:left w:val="none" w:sz="0" w:space="0" w:color="auto"/>
        <w:bottom w:val="none" w:sz="0" w:space="0" w:color="auto"/>
        <w:right w:val="none" w:sz="0" w:space="0" w:color="auto"/>
      </w:divBdr>
      <w:divsChild>
        <w:div w:id="1486312973">
          <w:marLeft w:val="1166"/>
          <w:marRight w:val="0"/>
          <w:marTop w:val="200"/>
          <w:marBottom w:val="0"/>
          <w:divBdr>
            <w:top w:val="none" w:sz="0" w:space="0" w:color="auto"/>
            <w:left w:val="none" w:sz="0" w:space="0" w:color="auto"/>
            <w:bottom w:val="none" w:sz="0" w:space="0" w:color="auto"/>
            <w:right w:val="none" w:sz="0" w:space="0" w:color="auto"/>
          </w:divBdr>
        </w:div>
      </w:divsChild>
    </w:div>
    <w:div w:id="1264649744">
      <w:bodyDiv w:val="1"/>
      <w:marLeft w:val="0"/>
      <w:marRight w:val="0"/>
      <w:marTop w:val="0"/>
      <w:marBottom w:val="0"/>
      <w:divBdr>
        <w:top w:val="none" w:sz="0" w:space="0" w:color="auto"/>
        <w:left w:val="none" w:sz="0" w:space="0" w:color="auto"/>
        <w:bottom w:val="none" w:sz="0" w:space="0" w:color="auto"/>
        <w:right w:val="none" w:sz="0" w:space="0" w:color="auto"/>
      </w:divBdr>
    </w:div>
    <w:div w:id="1372878509">
      <w:bodyDiv w:val="1"/>
      <w:marLeft w:val="0"/>
      <w:marRight w:val="0"/>
      <w:marTop w:val="0"/>
      <w:marBottom w:val="0"/>
      <w:divBdr>
        <w:top w:val="none" w:sz="0" w:space="0" w:color="auto"/>
        <w:left w:val="none" w:sz="0" w:space="0" w:color="auto"/>
        <w:bottom w:val="none" w:sz="0" w:space="0" w:color="auto"/>
        <w:right w:val="none" w:sz="0" w:space="0" w:color="auto"/>
      </w:divBdr>
    </w:div>
    <w:div w:id="1384862293">
      <w:bodyDiv w:val="1"/>
      <w:marLeft w:val="0"/>
      <w:marRight w:val="0"/>
      <w:marTop w:val="0"/>
      <w:marBottom w:val="0"/>
      <w:divBdr>
        <w:top w:val="none" w:sz="0" w:space="0" w:color="auto"/>
        <w:left w:val="none" w:sz="0" w:space="0" w:color="auto"/>
        <w:bottom w:val="none" w:sz="0" w:space="0" w:color="auto"/>
        <w:right w:val="none" w:sz="0" w:space="0" w:color="auto"/>
      </w:divBdr>
      <w:divsChild>
        <w:div w:id="507528135">
          <w:marLeft w:val="0"/>
          <w:marRight w:val="0"/>
          <w:marTop w:val="0"/>
          <w:marBottom w:val="0"/>
          <w:divBdr>
            <w:top w:val="none" w:sz="0" w:space="0" w:color="auto"/>
            <w:left w:val="none" w:sz="0" w:space="0" w:color="auto"/>
            <w:bottom w:val="none" w:sz="0" w:space="0" w:color="auto"/>
            <w:right w:val="none" w:sz="0" w:space="0" w:color="auto"/>
          </w:divBdr>
        </w:div>
        <w:div w:id="1959294128">
          <w:marLeft w:val="0"/>
          <w:marRight w:val="0"/>
          <w:marTop w:val="0"/>
          <w:marBottom w:val="0"/>
          <w:divBdr>
            <w:top w:val="none" w:sz="0" w:space="0" w:color="auto"/>
            <w:left w:val="none" w:sz="0" w:space="0" w:color="auto"/>
            <w:bottom w:val="none" w:sz="0" w:space="0" w:color="auto"/>
            <w:right w:val="none" w:sz="0" w:space="0" w:color="auto"/>
          </w:divBdr>
        </w:div>
      </w:divsChild>
    </w:div>
    <w:div w:id="1405488468">
      <w:bodyDiv w:val="1"/>
      <w:marLeft w:val="0"/>
      <w:marRight w:val="0"/>
      <w:marTop w:val="0"/>
      <w:marBottom w:val="0"/>
      <w:divBdr>
        <w:top w:val="none" w:sz="0" w:space="0" w:color="auto"/>
        <w:left w:val="none" w:sz="0" w:space="0" w:color="auto"/>
        <w:bottom w:val="none" w:sz="0" w:space="0" w:color="auto"/>
        <w:right w:val="none" w:sz="0" w:space="0" w:color="auto"/>
      </w:divBdr>
    </w:div>
    <w:div w:id="1433428004">
      <w:bodyDiv w:val="1"/>
      <w:marLeft w:val="0"/>
      <w:marRight w:val="0"/>
      <w:marTop w:val="0"/>
      <w:marBottom w:val="0"/>
      <w:divBdr>
        <w:top w:val="none" w:sz="0" w:space="0" w:color="auto"/>
        <w:left w:val="none" w:sz="0" w:space="0" w:color="auto"/>
        <w:bottom w:val="none" w:sz="0" w:space="0" w:color="auto"/>
        <w:right w:val="none" w:sz="0" w:space="0" w:color="auto"/>
      </w:divBdr>
    </w:div>
    <w:div w:id="1441995946">
      <w:bodyDiv w:val="1"/>
      <w:marLeft w:val="0"/>
      <w:marRight w:val="0"/>
      <w:marTop w:val="0"/>
      <w:marBottom w:val="0"/>
      <w:divBdr>
        <w:top w:val="none" w:sz="0" w:space="0" w:color="auto"/>
        <w:left w:val="none" w:sz="0" w:space="0" w:color="auto"/>
        <w:bottom w:val="none" w:sz="0" w:space="0" w:color="auto"/>
        <w:right w:val="none" w:sz="0" w:space="0" w:color="auto"/>
      </w:divBdr>
    </w:div>
    <w:div w:id="1446388990">
      <w:bodyDiv w:val="1"/>
      <w:marLeft w:val="0"/>
      <w:marRight w:val="0"/>
      <w:marTop w:val="0"/>
      <w:marBottom w:val="0"/>
      <w:divBdr>
        <w:top w:val="none" w:sz="0" w:space="0" w:color="auto"/>
        <w:left w:val="none" w:sz="0" w:space="0" w:color="auto"/>
        <w:bottom w:val="none" w:sz="0" w:space="0" w:color="auto"/>
        <w:right w:val="none" w:sz="0" w:space="0" w:color="auto"/>
      </w:divBdr>
    </w:div>
    <w:div w:id="1499953749">
      <w:bodyDiv w:val="1"/>
      <w:marLeft w:val="0"/>
      <w:marRight w:val="0"/>
      <w:marTop w:val="0"/>
      <w:marBottom w:val="0"/>
      <w:divBdr>
        <w:top w:val="none" w:sz="0" w:space="0" w:color="auto"/>
        <w:left w:val="none" w:sz="0" w:space="0" w:color="auto"/>
        <w:bottom w:val="none" w:sz="0" w:space="0" w:color="auto"/>
        <w:right w:val="none" w:sz="0" w:space="0" w:color="auto"/>
      </w:divBdr>
    </w:div>
    <w:div w:id="1517576040">
      <w:bodyDiv w:val="1"/>
      <w:marLeft w:val="0"/>
      <w:marRight w:val="0"/>
      <w:marTop w:val="0"/>
      <w:marBottom w:val="0"/>
      <w:divBdr>
        <w:top w:val="none" w:sz="0" w:space="0" w:color="auto"/>
        <w:left w:val="none" w:sz="0" w:space="0" w:color="auto"/>
        <w:bottom w:val="none" w:sz="0" w:space="0" w:color="auto"/>
        <w:right w:val="none" w:sz="0" w:space="0" w:color="auto"/>
      </w:divBdr>
      <w:divsChild>
        <w:div w:id="397021865">
          <w:marLeft w:val="446"/>
          <w:marRight w:val="0"/>
          <w:marTop w:val="0"/>
          <w:marBottom w:val="0"/>
          <w:divBdr>
            <w:top w:val="none" w:sz="0" w:space="0" w:color="auto"/>
            <w:left w:val="none" w:sz="0" w:space="0" w:color="auto"/>
            <w:bottom w:val="none" w:sz="0" w:space="0" w:color="auto"/>
            <w:right w:val="none" w:sz="0" w:space="0" w:color="auto"/>
          </w:divBdr>
        </w:div>
        <w:div w:id="406805228">
          <w:marLeft w:val="446"/>
          <w:marRight w:val="0"/>
          <w:marTop w:val="0"/>
          <w:marBottom w:val="0"/>
          <w:divBdr>
            <w:top w:val="none" w:sz="0" w:space="0" w:color="auto"/>
            <w:left w:val="none" w:sz="0" w:space="0" w:color="auto"/>
            <w:bottom w:val="none" w:sz="0" w:space="0" w:color="auto"/>
            <w:right w:val="none" w:sz="0" w:space="0" w:color="auto"/>
          </w:divBdr>
        </w:div>
        <w:div w:id="1047800308">
          <w:marLeft w:val="446"/>
          <w:marRight w:val="0"/>
          <w:marTop w:val="0"/>
          <w:marBottom w:val="0"/>
          <w:divBdr>
            <w:top w:val="none" w:sz="0" w:space="0" w:color="auto"/>
            <w:left w:val="none" w:sz="0" w:space="0" w:color="auto"/>
            <w:bottom w:val="none" w:sz="0" w:space="0" w:color="auto"/>
            <w:right w:val="none" w:sz="0" w:space="0" w:color="auto"/>
          </w:divBdr>
        </w:div>
      </w:divsChild>
    </w:div>
    <w:div w:id="1540700506">
      <w:bodyDiv w:val="1"/>
      <w:marLeft w:val="0"/>
      <w:marRight w:val="0"/>
      <w:marTop w:val="0"/>
      <w:marBottom w:val="0"/>
      <w:divBdr>
        <w:top w:val="none" w:sz="0" w:space="0" w:color="auto"/>
        <w:left w:val="none" w:sz="0" w:space="0" w:color="auto"/>
        <w:bottom w:val="none" w:sz="0" w:space="0" w:color="auto"/>
        <w:right w:val="none" w:sz="0" w:space="0" w:color="auto"/>
      </w:divBdr>
      <w:divsChild>
        <w:div w:id="721632056">
          <w:marLeft w:val="274"/>
          <w:marRight w:val="0"/>
          <w:marTop w:val="200"/>
          <w:marBottom w:val="0"/>
          <w:divBdr>
            <w:top w:val="none" w:sz="0" w:space="0" w:color="auto"/>
            <w:left w:val="none" w:sz="0" w:space="0" w:color="auto"/>
            <w:bottom w:val="none" w:sz="0" w:space="0" w:color="auto"/>
            <w:right w:val="none" w:sz="0" w:space="0" w:color="auto"/>
          </w:divBdr>
        </w:div>
        <w:div w:id="1046754170">
          <w:marLeft w:val="274"/>
          <w:marRight w:val="0"/>
          <w:marTop w:val="200"/>
          <w:marBottom w:val="0"/>
          <w:divBdr>
            <w:top w:val="none" w:sz="0" w:space="0" w:color="auto"/>
            <w:left w:val="none" w:sz="0" w:space="0" w:color="auto"/>
            <w:bottom w:val="none" w:sz="0" w:space="0" w:color="auto"/>
            <w:right w:val="none" w:sz="0" w:space="0" w:color="auto"/>
          </w:divBdr>
        </w:div>
        <w:div w:id="1218928639">
          <w:marLeft w:val="274"/>
          <w:marRight w:val="0"/>
          <w:marTop w:val="200"/>
          <w:marBottom w:val="0"/>
          <w:divBdr>
            <w:top w:val="none" w:sz="0" w:space="0" w:color="auto"/>
            <w:left w:val="none" w:sz="0" w:space="0" w:color="auto"/>
            <w:bottom w:val="none" w:sz="0" w:space="0" w:color="auto"/>
            <w:right w:val="none" w:sz="0" w:space="0" w:color="auto"/>
          </w:divBdr>
        </w:div>
      </w:divsChild>
    </w:div>
    <w:div w:id="1562523728">
      <w:bodyDiv w:val="1"/>
      <w:marLeft w:val="0"/>
      <w:marRight w:val="0"/>
      <w:marTop w:val="0"/>
      <w:marBottom w:val="0"/>
      <w:divBdr>
        <w:top w:val="none" w:sz="0" w:space="0" w:color="auto"/>
        <w:left w:val="none" w:sz="0" w:space="0" w:color="auto"/>
        <w:bottom w:val="none" w:sz="0" w:space="0" w:color="auto"/>
        <w:right w:val="none" w:sz="0" w:space="0" w:color="auto"/>
      </w:divBdr>
    </w:div>
    <w:div w:id="1565293059">
      <w:bodyDiv w:val="1"/>
      <w:marLeft w:val="0"/>
      <w:marRight w:val="0"/>
      <w:marTop w:val="0"/>
      <w:marBottom w:val="0"/>
      <w:divBdr>
        <w:top w:val="none" w:sz="0" w:space="0" w:color="auto"/>
        <w:left w:val="none" w:sz="0" w:space="0" w:color="auto"/>
        <w:bottom w:val="none" w:sz="0" w:space="0" w:color="auto"/>
        <w:right w:val="none" w:sz="0" w:space="0" w:color="auto"/>
      </w:divBdr>
      <w:divsChild>
        <w:div w:id="124738259">
          <w:marLeft w:val="446"/>
          <w:marRight w:val="0"/>
          <w:marTop w:val="200"/>
          <w:marBottom w:val="0"/>
          <w:divBdr>
            <w:top w:val="none" w:sz="0" w:space="0" w:color="auto"/>
            <w:left w:val="none" w:sz="0" w:space="0" w:color="auto"/>
            <w:bottom w:val="none" w:sz="0" w:space="0" w:color="auto"/>
            <w:right w:val="none" w:sz="0" w:space="0" w:color="auto"/>
          </w:divBdr>
        </w:div>
        <w:div w:id="179123315">
          <w:marLeft w:val="446"/>
          <w:marRight w:val="0"/>
          <w:marTop w:val="200"/>
          <w:marBottom w:val="0"/>
          <w:divBdr>
            <w:top w:val="none" w:sz="0" w:space="0" w:color="auto"/>
            <w:left w:val="none" w:sz="0" w:space="0" w:color="auto"/>
            <w:bottom w:val="none" w:sz="0" w:space="0" w:color="auto"/>
            <w:right w:val="none" w:sz="0" w:space="0" w:color="auto"/>
          </w:divBdr>
        </w:div>
        <w:div w:id="340015453">
          <w:marLeft w:val="1253"/>
          <w:marRight w:val="0"/>
          <w:marTop w:val="200"/>
          <w:marBottom w:val="0"/>
          <w:divBdr>
            <w:top w:val="none" w:sz="0" w:space="0" w:color="auto"/>
            <w:left w:val="none" w:sz="0" w:space="0" w:color="auto"/>
            <w:bottom w:val="none" w:sz="0" w:space="0" w:color="auto"/>
            <w:right w:val="none" w:sz="0" w:space="0" w:color="auto"/>
          </w:divBdr>
        </w:div>
        <w:div w:id="386153301">
          <w:marLeft w:val="446"/>
          <w:marRight w:val="0"/>
          <w:marTop w:val="200"/>
          <w:marBottom w:val="0"/>
          <w:divBdr>
            <w:top w:val="none" w:sz="0" w:space="0" w:color="auto"/>
            <w:left w:val="none" w:sz="0" w:space="0" w:color="auto"/>
            <w:bottom w:val="none" w:sz="0" w:space="0" w:color="auto"/>
            <w:right w:val="none" w:sz="0" w:space="0" w:color="auto"/>
          </w:divBdr>
        </w:div>
        <w:div w:id="463238396">
          <w:marLeft w:val="446"/>
          <w:marRight w:val="0"/>
          <w:marTop w:val="200"/>
          <w:marBottom w:val="0"/>
          <w:divBdr>
            <w:top w:val="none" w:sz="0" w:space="0" w:color="auto"/>
            <w:left w:val="none" w:sz="0" w:space="0" w:color="auto"/>
            <w:bottom w:val="none" w:sz="0" w:space="0" w:color="auto"/>
            <w:right w:val="none" w:sz="0" w:space="0" w:color="auto"/>
          </w:divBdr>
        </w:div>
        <w:div w:id="467093396">
          <w:marLeft w:val="446"/>
          <w:marRight w:val="0"/>
          <w:marTop w:val="200"/>
          <w:marBottom w:val="0"/>
          <w:divBdr>
            <w:top w:val="none" w:sz="0" w:space="0" w:color="auto"/>
            <w:left w:val="none" w:sz="0" w:space="0" w:color="auto"/>
            <w:bottom w:val="none" w:sz="0" w:space="0" w:color="auto"/>
            <w:right w:val="none" w:sz="0" w:space="0" w:color="auto"/>
          </w:divBdr>
        </w:div>
        <w:div w:id="844638196">
          <w:marLeft w:val="446"/>
          <w:marRight w:val="0"/>
          <w:marTop w:val="200"/>
          <w:marBottom w:val="0"/>
          <w:divBdr>
            <w:top w:val="none" w:sz="0" w:space="0" w:color="auto"/>
            <w:left w:val="none" w:sz="0" w:space="0" w:color="auto"/>
            <w:bottom w:val="none" w:sz="0" w:space="0" w:color="auto"/>
            <w:right w:val="none" w:sz="0" w:space="0" w:color="auto"/>
          </w:divBdr>
        </w:div>
        <w:div w:id="934290596">
          <w:marLeft w:val="1253"/>
          <w:marRight w:val="0"/>
          <w:marTop w:val="200"/>
          <w:marBottom w:val="0"/>
          <w:divBdr>
            <w:top w:val="none" w:sz="0" w:space="0" w:color="auto"/>
            <w:left w:val="none" w:sz="0" w:space="0" w:color="auto"/>
            <w:bottom w:val="none" w:sz="0" w:space="0" w:color="auto"/>
            <w:right w:val="none" w:sz="0" w:space="0" w:color="auto"/>
          </w:divBdr>
        </w:div>
        <w:div w:id="1595892546">
          <w:marLeft w:val="446"/>
          <w:marRight w:val="0"/>
          <w:marTop w:val="200"/>
          <w:marBottom w:val="0"/>
          <w:divBdr>
            <w:top w:val="none" w:sz="0" w:space="0" w:color="auto"/>
            <w:left w:val="none" w:sz="0" w:space="0" w:color="auto"/>
            <w:bottom w:val="none" w:sz="0" w:space="0" w:color="auto"/>
            <w:right w:val="none" w:sz="0" w:space="0" w:color="auto"/>
          </w:divBdr>
        </w:div>
        <w:div w:id="1733498825">
          <w:marLeft w:val="446"/>
          <w:marRight w:val="0"/>
          <w:marTop w:val="200"/>
          <w:marBottom w:val="0"/>
          <w:divBdr>
            <w:top w:val="none" w:sz="0" w:space="0" w:color="auto"/>
            <w:left w:val="none" w:sz="0" w:space="0" w:color="auto"/>
            <w:bottom w:val="none" w:sz="0" w:space="0" w:color="auto"/>
            <w:right w:val="none" w:sz="0" w:space="0" w:color="auto"/>
          </w:divBdr>
        </w:div>
        <w:div w:id="1951546364">
          <w:marLeft w:val="446"/>
          <w:marRight w:val="0"/>
          <w:marTop w:val="200"/>
          <w:marBottom w:val="0"/>
          <w:divBdr>
            <w:top w:val="none" w:sz="0" w:space="0" w:color="auto"/>
            <w:left w:val="none" w:sz="0" w:space="0" w:color="auto"/>
            <w:bottom w:val="none" w:sz="0" w:space="0" w:color="auto"/>
            <w:right w:val="none" w:sz="0" w:space="0" w:color="auto"/>
          </w:divBdr>
        </w:div>
      </w:divsChild>
    </w:div>
    <w:div w:id="1585996031">
      <w:bodyDiv w:val="1"/>
      <w:marLeft w:val="0"/>
      <w:marRight w:val="0"/>
      <w:marTop w:val="0"/>
      <w:marBottom w:val="0"/>
      <w:divBdr>
        <w:top w:val="none" w:sz="0" w:space="0" w:color="auto"/>
        <w:left w:val="none" w:sz="0" w:space="0" w:color="auto"/>
        <w:bottom w:val="none" w:sz="0" w:space="0" w:color="auto"/>
        <w:right w:val="none" w:sz="0" w:space="0" w:color="auto"/>
      </w:divBdr>
    </w:div>
    <w:div w:id="1593735111">
      <w:bodyDiv w:val="1"/>
      <w:marLeft w:val="0"/>
      <w:marRight w:val="0"/>
      <w:marTop w:val="0"/>
      <w:marBottom w:val="0"/>
      <w:divBdr>
        <w:top w:val="none" w:sz="0" w:space="0" w:color="auto"/>
        <w:left w:val="none" w:sz="0" w:space="0" w:color="auto"/>
        <w:bottom w:val="none" w:sz="0" w:space="0" w:color="auto"/>
        <w:right w:val="none" w:sz="0" w:space="0" w:color="auto"/>
      </w:divBdr>
    </w:div>
    <w:div w:id="1617248540">
      <w:bodyDiv w:val="1"/>
      <w:marLeft w:val="0"/>
      <w:marRight w:val="0"/>
      <w:marTop w:val="0"/>
      <w:marBottom w:val="0"/>
      <w:divBdr>
        <w:top w:val="none" w:sz="0" w:space="0" w:color="auto"/>
        <w:left w:val="none" w:sz="0" w:space="0" w:color="auto"/>
        <w:bottom w:val="none" w:sz="0" w:space="0" w:color="auto"/>
        <w:right w:val="none" w:sz="0" w:space="0" w:color="auto"/>
      </w:divBdr>
    </w:div>
    <w:div w:id="1621523275">
      <w:bodyDiv w:val="1"/>
      <w:marLeft w:val="0"/>
      <w:marRight w:val="0"/>
      <w:marTop w:val="0"/>
      <w:marBottom w:val="0"/>
      <w:divBdr>
        <w:top w:val="none" w:sz="0" w:space="0" w:color="auto"/>
        <w:left w:val="none" w:sz="0" w:space="0" w:color="auto"/>
        <w:bottom w:val="none" w:sz="0" w:space="0" w:color="auto"/>
        <w:right w:val="none" w:sz="0" w:space="0" w:color="auto"/>
      </w:divBdr>
    </w:div>
    <w:div w:id="1658419829">
      <w:bodyDiv w:val="1"/>
      <w:marLeft w:val="0"/>
      <w:marRight w:val="0"/>
      <w:marTop w:val="0"/>
      <w:marBottom w:val="0"/>
      <w:divBdr>
        <w:top w:val="none" w:sz="0" w:space="0" w:color="auto"/>
        <w:left w:val="none" w:sz="0" w:space="0" w:color="auto"/>
        <w:bottom w:val="none" w:sz="0" w:space="0" w:color="auto"/>
        <w:right w:val="none" w:sz="0" w:space="0" w:color="auto"/>
      </w:divBdr>
      <w:divsChild>
        <w:div w:id="429786401">
          <w:marLeft w:val="446"/>
          <w:marRight w:val="0"/>
          <w:marTop w:val="200"/>
          <w:marBottom w:val="0"/>
          <w:divBdr>
            <w:top w:val="none" w:sz="0" w:space="0" w:color="auto"/>
            <w:left w:val="none" w:sz="0" w:space="0" w:color="auto"/>
            <w:bottom w:val="none" w:sz="0" w:space="0" w:color="auto"/>
            <w:right w:val="none" w:sz="0" w:space="0" w:color="auto"/>
          </w:divBdr>
        </w:div>
        <w:div w:id="609319714">
          <w:marLeft w:val="446"/>
          <w:marRight w:val="0"/>
          <w:marTop w:val="200"/>
          <w:marBottom w:val="0"/>
          <w:divBdr>
            <w:top w:val="none" w:sz="0" w:space="0" w:color="auto"/>
            <w:left w:val="none" w:sz="0" w:space="0" w:color="auto"/>
            <w:bottom w:val="none" w:sz="0" w:space="0" w:color="auto"/>
            <w:right w:val="none" w:sz="0" w:space="0" w:color="auto"/>
          </w:divBdr>
        </w:div>
        <w:div w:id="682318860">
          <w:marLeft w:val="446"/>
          <w:marRight w:val="0"/>
          <w:marTop w:val="200"/>
          <w:marBottom w:val="0"/>
          <w:divBdr>
            <w:top w:val="none" w:sz="0" w:space="0" w:color="auto"/>
            <w:left w:val="none" w:sz="0" w:space="0" w:color="auto"/>
            <w:bottom w:val="none" w:sz="0" w:space="0" w:color="auto"/>
            <w:right w:val="none" w:sz="0" w:space="0" w:color="auto"/>
          </w:divBdr>
        </w:div>
        <w:div w:id="2120951393">
          <w:marLeft w:val="446"/>
          <w:marRight w:val="0"/>
          <w:marTop w:val="200"/>
          <w:marBottom w:val="0"/>
          <w:divBdr>
            <w:top w:val="none" w:sz="0" w:space="0" w:color="auto"/>
            <w:left w:val="none" w:sz="0" w:space="0" w:color="auto"/>
            <w:bottom w:val="none" w:sz="0" w:space="0" w:color="auto"/>
            <w:right w:val="none" w:sz="0" w:space="0" w:color="auto"/>
          </w:divBdr>
        </w:div>
      </w:divsChild>
    </w:div>
    <w:div w:id="1722635892">
      <w:bodyDiv w:val="1"/>
      <w:marLeft w:val="0"/>
      <w:marRight w:val="0"/>
      <w:marTop w:val="0"/>
      <w:marBottom w:val="0"/>
      <w:divBdr>
        <w:top w:val="none" w:sz="0" w:space="0" w:color="auto"/>
        <w:left w:val="none" w:sz="0" w:space="0" w:color="auto"/>
        <w:bottom w:val="none" w:sz="0" w:space="0" w:color="auto"/>
        <w:right w:val="none" w:sz="0" w:space="0" w:color="auto"/>
      </w:divBdr>
    </w:div>
    <w:div w:id="1735855596">
      <w:bodyDiv w:val="1"/>
      <w:marLeft w:val="0"/>
      <w:marRight w:val="0"/>
      <w:marTop w:val="0"/>
      <w:marBottom w:val="0"/>
      <w:divBdr>
        <w:top w:val="none" w:sz="0" w:space="0" w:color="auto"/>
        <w:left w:val="none" w:sz="0" w:space="0" w:color="auto"/>
        <w:bottom w:val="none" w:sz="0" w:space="0" w:color="auto"/>
        <w:right w:val="none" w:sz="0" w:space="0" w:color="auto"/>
      </w:divBdr>
    </w:div>
    <w:div w:id="1743596264">
      <w:bodyDiv w:val="1"/>
      <w:marLeft w:val="0"/>
      <w:marRight w:val="0"/>
      <w:marTop w:val="0"/>
      <w:marBottom w:val="0"/>
      <w:divBdr>
        <w:top w:val="none" w:sz="0" w:space="0" w:color="auto"/>
        <w:left w:val="none" w:sz="0" w:space="0" w:color="auto"/>
        <w:bottom w:val="none" w:sz="0" w:space="0" w:color="auto"/>
        <w:right w:val="none" w:sz="0" w:space="0" w:color="auto"/>
      </w:divBdr>
    </w:div>
    <w:div w:id="1758940363">
      <w:bodyDiv w:val="1"/>
      <w:marLeft w:val="0"/>
      <w:marRight w:val="0"/>
      <w:marTop w:val="0"/>
      <w:marBottom w:val="0"/>
      <w:divBdr>
        <w:top w:val="none" w:sz="0" w:space="0" w:color="auto"/>
        <w:left w:val="none" w:sz="0" w:space="0" w:color="auto"/>
        <w:bottom w:val="none" w:sz="0" w:space="0" w:color="auto"/>
        <w:right w:val="none" w:sz="0" w:space="0" w:color="auto"/>
      </w:divBdr>
      <w:divsChild>
        <w:div w:id="1067846449">
          <w:marLeft w:val="0"/>
          <w:marRight w:val="0"/>
          <w:marTop w:val="0"/>
          <w:marBottom w:val="0"/>
          <w:divBdr>
            <w:top w:val="none" w:sz="0" w:space="0" w:color="auto"/>
            <w:left w:val="none" w:sz="0" w:space="0" w:color="auto"/>
            <w:bottom w:val="none" w:sz="0" w:space="0" w:color="auto"/>
            <w:right w:val="none" w:sz="0" w:space="0" w:color="auto"/>
          </w:divBdr>
        </w:div>
      </w:divsChild>
    </w:div>
    <w:div w:id="1786267402">
      <w:bodyDiv w:val="1"/>
      <w:marLeft w:val="0"/>
      <w:marRight w:val="0"/>
      <w:marTop w:val="0"/>
      <w:marBottom w:val="0"/>
      <w:divBdr>
        <w:top w:val="none" w:sz="0" w:space="0" w:color="auto"/>
        <w:left w:val="none" w:sz="0" w:space="0" w:color="auto"/>
        <w:bottom w:val="none" w:sz="0" w:space="0" w:color="auto"/>
        <w:right w:val="none" w:sz="0" w:space="0" w:color="auto"/>
      </w:divBdr>
    </w:div>
    <w:div w:id="1788159594">
      <w:bodyDiv w:val="1"/>
      <w:marLeft w:val="0"/>
      <w:marRight w:val="0"/>
      <w:marTop w:val="0"/>
      <w:marBottom w:val="0"/>
      <w:divBdr>
        <w:top w:val="none" w:sz="0" w:space="0" w:color="auto"/>
        <w:left w:val="none" w:sz="0" w:space="0" w:color="auto"/>
        <w:bottom w:val="none" w:sz="0" w:space="0" w:color="auto"/>
        <w:right w:val="none" w:sz="0" w:space="0" w:color="auto"/>
      </w:divBdr>
      <w:divsChild>
        <w:div w:id="1033993448">
          <w:marLeft w:val="547"/>
          <w:marRight w:val="0"/>
          <w:marTop w:val="0"/>
          <w:marBottom w:val="0"/>
          <w:divBdr>
            <w:top w:val="none" w:sz="0" w:space="0" w:color="auto"/>
            <w:left w:val="none" w:sz="0" w:space="0" w:color="auto"/>
            <w:bottom w:val="none" w:sz="0" w:space="0" w:color="auto"/>
            <w:right w:val="none" w:sz="0" w:space="0" w:color="auto"/>
          </w:divBdr>
        </w:div>
        <w:div w:id="1291207823">
          <w:marLeft w:val="547"/>
          <w:marRight w:val="0"/>
          <w:marTop w:val="0"/>
          <w:marBottom w:val="0"/>
          <w:divBdr>
            <w:top w:val="none" w:sz="0" w:space="0" w:color="auto"/>
            <w:left w:val="none" w:sz="0" w:space="0" w:color="auto"/>
            <w:bottom w:val="none" w:sz="0" w:space="0" w:color="auto"/>
            <w:right w:val="none" w:sz="0" w:space="0" w:color="auto"/>
          </w:divBdr>
        </w:div>
        <w:div w:id="1616672320">
          <w:marLeft w:val="547"/>
          <w:marRight w:val="0"/>
          <w:marTop w:val="0"/>
          <w:marBottom w:val="0"/>
          <w:divBdr>
            <w:top w:val="none" w:sz="0" w:space="0" w:color="auto"/>
            <w:left w:val="none" w:sz="0" w:space="0" w:color="auto"/>
            <w:bottom w:val="none" w:sz="0" w:space="0" w:color="auto"/>
            <w:right w:val="none" w:sz="0" w:space="0" w:color="auto"/>
          </w:divBdr>
        </w:div>
      </w:divsChild>
    </w:div>
    <w:div w:id="1794051868">
      <w:bodyDiv w:val="1"/>
      <w:marLeft w:val="0"/>
      <w:marRight w:val="0"/>
      <w:marTop w:val="0"/>
      <w:marBottom w:val="0"/>
      <w:divBdr>
        <w:top w:val="none" w:sz="0" w:space="0" w:color="auto"/>
        <w:left w:val="none" w:sz="0" w:space="0" w:color="auto"/>
        <w:bottom w:val="none" w:sz="0" w:space="0" w:color="auto"/>
        <w:right w:val="none" w:sz="0" w:space="0" w:color="auto"/>
      </w:divBdr>
    </w:div>
    <w:div w:id="1814592725">
      <w:bodyDiv w:val="1"/>
      <w:marLeft w:val="0"/>
      <w:marRight w:val="0"/>
      <w:marTop w:val="0"/>
      <w:marBottom w:val="0"/>
      <w:divBdr>
        <w:top w:val="none" w:sz="0" w:space="0" w:color="auto"/>
        <w:left w:val="none" w:sz="0" w:space="0" w:color="auto"/>
        <w:bottom w:val="none" w:sz="0" w:space="0" w:color="auto"/>
        <w:right w:val="none" w:sz="0" w:space="0" w:color="auto"/>
      </w:divBdr>
      <w:divsChild>
        <w:div w:id="203753412">
          <w:marLeft w:val="274"/>
          <w:marRight w:val="0"/>
          <w:marTop w:val="0"/>
          <w:marBottom w:val="0"/>
          <w:divBdr>
            <w:top w:val="none" w:sz="0" w:space="0" w:color="auto"/>
            <w:left w:val="none" w:sz="0" w:space="0" w:color="auto"/>
            <w:bottom w:val="none" w:sz="0" w:space="0" w:color="auto"/>
            <w:right w:val="none" w:sz="0" w:space="0" w:color="auto"/>
          </w:divBdr>
        </w:div>
        <w:div w:id="1481074269">
          <w:marLeft w:val="274"/>
          <w:marRight w:val="0"/>
          <w:marTop w:val="0"/>
          <w:marBottom w:val="0"/>
          <w:divBdr>
            <w:top w:val="none" w:sz="0" w:space="0" w:color="auto"/>
            <w:left w:val="none" w:sz="0" w:space="0" w:color="auto"/>
            <w:bottom w:val="none" w:sz="0" w:space="0" w:color="auto"/>
            <w:right w:val="none" w:sz="0" w:space="0" w:color="auto"/>
          </w:divBdr>
        </w:div>
      </w:divsChild>
    </w:div>
    <w:div w:id="1816751533">
      <w:bodyDiv w:val="1"/>
      <w:marLeft w:val="0"/>
      <w:marRight w:val="0"/>
      <w:marTop w:val="0"/>
      <w:marBottom w:val="0"/>
      <w:divBdr>
        <w:top w:val="none" w:sz="0" w:space="0" w:color="auto"/>
        <w:left w:val="none" w:sz="0" w:space="0" w:color="auto"/>
        <w:bottom w:val="none" w:sz="0" w:space="0" w:color="auto"/>
        <w:right w:val="none" w:sz="0" w:space="0" w:color="auto"/>
      </w:divBdr>
    </w:div>
    <w:div w:id="1820532029">
      <w:bodyDiv w:val="1"/>
      <w:marLeft w:val="0"/>
      <w:marRight w:val="0"/>
      <w:marTop w:val="0"/>
      <w:marBottom w:val="0"/>
      <w:divBdr>
        <w:top w:val="none" w:sz="0" w:space="0" w:color="auto"/>
        <w:left w:val="none" w:sz="0" w:space="0" w:color="auto"/>
        <w:bottom w:val="none" w:sz="0" w:space="0" w:color="auto"/>
        <w:right w:val="none" w:sz="0" w:space="0" w:color="auto"/>
      </w:divBdr>
    </w:div>
    <w:div w:id="1854564979">
      <w:bodyDiv w:val="1"/>
      <w:marLeft w:val="0"/>
      <w:marRight w:val="0"/>
      <w:marTop w:val="0"/>
      <w:marBottom w:val="0"/>
      <w:divBdr>
        <w:top w:val="none" w:sz="0" w:space="0" w:color="auto"/>
        <w:left w:val="none" w:sz="0" w:space="0" w:color="auto"/>
        <w:bottom w:val="none" w:sz="0" w:space="0" w:color="auto"/>
        <w:right w:val="none" w:sz="0" w:space="0" w:color="auto"/>
      </w:divBdr>
      <w:divsChild>
        <w:div w:id="1823080821">
          <w:marLeft w:val="0"/>
          <w:marRight w:val="0"/>
          <w:marTop w:val="0"/>
          <w:marBottom w:val="0"/>
          <w:divBdr>
            <w:top w:val="none" w:sz="0" w:space="0" w:color="auto"/>
            <w:left w:val="none" w:sz="0" w:space="0" w:color="auto"/>
            <w:bottom w:val="none" w:sz="0" w:space="0" w:color="auto"/>
            <w:right w:val="none" w:sz="0" w:space="0" w:color="auto"/>
          </w:divBdr>
        </w:div>
      </w:divsChild>
    </w:div>
    <w:div w:id="1934824797">
      <w:bodyDiv w:val="1"/>
      <w:marLeft w:val="0"/>
      <w:marRight w:val="0"/>
      <w:marTop w:val="0"/>
      <w:marBottom w:val="0"/>
      <w:divBdr>
        <w:top w:val="none" w:sz="0" w:space="0" w:color="auto"/>
        <w:left w:val="none" w:sz="0" w:space="0" w:color="auto"/>
        <w:bottom w:val="none" w:sz="0" w:space="0" w:color="auto"/>
        <w:right w:val="none" w:sz="0" w:space="0" w:color="auto"/>
      </w:divBdr>
    </w:div>
    <w:div w:id="1966110784">
      <w:bodyDiv w:val="1"/>
      <w:marLeft w:val="0"/>
      <w:marRight w:val="0"/>
      <w:marTop w:val="0"/>
      <w:marBottom w:val="0"/>
      <w:divBdr>
        <w:top w:val="none" w:sz="0" w:space="0" w:color="auto"/>
        <w:left w:val="none" w:sz="0" w:space="0" w:color="auto"/>
        <w:bottom w:val="none" w:sz="0" w:space="0" w:color="auto"/>
        <w:right w:val="none" w:sz="0" w:space="0" w:color="auto"/>
      </w:divBdr>
      <w:divsChild>
        <w:div w:id="1206522164">
          <w:marLeft w:val="446"/>
          <w:marRight w:val="0"/>
          <w:marTop w:val="0"/>
          <w:marBottom w:val="0"/>
          <w:divBdr>
            <w:top w:val="none" w:sz="0" w:space="0" w:color="auto"/>
            <w:left w:val="none" w:sz="0" w:space="0" w:color="auto"/>
            <w:bottom w:val="none" w:sz="0" w:space="0" w:color="auto"/>
            <w:right w:val="none" w:sz="0" w:space="0" w:color="auto"/>
          </w:divBdr>
        </w:div>
      </w:divsChild>
    </w:div>
    <w:div w:id="2066684690">
      <w:bodyDiv w:val="1"/>
      <w:marLeft w:val="0"/>
      <w:marRight w:val="0"/>
      <w:marTop w:val="0"/>
      <w:marBottom w:val="0"/>
      <w:divBdr>
        <w:top w:val="none" w:sz="0" w:space="0" w:color="auto"/>
        <w:left w:val="none" w:sz="0" w:space="0" w:color="auto"/>
        <w:bottom w:val="none" w:sz="0" w:space="0" w:color="auto"/>
        <w:right w:val="none" w:sz="0" w:space="0" w:color="auto"/>
      </w:divBdr>
      <w:divsChild>
        <w:div w:id="1378360972">
          <w:marLeft w:val="547"/>
          <w:marRight w:val="0"/>
          <w:marTop w:val="0"/>
          <w:marBottom w:val="0"/>
          <w:divBdr>
            <w:top w:val="none" w:sz="0" w:space="0" w:color="auto"/>
            <w:left w:val="none" w:sz="0" w:space="0" w:color="auto"/>
            <w:bottom w:val="none" w:sz="0" w:space="0" w:color="auto"/>
            <w:right w:val="none" w:sz="0" w:space="0" w:color="auto"/>
          </w:divBdr>
        </w:div>
        <w:div w:id="1563251130">
          <w:marLeft w:val="547"/>
          <w:marRight w:val="0"/>
          <w:marTop w:val="0"/>
          <w:marBottom w:val="0"/>
          <w:divBdr>
            <w:top w:val="none" w:sz="0" w:space="0" w:color="auto"/>
            <w:left w:val="none" w:sz="0" w:space="0" w:color="auto"/>
            <w:bottom w:val="none" w:sz="0" w:space="0" w:color="auto"/>
            <w:right w:val="none" w:sz="0" w:space="0" w:color="auto"/>
          </w:divBdr>
        </w:div>
        <w:div w:id="1993681082">
          <w:marLeft w:val="547"/>
          <w:marRight w:val="0"/>
          <w:marTop w:val="0"/>
          <w:marBottom w:val="0"/>
          <w:divBdr>
            <w:top w:val="none" w:sz="0" w:space="0" w:color="auto"/>
            <w:left w:val="none" w:sz="0" w:space="0" w:color="auto"/>
            <w:bottom w:val="none" w:sz="0" w:space="0" w:color="auto"/>
            <w:right w:val="none" w:sz="0" w:space="0" w:color="auto"/>
          </w:divBdr>
        </w:div>
      </w:divsChild>
    </w:div>
    <w:div w:id="2119399559">
      <w:bodyDiv w:val="1"/>
      <w:marLeft w:val="0"/>
      <w:marRight w:val="0"/>
      <w:marTop w:val="0"/>
      <w:marBottom w:val="0"/>
      <w:divBdr>
        <w:top w:val="none" w:sz="0" w:space="0" w:color="auto"/>
        <w:left w:val="none" w:sz="0" w:space="0" w:color="auto"/>
        <w:bottom w:val="none" w:sz="0" w:space="0" w:color="auto"/>
        <w:right w:val="none" w:sz="0" w:space="0" w:color="auto"/>
      </w:divBdr>
    </w:div>
    <w:div w:id="2132700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3.xml" Id="rId14" /></Relationships>
</file>

<file path=word/_rels/endnotes.xml.rels><?xml version="1.0" encoding="UTF-8" standalone="yes"?>
<Relationships xmlns="http://schemas.openxmlformats.org/package/2006/relationships"><Relationship Id="rId8" Type="http://schemas.openxmlformats.org/officeDocument/2006/relationships/hyperlink" Target="https://climate.ec.europa.eu/document/download/8cabb4e7-19d7-45bd-8044-c0dcc1a64243_en?filename=ets_handbook_en.pdf" TargetMode="External"/><Relationship Id="rId13" Type="http://schemas.openxmlformats.org/officeDocument/2006/relationships/hyperlink" Target="https://www.ilo.org/dyn/normlex/en/f?p=NORMLEXPUB:12100:0::NO::P12100_ILO_CODE:C169." TargetMode="External"/><Relationship Id="rId3" Type="http://schemas.openxmlformats.org/officeDocument/2006/relationships/hyperlink" Target="https://www.worldbank.org/en/news/feature/2022/05/17/what-you-need-to-know-about-article-6-of-the-paris-agreement" TargetMode="External"/><Relationship Id="rId7" Type="http://schemas.openxmlformats.org/officeDocument/2006/relationships/hyperlink" Target="https://climate.ec.europa.eu/news-your-voice/news/commission-launches-public-consultation-eu-emissions-trading-system-and-market-stability-reserve-2025-04-15_en" TargetMode="External"/><Relationship Id="rId12" Type="http://schemas.openxmlformats.org/officeDocument/2006/relationships/hyperlink" Target="https://legislacao.presidencia.gov.br/atos/?tipo=LEI&amp;numero=15042&amp;ano=2024&amp;ato=997QTQE1UNZpWTb27" TargetMode="External"/><Relationship Id="rId2" Type="http://schemas.openxmlformats.org/officeDocument/2006/relationships/hyperlink" Target="https://www.carbonmarkets-cooperation.gov.sg/environmental-integrity/eligibility-criteria/" TargetMode="External"/><Relationship Id="rId1" Type="http://schemas.openxmlformats.org/officeDocument/2006/relationships/hyperlink" Target="https://unfccc.int/news/key-rules-agreed-for-credible-climate-project-crediting-under-un-carbon-market" TargetMode="External"/><Relationship Id="rId6" Type="http://schemas.openxmlformats.org/officeDocument/2006/relationships/hyperlink" Target="https://climate.ec.europa.eu/news-your-voice/news/commission-launches-public-consultation-structural-options-eu-emissions-trading-system-2012-12-07_en" TargetMode="External"/><Relationship Id="rId11" Type="http://schemas.openxmlformats.org/officeDocument/2006/relationships/hyperlink" Target="https://ww2.arb.ca.gov/our-work/programs/cap-and-trade-program/allowance-allocation" TargetMode="External"/><Relationship Id="rId5" Type="http://schemas.openxmlformats.org/officeDocument/2006/relationships/hyperlink" Target="https://www.gov.br/mma/pt-br/assuntos/controle-ao-desmatamento-queimadas-e-ordenamento-ambiental-territorial/controle-do-desmatamento-1/amazonia-ppcdam-1" TargetMode="External"/><Relationship Id="rId10" Type="http://schemas.openxmlformats.org/officeDocument/2006/relationships/hyperlink" Target="https://ww2.arb.ca.gov/sites/default/files/cap-and-trade/guidance/chapter3.pdf." TargetMode="External"/><Relationship Id="rId4" Type="http://schemas.openxmlformats.org/officeDocument/2006/relationships/hyperlink" Target="https://legislacao.presidencia.gov.br/atos/?tipo=LEI&amp;numero=15042&amp;ano=2024&amp;ato=997QTQE1UNZpWTb27" TargetMode="External"/><Relationship Id="rId9" Type="http://schemas.openxmlformats.org/officeDocument/2006/relationships/hyperlink" Target="https://ww2.arb.ca.gov/sites/default/files/cap-and-trade/guidance/chapter3.pdf." TargetMode="External"/><Relationship Id="rId14" Type="http://schemas.openxmlformats.org/officeDocument/2006/relationships/hyperlink" Target="https://legislacao.presidencia.gov.br/atos/?tipo=LEI&amp;numero=15042&amp;ano=2024&amp;ato=997QTQE1UNZpWTb2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D3A0A76287508479D122D93764077C3" ma:contentTypeVersion="23" ma:contentTypeDescription="Create a new document." ma:contentTypeScope="" ma:versionID="7403d4a2fdd8005654880d9676c3f245">
  <xsd:schema xmlns:xsd="http://www.w3.org/2001/XMLSchema" xmlns:xs="http://www.w3.org/2001/XMLSchema" xmlns:p="http://schemas.microsoft.com/office/2006/metadata/properties" xmlns:ns2="ea4fc30a-bd6e-4bdc-9475-bd1b19e6c618" xmlns:ns3="9825ada1-3a22-4410-bad4-eceff850fb68" targetNamespace="http://schemas.microsoft.com/office/2006/metadata/properties" ma:root="true" ma:fieldsID="2b1d5596bf403f04efd60d17eea236a9" ns2:_="" ns3:_="">
    <xsd:import namespace="ea4fc30a-bd6e-4bdc-9475-bd1b19e6c618"/>
    <xsd:import namespace="9825ada1-3a22-4410-bad4-eceff850fb6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Location" minOccurs="0"/>
                <xsd:element ref="ns2:Comment" minOccurs="0"/>
                <xsd:element ref="ns2:MediaServiceSearchProperties" minOccurs="0"/>
                <xsd:element ref="ns2:Project_x0020_title" minOccurs="0"/>
                <xsd:element ref="ns2:q5m9" minOccurs="0"/>
                <xsd:element ref="ns2:nm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4fc30a-bd6e-4bdc-9475-bd1b19e6c6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7a6f9d36-78c2-42a0-aec4-6b7ba91fb58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Project_x0020_title" ma:index="27" nillable="true" ma:displayName="Project title" ma:internalName="Project_x0020_title">
      <xsd:simpleType>
        <xsd:restriction base="dms:Text">
          <xsd:maxLength value="255"/>
        </xsd:restriction>
      </xsd:simpleType>
    </xsd:element>
    <xsd:element name="q5m9" ma:index="28" nillable="true" ma:displayName="Person or Group" ma:list="UserInfo" ma:internalName="q5m9">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nmes" ma:index="29" nillable="true" ma:displayName="Person or Group" ma:list="UserInfo" ma:internalName="nmes">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BillingMetadata" ma:index="3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825ada1-3a22-4410-bad4-eceff850fb6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b2d55dd0-9d38-4d30-9833-8960a5ba7c3f}" ma:internalName="TaxCatchAll" ma:showField="CatchAllData" ma:web="9825ada1-3a22-4410-bad4-eceff850fb6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mes xmlns="ea4fc30a-bd6e-4bdc-9475-bd1b19e6c618">
      <UserInfo>
        <DisplayName/>
        <AccountId xsi:nil="true"/>
        <AccountType/>
      </UserInfo>
    </nmes>
    <q5m9 xmlns="ea4fc30a-bd6e-4bdc-9475-bd1b19e6c618">
      <UserInfo>
        <DisplayName/>
        <AccountId xsi:nil="true"/>
        <AccountType/>
      </UserInfo>
    </q5m9>
    <Comment xmlns="ea4fc30a-bd6e-4bdc-9475-bd1b19e6c618" xsi:nil="true"/>
    <lcf76f155ced4ddcb4097134ff3c332f xmlns="ea4fc30a-bd6e-4bdc-9475-bd1b19e6c618">
      <Terms xmlns="http://schemas.microsoft.com/office/infopath/2007/PartnerControls"/>
    </lcf76f155ced4ddcb4097134ff3c332f>
    <Project_x0020_title xmlns="ea4fc30a-bd6e-4bdc-9475-bd1b19e6c618" xsi:nil="true"/>
    <TaxCatchAll xmlns="9825ada1-3a22-4410-bad4-eceff850fb68"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9ECA45-CAB0-4805-9EB5-28618102358C}">
  <ds:schemaRefs>
    <ds:schemaRef ds:uri="http://schemas.microsoft.com/sharepoint/v3/contenttype/forms"/>
  </ds:schemaRefs>
</ds:datastoreItem>
</file>

<file path=customXml/itemProps2.xml><?xml version="1.0" encoding="utf-8"?>
<ds:datastoreItem xmlns:ds="http://schemas.openxmlformats.org/officeDocument/2006/customXml" ds:itemID="{CC1FF164-D55E-495C-A191-BC717640AF73}"/>
</file>

<file path=customXml/itemProps3.xml><?xml version="1.0" encoding="utf-8"?>
<ds:datastoreItem xmlns:ds="http://schemas.openxmlformats.org/officeDocument/2006/customXml" ds:itemID="{359927B0-8668-4B24-9F2F-3E85DB0C284E}">
  <ds:schemaRefs>
    <ds:schemaRef ds:uri="http://schemas.microsoft.com/office/2006/metadata/properties"/>
    <ds:schemaRef ds:uri="http://schemas.microsoft.com/office/infopath/2007/PartnerControls"/>
    <ds:schemaRef ds:uri="ea4fc30a-bd6e-4bdc-9475-bd1b19e6c618"/>
    <ds:schemaRef ds:uri="9825ada1-3a22-4410-bad4-eceff850fb68"/>
  </ds:schemaRefs>
</ds:datastoreItem>
</file>

<file path=customXml/itemProps4.xml><?xml version="1.0" encoding="utf-8"?>
<ds:datastoreItem xmlns:ds="http://schemas.openxmlformats.org/officeDocument/2006/customXml" ds:itemID="{4EF21DC1-C87F-449D-9639-65EA44AC7E59}">
  <ds:schemaRefs>
    <ds:schemaRef ds:uri="http://schemas.openxmlformats.org/officeDocument/2006/bibliography"/>
  </ds:schemaRefs>
</ds:datastoreItem>
</file>

<file path=docMetadata/LabelInfo.xml><?xml version="1.0" encoding="utf-8"?>
<clbl:labelList xmlns:clbl="http://schemas.microsoft.com/office/2020/mipLabelMetadata">
  <clbl:label id="{ffb76b20-b480-4230-8bf5-23ec920b1ce3}" enabled="0" method="" siteId="{ffb76b20-b480-4230-8bf5-23ec920b1ce3}"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Jory</dc:creator>
  <cp:keywords/>
  <dc:description/>
  <cp:lastModifiedBy>Mariana Tavares</cp:lastModifiedBy>
  <cp:revision>104</cp:revision>
  <cp:lastPrinted>2023-09-27T11:10:00Z</cp:lastPrinted>
  <dcterms:created xsi:type="dcterms:W3CDTF">2025-07-02T09:01:00Z</dcterms:created>
  <dcterms:modified xsi:type="dcterms:W3CDTF">2025-07-11T21:06:24Z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GrammarlyDocumentId">
    <vt:lpwstr>443bfa2afe4ae971326f76cc842e6b0b88d32dca8095d22244de611f1b8b4c60</vt:lpwstr>
  </property>
  <property fmtid="{D5CDD505-2E9C-101B-9397-08002B2CF9AE}" pid="4" name="ContentTypeId">
    <vt:lpwstr>0x010100FD3A0A76287508479D122D93764077C3</vt:lpwstr>
  </property>
</Properties>
</file>