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4C8EAF59" w:rsidR="00622C0C" w:rsidRDefault="00622C0C" w:rsidP="00622C0C">
      <w:pPr>
        <w:pStyle w:val="Heading1"/>
      </w:pPr>
      <w:bookmarkStart w:id="0" w:name="_Ref193766872"/>
      <w:r>
        <w:t xml:space="preserve">Taverna </w:t>
      </w:r>
      <w:r w:rsidR="00112E48">
        <w:t>2.4</w:t>
      </w:r>
      <w:r w:rsidR="00910935">
        <w:t>.1</w:t>
      </w:r>
      <w:r>
        <w:t xml:space="preserve"> Server: Usage and API Guide</w:t>
      </w:r>
      <w:bookmarkEnd w:id="0"/>
    </w:p>
    <w:p w14:paraId="24277E12" w14:textId="18E9D3BC" w:rsidR="003C2B3F" w:rsidRDefault="003C2B3F" w:rsidP="003C2B3F">
      <w:pPr>
        <w:pStyle w:val="NormalParagraph"/>
      </w:pPr>
      <w:r>
        <w:t xml:space="preserve">This document relates to the </w:t>
      </w:r>
      <w:r w:rsidR="00910935">
        <w:t xml:space="preserve">second </w:t>
      </w:r>
      <w:r>
        <w:t>release of Taverna Server t</w:t>
      </w:r>
      <w:bookmarkStart w:id="1" w:name="_GoBack"/>
      <w:bookmarkEnd w:id="1"/>
      <w:r>
        <w:t>hat is based on the T</w:t>
      </w:r>
      <w:r>
        <w:t>a</w:t>
      </w:r>
      <w:r>
        <w:t xml:space="preserve">verna </w:t>
      </w:r>
      <w:r w:rsidR="00112E48">
        <w:t>2.4</w:t>
      </w:r>
      <w:r>
        <w:t xml:space="preserve"> Platform, from the myGrid team at the University of Manchester.</w:t>
      </w:r>
    </w:p>
    <w:p w14:paraId="457A6FC4" w14:textId="77777777" w:rsidR="00B43E8F" w:rsidRDefault="00B43E8F" w:rsidP="00B43E8F">
      <w:pPr>
        <w:pStyle w:val="Heading2"/>
      </w:pPr>
      <w:r w:rsidRPr="00F67F17">
        <w:t>About</w:t>
      </w:r>
    </w:p>
    <w:p w14:paraId="051E8108" w14:textId="77777777" w:rsidR="00B43E8F" w:rsidRDefault="00B43E8F" w:rsidP="00B43E8F">
      <w:pPr>
        <w:pStyle w:val="NormalParagraph"/>
      </w:pPr>
      <w:r>
        <w:t>This release is a feature-complete version of the Taverna 2 Server that is provi</w:t>
      </w:r>
      <w:r>
        <w:t>d</w:t>
      </w:r>
      <w:r>
        <w:t>ed as a basis for deployments of server-ized Taverna in a multi-user enviro</w:t>
      </w:r>
      <w:r>
        <w:t>n</w:t>
      </w:r>
      <w:r>
        <w:t>ment.</w:t>
      </w:r>
    </w:p>
    <w:p w14:paraId="7E48C6AD" w14:textId="77777777" w:rsidR="00B43E8F" w:rsidRDefault="00B43E8F" w:rsidP="00B43E8F">
      <w:pPr>
        <w:pStyle w:val="NormalParagraph"/>
      </w:pPr>
      <w:r>
        <w:t>In addition to its improved performance, this release supports a number of new key features:</w:t>
      </w:r>
    </w:p>
    <w:p w14:paraId="48FAD295" w14:textId="7F2A0F34" w:rsidR="00B43E8F" w:rsidRDefault="00B43E8F" w:rsidP="00095C91">
      <w:pPr>
        <w:pStyle w:val="NormalParagraph"/>
        <w:numPr>
          <w:ilvl w:val="0"/>
          <w:numId w:val="10"/>
        </w:numPr>
      </w:pPr>
      <w:r>
        <w:t xml:space="preserve">Based on </w:t>
      </w:r>
      <w:r w:rsidRPr="00095C91">
        <w:rPr>
          <w:b/>
        </w:rPr>
        <w:t xml:space="preserve">Taverna </w:t>
      </w:r>
      <w:r w:rsidR="00112E48">
        <w:rPr>
          <w:b/>
        </w:rPr>
        <w:t>2.4</w:t>
      </w:r>
    </w:p>
    <w:p w14:paraId="596D8228" w14:textId="77777777" w:rsidR="00B43E8F" w:rsidRDefault="00B43E8F" w:rsidP="00095C91">
      <w:pPr>
        <w:pStyle w:val="NormalParagraph"/>
        <w:numPr>
          <w:ilvl w:val="0"/>
          <w:numId w:val="10"/>
        </w:numPr>
      </w:pPr>
      <w:r w:rsidRPr="00095C91">
        <w:rPr>
          <w:b/>
        </w:rPr>
        <w:t>Multiple users</w:t>
      </w:r>
      <w:r>
        <w:t>, with strong separation between them.</w:t>
      </w:r>
    </w:p>
    <w:p w14:paraId="5927252D" w14:textId="77777777" w:rsidR="00B43E8F" w:rsidRDefault="00B43E8F" w:rsidP="00095C91">
      <w:pPr>
        <w:pStyle w:val="NormalParagraph"/>
        <w:numPr>
          <w:ilvl w:val="0"/>
          <w:numId w:val="10"/>
        </w:numPr>
      </w:pPr>
      <w:r>
        <w:t xml:space="preserve">Limited </w:t>
      </w:r>
      <w:r w:rsidRPr="00095C91">
        <w:rPr>
          <w:b/>
        </w:rPr>
        <w:t>persistence over service restarts</w:t>
      </w:r>
      <w:r>
        <w:t>, depending on exact deplo</w:t>
      </w:r>
      <w:r>
        <w:t>y</w:t>
      </w:r>
      <w:r>
        <w:t>ment.</w:t>
      </w:r>
    </w:p>
    <w:p w14:paraId="4DCA17B9" w14:textId="77777777" w:rsidR="00B43E8F" w:rsidRDefault="00B43E8F" w:rsidP="00095C91">
      <w:pPr>
        <w:pStyle w:val="NormalParagraph"/>
        <w:numPr>
          <w:ilvl w:val="0"/>
          <w:numId w:val="10"/>
        </w:numPr>
      </w:pPr>
      <w:r w:rsidRPr="00095C91">
        <w:rPr>
          <w:b/>
        </w:rPr>
        <w:t>Workflow run introspection</w:t>
      </w:r>
      <w:r w:rsidRPr="00385E22">
        <w:t xml:space="preserve"> </w:t>
      </w:r>
      <w:r>
        <w:t>capabilities; clients can ask the server what inputs they should supply and what outputs were provided.</w:t>
      </w:r>
    </w:p>
    <w:p w14:paraId="5CFCEF05" w14:textId="77777777" w:rsidR="00B43E8F" w:rsidRDefault="00B43E8F" w:rsidP="00095C91">
      <w:pPr>
        <w:pStyle w:val="NormalParagraph"/>
        <w:numPr>
          <w:ilvl w:val="0"/>
          <w:numId w:val="10"/>
        </w:numPr>
      </w:pPr>
      <w:r w:rsidRPr="00095C91">
        <w:rPr>
          <w:b/>
        </w:rPr>
        <w:t>Workflow run termination notifications</w:t>
      </w:r>
      <w:r>
        <w:t xml:space="preserve"> through multiple mechanisms (RSS feed, email, SMS, twitter, etc. depending on deployment).</w:t>
      </w:r>
    </w:p>
    <w:p w14:paraId="6E6A7259" w14:textId="77777777" w:rsidR="00B43E8F" w:rsidRPr="00385E22" w:rsidRDefault="00B43E8F" w:rsidP="00095C91">
      <w:pPr>
        <w:pStyle w:val="NormalParagraph"/>
        <w:numPr>
          <w:ilvl w:val="0"/>
          <w:numId w:val="10"/>
        </w:numPr>
      </w:pPr>
      <w:r w:rsidRPr="00095C91">
        <w:rPr>
          <w:b/>
        </w:rPr>
        <w:t>Security</w:t>
      </w:r>
      <w:r>
        <w:t>, both of access to the service and access by the workflow runs to other services.</w:t>
      </w:r>
    </w:p>
    <w:p w14:paraId="04B1B0E1" w14:textId="77777777" w:rsidR="00B43E8F" w:rsidRDefault="00B43E8F" w:rsidP="00095C91">
      <w:pPr>
        <w:pStyle w:val="NormalParagraph"/>
        <w:numPr>
          <w:ilvl w:val="0"/>
          <w:numId w:val="10"/>
        </w:numPr>
      </w:pPr>
      <w:r w:rsidRPr="00095C91">
        <w:rPr>
          <w:b/>
        </w:rPr>
        <w:t>Administrative REST interface</w:t>
      </w:r>
      <w:r>
        <w:t xml:space="preserve"> including resource accounting</w:t>
      </w:r>
    </w:p>
    <w:p w14:paraId="2FDB549F" w14:textId="77777777" w:rsidR="00B43E8F" w:rsidRDefault="00B43E8F" w:rsidP="00095C91">
      <w:pPr>
        <w:pStyle w:val="NormalParagraph"/>
        <w:numPr>
          <w:ilvl w:val="0"/>
          <w:numId w:val="10"/>
        </w:numPr>
      </w:pPr>
      <w:r>
        <w:t xml:space="preserve">Streaming of </w:t>
      </w:r>
      <w:r w:rsidRPr="00095C91">
        <w:rPr>
          <w:b/>
        </w:rPr>
        <w:t>large files</w:t>
      </w:r>
      <w:r>
        <w:t xml:space="preserve"> both for download and upload.</w:t>
      </w:r>
    </w:p>
    <w:p w14:paraId="0C4A2A09" w14:textId="77777777" w:rsidR="00B43E8F" w:rsidRDefault="00B43E8F" w:rsidP="00B43E8F">
      <w:pPr>
        <w:pStyle w:val="NormalParagraph"/>
      </w:pPr>
      <w:r>
        <w:t>This is in addition to the features supported by the previous version of Taverna 2 Server:</w:t>
      </w:r>
    </w:p>
    <w:p w14:paraId="143B5FAF" w14:textId="77777777" w:rsidR="00B43E8F" w:rsidRPr="00095C91" w:rsidRDefault="00B43E8F" w:rsidP="00095C91">
      <w:pPr>
        <w:pStyle w:val="NormalParagraph"/>
        <w:numPr>
          <w:ilvl w:val="0"/>
          <w:numId w:val="11"/>
        </w:numPr>
        <w:rPr>
          <w:b/>
        </w:rPr>
      </w:pPr>
      <w:r w:rsidRPr="00095C91">
        <w:rPr>
          <w:b/>
        </w:rPr>
        <w:t>Upload and Execution of arbitrary Taverna 2 workflows</w:t>
      </w:r>
    </w:p>
    <w:p w14:paraId="44D269D5" w14:textId="77777777" w:rsidR="00B43E8F" w:rsidRDefault="00B43E8F" w:rsidP="00095C91">
      <w:pPr>
        <w:pStyle w:val="NormalParagraph"/>
        <w:numPr>
          <w:ilvl w:val="0"/>
          <w:numId w:val="11"/>
        </w:numPr>
      </w:pPr>
      <w:r w:rsidRPr="00095C91">
        <w:rPr>
          <w:b/>
        </w:rPr>
        <w:t>Access to Workflow's Interim Output Files</w:t>
      </w:r>
      <w:r>
        <w:t>; no need to wait for the workflow to finish if the results are available sooner</w:t>
      </w:r>
    </w:p>
    <w:p w14:paraId="5732DF21" w14:textId="77777777" w:rsidR="00B43E8F" w:rsidRDefault="00B43E8F" w:rsidP="00095C91">
      <w:pPr>
        <w:pStyle w:val="NormalParagraph"/>
        <w:numPr>
          <w:ilvl w:val="1"/>
          <w:numId w:val="11"/>
        </w:numPr>
      </w:pPr>
      <w:r w:rsidRPr="00095C91">
        <w:rPr>
          <w:b/>
        </w:rPr>
        <w:t>Safe File Management</w:t>
      </w:r>
      <w:r>
        <w:t xml:space="preserve"> for handling results; workflows cannot i</w:t>
      </w:r>
      <w:r>
        <w:t>n</w:t>
      </w:r>
      <w:r>
        <w:t>terfere with each others files</w:t>
      </w:r>
    </w:p>
    <w:p w14:paraId="55A6CB28" w14:textId="77777777" w:rsidR="00B43E8F" w:rsidRDefault="00B43E8F" w:rsidP="00095C91">
      <w:pPr>
        <w:pStyle w:val="NormalParagraph"/>
        <w:numPr>
          <w:ilvl w:val="0"/>
          <w:numId w:val="11"/>
        </w:numPr>
      </w:pPr>
      <w:r>
        <w:t xml:space="preserve">Simple mechanism for </w:t>
      </w:r>
      <w:r w:rsidRPr="00095C91">
        <w:rPr>
          <w:b/>
        </w:rPr>
        <w:t>Removal of Expired Workflows</w:t>
      </w:r>
    </w:p>
    <w:p w14:paraId="7ACC9305" w14:textId="77777777" w:rsidR="00B43E8F" w:rsidRDefault="00B43E8F" w:rsidP="00095C91">
      <w:pPr>
        <w:pStyle w:val="NormalParagraph"/>
        <w:numPr>
          <w:ilvl w:val="0"/>
          <w:numId w:val="11"/>
        </w:numPr>
      </w:pPr>
      <w:r>
        <w:t xml:space="preserve">Support for both </w:t>
      </w:r>
      <w:r w:rsidRPr="00095C91">
        <w:rPr>
          <w:b/>
        </w:rPr>
        <w:t>RESTful and SOAP APIs</w:t>
      </w:r>
      <w:r>
        <w:t>, for easier tooling</w:t>
      </w:r>
    </w:p>
    <w:p w14:paraId="153130B0" w14:textId="77777777" w:rsidR="00B43E8F" w:rsidRPr="00095C91" w:rsidRDefault="00B43E8F" w:rsidP="00095C91">
      <w:pPr>
        <w:pStyle w:val="NormalParagraph"/>
        <w:numPr>
          <w:ilvl w:val="0"/>
          <w:numId w:val="11"/>
        </w:numPr>
        <w:rPr>
          <w:b/>
        </w:rPr>
      </w:pPr>
      <w:r w:rsidRPr="00095C91">
        <w:rPr>
          <w:b/>
        </w:rPr>
        <w:t>JMX-based Management API</w:t>
      </w:r>
    </w:p>
    <w:p w14:paraId="1F428E5F" w14:textId="4CB1442E" w:rsidR="00910935" w:rsidRDefault="00910935" w:rsidP="00910935">
      <w:pPr>
        <w:pStyle w:val="NormalParagraph"/>
      </w:pPr>
      <w:r>
        <w:t xml:space="preserve">There are only bug-fixes and exceptionally minor feature changes from Taverna Server 2.4 to 2.4.1. For a full list, see </w:t>
      </w:r>
      <w:hyperlink r:id="rId9" w:history="1">
        <w:r w:rsidRPr="00910935">
          <w:rPr>
            <w:rStyle w:val="Hyperlink"/>
          </w:rPr>
          <w:t>the change-log in our issue database</w:t>
        </w:r>
      </w:hyperlink>
      <w:r>
        <w:t>.</w:t>
      </w:r>
    </w:p>
    <w:p w14:paraId="4DF659CF" w14:textId="676B6D07" w:rsidR="003C6088" w:rsidRDefault="00E533F9" w:rsidP="003C6088">
      <w:pPr>
        <w:pStyle w:val="Heading2"/>
      </w:pPr>
      <w:r>
        <w:br w:type="column"/>
      </w:r>
      <w:r w:rsidR="003C6088">
        <w:lastRenderedPageBreak/>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10A9A8A1"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095C91" w:rsidRDefault="00095C91"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095C91" w:rsidRDefault="00095C91"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095C91" w:rsidRDefault="00095C91"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095C91" w:rsidRPr="00634C77" w:rsidRDefault="00095C91"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095C91" w:rsidRPr="00634C77" w:rsidRDefault="00095C91"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095C91" w:rsidRPr="00891C4C" w:rsidRDefault="00095C91"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O89EfAAAAA&#10;2gAAAA8AAABkcnMvZG93bnJldi54bWxEj0+LwjAUxO8LfofwFrytqbqKdJuKCIJX/+H10bxtyjYv&#10;pUlr9dObBcHjMDO/YbL1YGvRU+srxwqmkwQEceF0xaWC82n3tQLhA7LG2jEpuJOHdT76yDDV7sYH&#10;6o+hFBHCPkUFJoQmldIXhiz6iWuIo/frWoshyraUusVbhNtazpJkKS1WHBcMNrQ1VPwdO6vgMrWL&#10;h+m663eND5p3uneLa6/U+HPY/IAINIR3+NXeawUz+L8Sb4DMn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NO89EfAAAAA2gAAAA8AAAAAAAAAAAAAAAAAlgIAAGRycy9kb3ducmV2&#10;LnhtbFBLBQYAAAAABAAEAPUAAACDAwAAAAA=&#10;" fillcolor="#cdddac [1622]" strokecolor="#94b64e [3046]">
                  <v:fill color2="#f0f4e6 [502]" rotate="t" colors="0 #dafda7;22938f #e4fdc2;1 #f5ffe6" type="gradient"/>
                  <v:textbox inset=",0,,0">
                    <w:txbxContent>
                      <w:p w14:paraId="56E1C45C" w14:textId="77777777" w:rsidR="00095C91" w:rsidRDefault="00095C9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zwUdzAAAAA&#10;2gAAAA8AAABkcnMvZG93bnJldi54bWxEj1uLwjAUhN8F/0M4C75p6hXpNhURFnxdL/h6aM42ZZuT&#10;0qS166/fCIKPw8x8w2S7wdaip9ZXjhXMZwkI4sLpiksFl/PXdAvCB2SNtWNS8Ecedvl4lGGq3Z2/&#10;qT+FUkQI+xQVmBCaVEpfGLLoZ64hjt6Pay2GKNtS6hbvEW5ruUiSjbRYcVww2NDBUPF76qyC69yu&#10;H6brbqsaH7TsdO/Wt16pycew/wQRaAjv8Kt91AqW8LwSb4DM/wE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LzwUdzAAAAA2gAAAA8AAAAAAAAAAAAAAAAAlgIAAGRycy9kb3ducmV2&#10;LnhtbFBLBQYAAAAABAAEAPUAAACDAwAAAAA=&#10;" fillcolor="#cdddac [1622]" strokecolor="#94b64e [3046]">
                  <v:fill color2="#f0f4e6 [502]" rotate="t" colors="0 #dafda7;22938f #e4fdc2;1 #f5ffe6" type="gradient"/>
                  <v:textbox inset=",0,,0">
                    <w:txbxContent>
                      <w:p w14:paraId="2E36EA38" w14:textId="77777777" w:rsidR="00095C91" w:rsidRDefault="00095C9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MZyajAAAAA&#10;2gAAAA8AAABkcnMvZG93bnJldi54bWxEj0trwzAQhO+B/Aexhd4SOU+CazmEQCHXvMh1sbaWqbUy&#10;luy4+fVVIJDjMDPfMNl2sLXoqfWVYwWzaQKCuHC64lLB5fw92YDwAVlj7ZgU/JGHbT4eZZhqd+cj&#10;9adQighhn6ICE0KTSukLQxb91DXE0ftxrcUQZVtK3eI9wm0t50mylhYrjgsGG9obKn5PnVVwndnV&#10;w3TdbVnjgxad7t3q1iv1+THsvkAEGsI7/GoftIIlPK/EGyDzf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DMZyajAAAAA2gAAAA8AAAAAAAAAAAAAAAAAlgIAAGRycy9kb3ducmV2&#10;LnhtbFBLBQYAAAAABAAEAPUAAACDAwAAAAA=&#10;" fillcolor="#cdddac [1622]" strokecolor="#94b64e [3046]">
                  <v:fill color2="#f0f4e6 [502]" rotate="t" colors="0 #dafda7;22938f #e4fdc2;1 #f5ffe6" type="gradient"/>
                  <v:textbox inset=",0,,0">
                    <w:txbxContent>
                      <w:p w14:paraId="0BC4364C" w14:textId="77777777" w:rsidR="00095C91" w:rsidRDefault="00095C9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loooTCAAAA&#10;2gAAAA8AAABkcnMvZG93bnJldi54bWxEj0+LwjAUxO8LfofwBG9rWg9FukZZRbEnwT/ssrdH87Yp&#10;Ni+liVq/vREEj8PM/IaZLXrbiCt1vnasIB0nIIhLp2uuFJyOm88pCB+QNTaOScGdPCzmg48Z5trd&#10;eE/XQ6hEhLDPUYEJoc2l9KUhi37sWuLo/bvOYoiyq6Tu8BbhtpGTJMmkxZrjgsGWVobK8+FiFfA6&#10;+93t0sJsdf+z1MV5Mz39pUqNhv33F4hAfXiHX+1CK8jgeSXeAD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iihMIAAADaAAAADwAAAAAAAAAAAAAAAACWAgAAZHJzL2Rvd25y&#10;ZXYueG1sUEsFBgAAAAAEAAQA9QAAAIUDAAAAAA==&#10;" fillcolor="#a7bfde [1620]" strokecolor="#4579b8 [3044]">
                  <v:fill color2="#e4ecf5 [500]" rotate="t" colors="0 #a3c4ff;22938f #bfd5ff;1 #e5eeff" type="gradient"/>
                  <v:textbox inset=",0,,0">
                    <w:txbxContent>
                      <w:p w14:paraId="0163ADD2" w14:textId="77777777" w:rsidR="00095C91" w:rsidRPr="00634C77" w:rsidRDefault="00095C9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" fillcolor="#a7bfde [1620]" strokecolor="#4579b8 [3044]">
                  <v:fill color2="#e4ecf5 [500]" rotate="t" colors="0 #a3c4ff;22938f #bfd5ff;1 #e5eeff" type="gradient"/>
                  <v:textbox inset=",0,,0">
                    <w:txbxContent>
                      <w:p w14:paraId="68100B35" w14:textId="77777777" w:rsidR="00095C91" w:rsidRPr="00634C77" w:rsidRDefault="00095C9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" fillcolor="#cdddac [1622]" strokecolor="#94b64e [3046]">
                  <v:fill color2="#f0f4e6 [502]" rotate="t" colors="0 #dafda7;22938f #e4fdc2;1 #f5ffe6" type="gradient"/>
                  <v:textbox inset=",0,,0">
                    <w:txbxContent>
                      <w:p w14:paraId="4A8AD9C1" w14:textId="77777777" w:rsidR="00095C91" w:rsidRPr="00891C4C" w:rsidRDefault="00095C9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6B17AEC2"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31CFFD61"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095C91" w:rsidRDefault="00095C91" w:rsidP="00B002EF">
      <w:r>
        <w:separator/>
      </w:r>
    </w:p>
  </w:endnote>
  <w:endnote w:type="continuationSeparator" w:id="0">
    <w:p w14:paraId="2E7C720F" w14:textId="77777777" w:rsidR="00095C91" w:rsidRDefault="00095C91"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283A8259" w:rsidR="00095C91" w:rsidRPr="00095C91" w:rsidRDefault="00095C91"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sidR="00112E48">
      <w:rPr>
        <w:rFonts w:asciiTheme="majorHAnsi" w:hAnsiTheme="majorHAnsi"/>
        <w:b/>
        <w:bCs/>
        <w:i/>
        <w:color w:val="1F497D" w:themeColor="text2"/>
        <w:sz w:val="20"/>
        <w:szCs w:val="20"/>
      </w:rPr>
      <w:t>2.4</w:t>
    </w:r>
    <w:r w:rsidR="00910935">
      <w:rPr>
        <w:rFonts w:asciiTheme="majorHAnsi" w:hAnsiTheme="majorHAnsi"/>
        <w:b/>
        <w:bCs/>
        <w:i/>
        <w:color w:val="1F497D" w:themeColor="text2"/>
        <w:sz w:val="20"/>
        <w:szCs w:val="20"/>
      </w:rPr>
      <w:t>.1</w:t>
    </w:r>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910935">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910935">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p>
  <w:p w14:paraId="6B23133E" w14:textId="32C8EFB7" w:rsidR="00095C91" w:rsidRPr="00095C91" w:rsidRDefault="00095C91">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095C91" w:rsidRDefault="00095C91" w:rsidP="00B002EF">
      <w:r>
        <w:separator/>
      </w:r>
    </w:p>
  </w:footnote>
  <w:footnote w:type="continuationSeparator" w:id="0">
    <w:p w14:paraId="4DD5C9FB" w14:textId="77777777" w:rsidR="00095C91" w:rsidRDefault="00095C91" w:rsidP="00B002EF">
      <w:r>
        <w:continuationSeparator/>
      </w:r>
    </w:p>
  </w:footnote>
  <w:footnote w:id="1">
    <w:p w14:paraId="76F3E7E5" w14:textId="2EFA643A" w:rsidR="00095C91" w:rsidRDefault="00095C91"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6"/>
  </w:num>
  <w:num w:numId="6">
    <w:abstractNumId w:val="7"/>
  </w:num>
  <w:num w:numId="7">
    <w:abstractNumId w:val="4"/>
  </w:num>
  <w:num w:numId="8">
    <w:abstractNumId w:val="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55B8B"/>
    <w:rsid w:val="00095C91"/>
    <w:rsid w:val="000E0F1C"/>
    <w:rsid w:val="00112E48"/>
    <w:rsid w:val="002920CD"/>
    <w:rsid w:val="002C6532"/>
    <w:rsid w:val="002E50C7"/>
    <w:rsid w:val="002E7F00"/>
    <w:rsid w:val="003665BC"/>
    <w:rsid w:val="003C2B3F"/>
    <w:rsid w:val="003C6088"/>
    <w:rsid w:val="003D4D99"/>
    <w:rsid w:val="004372A9"/>
    <w:rsid w:val="0045038F"/>
    <w:rsid w:val="00547171"/>
    <w:rsid w:val="00590D19"/>
    <w:rsid w:val="00596EA0"/>
    <w:rsid w:val="00607AE7"/>
    <w:rsid w:val="00622C0C"/>
    <w:rsid w:val="00622FD1"/>
    <w:rsid w:val="00634C77"/>
    <w:rsid w:val="00655AB9"/>
    <w:rsid w:val="00681742"/>
    <w:rsid w:val="006D7620"/>
    <w:rsid w:val="00701911"/>
    <w:rsid w:val="007D3B6F"/>
    <w:rsid w:val="00880818"/>
    <w:rsid w:val="00891C4C"/>
    <w:rsid w:val="008934B2"/>
    <w:rsid w:val="0091032B"/>
    <w:rsid w:val="00910935"/>
    <w:rsid w:val="00994BA3"/>
    <w:rsid w:val="009B4E43"/>
    <w:rsid w:val="00A16574"/>
    <w:rsid w:val="00A96F8E"/>
    <w:rsid w:val="00AB4567"/>
    <w:rsid w:val="00AC7E76"/>
    <w:rsid w:val="00B002EF"/>
    <w:rsid w:val="00B43E8F"/>
    <w:rsid w:val="00B45DBF"/>
    <w:rsid w:val="00BA6B8D"/>
    <w:rsid w:val="00C05E4B"/>
    <w:rsid w:val="00C23619"/>
    <w:rsid w:val="00CB08D2"/>
    <w:rsid w:val="00CF6D3B"/>
    <w:rsid w:val="00D4522B"/>
    <w:rsid w:val="00D60172"/>
    <w:rsid w:val="00DC30C4"/>
    <w:rsid w:val="00E319B2"/>
    <w:rsid w:val="00E533F9"/>
    <w:rsid w:val="00EA4038"/>
    <w:rsid w:val="00EB3048"/>
    <w:rsid w:val="00ED392B"/>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oter" Target="footer1.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dev.mygrid.org.uk/issues/secure/ReleaseNote.jspa?projectId=10080&amp;version=10273" TargetMode="Externa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910B3-0A1D-6748-BDB5-639D8766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7574</Words>
  <Characters>43177</Characters>
  <Application>Microsoft Macintosh Word</Application>
  <DocSecurity>0</DocSecurity>
  <Lines>359</Lines>
  <Paragraphs>101</Paragraphs>
  <ScaleCrop>false</ScaleCrop>
  <Company>University of Manchester</Company>
  <LinksUpToDate>false</LinksUpToDate>
  <CharactersWithSpaces>50650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5</cp:revision>
  <cp:lastPrinted>2012-03-28T08:24:00Z</cp:lastPrinted>
  <dcterms:created xsi:type="dcterms:W3CDTF">2012-03-28T08:24:00Z</dcterms:created>
  <dcterms:modified xsi:type="dcterms:W3CDTF">2012-08-01T14:01:00Z</dcterms:modified>
</cp:coreProperties>
</file>