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遂川县审计局机关2</w:t>
      </w:r>
      <w:r>
        <w:rPr>
          <w:rFonts w:ascii="宋体" w:hAnsi="宋体"/>
          <w:sz w:val="36"/>
          <w:szCs w:val="36"/>
        </w:rPr>
        <w:t>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遂川县审计局机关概况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遂川县审计局机关</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遂川县审计局机关2</w:t>
      </w:r>
      <w:r>
        <w:rPr>
          <w:rFonts w:ascii="宋体" w:hAnsi="宋体"/>
          <w:sz w:val="28"/>
          <w:szCs w:val="28"/>
        </w:rPr>
        <w:t>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第一部分遂川县审计局机关概况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rPr>
        <w:t>审计局机关</w:t>
      </w:r>
      <w:r>
        <w:rPr>
          <w:rFonts w:hint="eastAsia" w:ascii="仿宋_GB2312" w:hAnsi="仿宋" w:eastAsia="仿宋_GB2312"/>
          <w:sz w:val="28"/>
          <w:szCs w:val="28"/>
        </w:rPr>
        <w:t>是县政府组成部门。</w:t>
      </w:r>
      <w:r>
        <w:rPr>
          <w:rFonts w:hint="eastAsia" w:ascii="仿宋_GB2312" w:hAnsi="宋体" w:eastAsia="仿宋_GB2312"/>
          <w:sz w:val="28"/>
          <w:szCs w:val="28"/>
        </w:rPr>
        <w:t>审计局</w:t>
      </w:r>
      <w:r>
        <w:rPr>
          <w:rFonts w:hint="eastAsia" w:ascii="仿宋_GB2312" w:hAnsi="仿宋" w:eastAsia="仿宋_GB2312"/>
          <w:sz w:val="28"/>
          <w:szCs w:val="28"/>
        </w:rPr>
        <w:t>主要职责为：对政府及其各部门的财政收支，国有金融机构和企业事业组织的财务收支的真实、合法和效益进行审计监督。在县长和市审计局的领导下，负责全县的审计工作。</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rPr>
        <w:t>审计局机关，内设5个股室</w:t>
      </w:r>
      <w:r>
        <w:rPr>
          <w:rFonts w:hint="eastAsia" w:ascii="仿宋_GB2312" w:hAnsi="仿宋" w:eastAsia="仿宋_GB2312"/>
          <w:sz w:val="28"/>
          <w:szCs w:val="28"/>
        </w:rPr>
        <w:t>，包括</w:t>
      </w:r>
      <w:r>
        <w:rPr>
          <w:rFonts w:hint="eastAsia" w:ascii="仿宋_GB2312" w:hAnsi="宋体" w:eastAsia="仿宋_GB2312"/>
          <w:sz w:val="28"/>
          <w:szCs w:val="28"/>
        </w:rPr>
        <w:t>办公室、综合法规审理股、经济责任审计股、财政金融审计股、固定资产投资审计股等股室</w:t>
      </w:r>
      <w:r>
        <w:rPr>
          <w:rFonts w:hint="eastAsia" w:ascii="仿宋_GB2312" w:hAnsi="仿宋" w:eastAsia="仿宋_GB2312"/>
          <w:sz w:val="28"/>
          <w:szCs w:val="28"/>
        </w:rPr>
        <w:t>。编制人数24人，其中：行政编制人数14人，全额补助事业编制人数10人。实有人数39人，其中：在职人数26人，包括行政16人、全拨10人；退休人员13人。</w:t>
      </w:r>
    </w:p>
    <w:p>
      <w:pPr>
        <w:widowControl/>
        <w:spacing w:line="520" w:lineRule="exact"/>
        <w:jc w:val="center"/>
        <w:rPr>
          <w:rFonts w:ascii="宋体"/>
          <w:sz w:val="28"/>
          <w:szCs w:val="28"/>
        </w:rPr>
      </w:pPr>
      <w:r>
        <w:rPr>
          <w:rFonts w:hint="eastAsia" w:ascii="宋体" w:hAnsi="宋体"/>
          <w:sz w:val="28"/>
          <w:szCs w:val="28"/>
        </w:rPr>
        <w:t>第二部分　　遂川县审计局机关</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审计局机关</w:t>
      </w:r>
      <w:r>
        <w:rPr>
          <w:rFonts w:hint="eastAsia" w:ascii="仿宋_GB2312" w:hAnsi="仿宋" w:eastAsia="仿宋_GB2312"/>
          <w:sz w:val="28"/>
          <w:szCs w:val="28"/>
        </w:rPr>
        <w:t>收入预算总额为545.33万元，比上年预算增加28.75万元。其中：财政拨款收入338.49万元，上年结转结余206.84万元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审计局机关</w:t>
      </w:r>
      <w:r>
        <w:rPr>
          <w:rFonts w:hint="eastAsia" w:ascii="仿宋_GB2312" w:hAnsi="仿宋" w:eastAsia="仿宋_GB2312"/>
          <w:sz w:val="28"/>
          <w:szCs w:val="28"/>
        </w:rPr>
        <w:t>支出预算总额为545.33万元，比上年预算增加28.75万元。其中：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按支出项目类别划分：基本支出544.33万元，包括工资福利支出265.86万元、商品和服务支出277.67万元、对个人和家庭的补助0.8万元；项目支出1万元，包括其它支出1万元。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按支出功能分类科目划分：一般公共服务支出499.13万元，社会保障和就业支出30.48万元，卫生健康支出15.72万元。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审计局机关</w:t>
      </w:r>
      <w:r>
        <w:rPr>
          <w:rFonts w:hint="eastAsia" w:ascii="仿宋_GB2312" w:hAnsi="仿宋" w:eastAsia="仿宋_GB2312"/>
          <w:sz w:val="28"/>
          <w:szCs w:val="28"/>
        </w:rPr>
        <w:t>财政拨款支出预算338.49万元，比上年预算增加增加28.75万元。具体支出情况是：一般公共服务支出292.29万元，社会保障和就业支出30.48万元，卫生健康支出15.72万元。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审计局</w:t>
      </w:r>
      <w:r>
        <w:rPr>
          <w:rFonts w:hint="eastAsia" w:ascii="仿宋_GB2312" w:hAnsi="仿宋" w:eastAsia="仿宋_GB2312"/>
          <w:sz w:val="28"/>
          <w:szCs w:val="28"/>
        </w:rPr>
        <w:t>机关运行经费70.83万元。包括办公及印刷费、邮电费、差旅费、会议费、福利费、维修(护)费、专用材料及一般设备购置费、水电费、取暖费、物业管理费、公务用车运行维护费以及其他费用。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6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审计局机关</w:t>
      </w:r>
      <w:r>
        <w:rPr>
          <w:rFonts w:hint="eastAsia" w:ascii="仿宋_GB2312" w:hAnsi="仿宋" w:eastAsia="仿宋_GB2312"/>
          <w:sz w:val="28"/>
          <w:szCs w:val="28"/>
        </w:rPr>
        <w:t>未安排政府采购预算。</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部门占用使用房屋面积1367平方米，其中：行政用房1367平方米。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2021年实行绩效目标管理的一级项目1个，涉及金额1万元。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审计局机关</w:t>
      </w:r>
      <w:r>
        <w:rPr>
          <w:rFonts w:hint="eastAsia" w:ascii="仿宋_GB2312" w:hAnsi="仿宋" w:eastAsia="仿宋_GB2312"/>
          <w:sz w:val="28"/>
          <w:szCs w:val="28"/>
        </w:rPr>
        <w:t>“三公”经费预算安排16万元。</w:t>
      </w:r>
    </w:p>
    <w:p>
      <w:pPr>
        <w:widowControl/>
        <w:spacing w:line="520" w:lineRule="exact"/>
        <w:rPr>
          <w:rFonts w:ascii="仿宋_GB2312" w:hAnsi="仿宋" w:eastAsia="仿宋_GB2312"/>
          <w:sz w:val="28"/>
          <w:szCs w:val="28"/>
        </w:rPr>
      </w:pPr>
      <w:r>
        <w:rPr>
          <w:rFonts w:hint="eastAsia" w:ascii="仿宋_GB2312" w:hAnsi="仿宋" w:eastAsia="仿宋_GB2312"/>
          <w:sz w:val="28"/>
          <w:szCs w:val="28"/>
        </w:rPr>
        <w:t xml:space="preserve">    1、公务接待费16万元，与上年持平。</w:t>
      </w:r>
    </w:p>
    <w:p>
      <w:pPr>
        <w:spacing w:line="540" w:lineRule="exact"/>
        <w:ind w:firstLine="560" w:firstLineChars="200"/>
        <w:rPr>
          <w:rFonts w:ascii="仿宋_GB2312" w:hAnsi="仿宋" w:eastAsia="仿宋_GB2312"/>
          <w:sz w:val="28"/>
          <w:szCs w:val="28"/>
        </w:rPr>
      </w:pPr>
      <w:r>
        <w:rPr>
          <w:rFonts w:hint="eastAsia" w:ascii="仿宋_GB2312" w:hAnsi="仿宋" w:eastAsia="仿宋_GB2312"/>
          <w:sz w:val="28"/>
          <w:szCs w:val="28"/>
        </w:rPr>
        <w:t>2、公务用车运行维护费无。</w:t>
      </w:r>
    </w:p>
    <w:p>
      <w:pPr>
        <w:widowControl/>
        <w:spacing w:line="520" w:lineRule="exact"/>
        <w:ind w:firstLine="840" w:firstLineChars="300"/>
        <w:rPr>
          <w:rFonts w:ascii="宋体"/>
          <w:sz w:val="28"/>
          <w:szCs w:val="28"/>
        </w:rPr>
      </w:pPr>
      <w:r>
        <w:rPr>
          <w:rFonts w:hint="eastAsia" w:ascii="宋体" w:hAnsi="宋体"/>
          <w:sz w:val="28"/>
          <w:szCs w:val="28"/>
        </w:rPr>
        <w:t>第三部分　遂川县审计局机关</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bookmarkStart w:id="0" w:name="_GoBack"/>
      <w:bookmarkEnd w:id="0"/>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291"/>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47A2"/>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865"/>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A04E5"/>
    <w:rsid w:val="00EC06CC"/>
    <w:rsid w:val="00EF6999"/>
    <w:rsid w:val="00F25214"/>
    <w:rsid w:val="00F43FE8"/>
    <w:rsid w:val="00F45257"/>
    <w:rsid w:val="00F52216"/>
    <w:rsid w:val="00F602CC"/>
    <w:rsid w:val="00F84855"/>
    <w:rsid w:val="00FD405C"/>
    <w:rsid w:val="00FF00D9"/>
    <w:rsid w:val="06E850EA"/>
    <w:rsid w:val="08613C39"/>
    <w:rsid w:val="0D9F0672"/>
    <w:rsid w:val="10000475"/>
    <w:rsid w:val="157C415D"/>
    <w:rsid w:val="157C4CEA"/>
    <w:rsid w:val="1CD548A8"/>
    <w:rsid w:val="1E3A1FCB"/>
    <w:rsid w:val="225102C6"/>
    <w:rsid w:val="24F9347C"/>
    <w:rsid w:val="286E0EF7"/>
    <w:rsid w:val="31DD488B"/>
    <w:rsid w:val="3562536F"/>
    <w:rsid w:val="3A164E06"/>
    <w:rsid w:val="3ABD4C67"/>
    <w:rsid w:val="3F2B4B98"/>
    <w:rsid w:val="3F695B7A"/>
    <w:rsid w:val="3FEE3705"/>
    <w:rsid w:val="4D2E3329"/>
    <w:rsid w:val="4EA52FDD"/>
    <w:rsid w:val="51157E50"/>
    <w:rsid w:val="52E07959"/>
    <w:rsid w:val="55753FBD"/>
    <w:rsid w:val="5FCC0CC1"/>
    <w:rsid w:val="60294FBD"/>
    <w:rsid w:val="60EC4ED0"/>
    <w:rsid w:val="62A93A1D"/>
    <w:rsid w:val="63B47E4C"/>
    <w:rsid w:val="64284A0B"/>
    <w:rsid w:val="65A75415"/>
    <w:rsid w:val="6A6D24AF"/>
    <w:rsid w:val="6B010D92"/>
    <w:rsid w:val="6B8A4373"/>
    <w:rsid w:val="6FFB29EA"/>
    <w:rsid w:val="73954233"/>
    <w:rsid w:val="74CB5B20"/>
    <w:rsid w:val="76C102EB"/>
    <w:rsid w:val="7ABD2A89"/>
    <w:rsid w:val="7F6D0EC3"/>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99"/>
    <w:pPr>
      <w:spacing w:line="360" w:lineRule="auto"/>
      <w:ind w:firstLine="645"/>
    </w:pPr>
    <w:rPr>
      <w:rFonts w:ascii="仿宋_GB2312" w:eastAsia="仿宋_GB2312"/>
      <w:bCs/>
      <w:sz w:val="32"/>
      <w:szCs w:val="32"/>
    </w:r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99"/>
    <w:rPr>
      <w:rFonts w:cs="Times New Roman"/>
    </w:rPr>
  </w:style>
  <w:style w:type="character" w:customStyle="1" w:styleId="9">
    <w:name w:val="页眉 Char"/>
    <w:basedOn w:val="7"/>
    <w:link w:val="5"/>
    <w:semiHidden/>
    <w:qFormat/>
    <w:locked/>
    <w:uiPriority w:val="99"/>
    <w:rPr>
      <w:rFonts w:cs="Times New Roman"/>
      <w:sz w:val="18"/>
      <w:szCs w:val="18"/>
    </w:rPr>
  </w:style>
  <w:style w:type="character" w:customStyle="1" w:styleId="10">
    <w:name w:val="正文文本缩进 Char"/>
    <w:basedOn w:val="7"/>
    <w:link w:val="2"/>
    <w:semiHidden/>
    <w:qFormat/>
    <w:locked/>
    <w:uiPriority w:val="99"/>
    <w:rPr>
      <w:rFonts w:cs="Times New Roman"/>
      <w:sz w:val="24"/>
      <w:szCs w:val="24"/>
    </w:rPr>
  </w:style>
  <w:style w:type="character" w:customStyle="1" w:styleId="11">
    <w:name w:val="页脚 Char"/>
    <w:basedOn w:val="7"/>
    <w:link w:val="4"/>
    <w:semiHidden/>
    <w:qFormat/>
    <w:locked/>
    <w:uiPriority w:val="99"/>
    <w:rPr>
      <w:rFonts w:cs="Times New Roman"/>
      <w:sz w:val="18"/>
      <w:szCs w:val="18"/>
    </w:rPr>
  </w:style>
  <w:style w:type="character" w:customStyle="1" w:styleId="12">
    <w:name w:val="批注框文本 Char"/>
    <w:basedOn w:val="7"/>
    <w:link w:val="3"/>
    <w:semiHidden/>
    <w:locked/>
    <w:uiPriority w:val="99"/>
    <w:rPr>
      <w:rFonts w:cs="Times New Roman"/>
      <w:sz w:val="2"/>
    </w:rPr>
  </w:style>
  <w:style w:type="paragraph" w:customStyle="1" w:styleId="13">
    <w:name w:val="_Style 3"/>
    <w:basedOn w:val="1"/>
    <w:qFormat/>
    <w:uiPriority w:val="99"/>
    <w:rPr>
      <w:szCs w:val="20"/>
    </w:rPr>
  </w:style>
  <w:style w:type="paragraph" w:customStyle="1" w:styleId="14">
    <w:name w:val="默认段落字体 Para Char Char Char Char Char Char Char"/>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236</Words>
  <Characters>1350</Characters>
  <Lines>11</Lines>
  <Paragraphs>3</Paragraphs>
  <TotalTime>0</TotalTime>
  <ScaleCrop>false</ScaleCrop>
  <LinksUpToDate>false</LinksUpToDate>
  <CharactersWithSpaces>1583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cp:lastModifiedBy>
  <cp:lastPrinted>2018-11-13T03:31:00Z</cp:lastPrinted>
  <dcterms:modified xsi:type="dcterms:W3CDTF">2021-09-10T02:25:43Z</dcterms:modified>
  <dc:title>吉安市××局（委、办）2007年部门预算草案编制说明</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8FA4A4E1C96E48A4AF2942868037888A</vt:lpwstr>
  </property>
</Properties>
</file>