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遂川县疾病预防控制中心</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遂川县疾病预防控制中心概况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遂川县疾病预防控制中心</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遂川县疾病预防控制中心</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遂川县疾病预防控制中心概况</w:t>
      </w:r>
    </w:p>
    <w:p>
      <w:pPr>
        <w:widowControl/>
        <w:spacing w:line="520" w:lineRule="exact"/>
        <w:ind w:firstLine="560" w:firstLineChars="200"/>
        <w:rPr>
          <w:rFonts w:asciiTheme="minorEastAsia" w:hAnsiTheme="minorEastAsia" w:eastAsiaTheme="minorEastAsia"/>
          <w:bCs/>
          <w:sz w:val="28"/>
          <w:szCs w:val="28"/>
        </w:rPr>
      </w:pPr>
      <w:r>
        <w:rPr>
          <w:rFonts w:hint="eastAsia" w:asciiTheme="minorEastAsia" w:hAnsiTheme="minorEastAsia" w:eastAsiaTheme="minorEastAsia"/>
          <w:bCs/>
          <w:sz w:val="28"/>
          <w:szCs w:val="28"/>
        </w:rPr>
        <w:t>一、单位主要职责</w:t>
      </w:r>
    </w:p>
    <w:p>
      <w:pPr>
        <w:ind w:firstLine="57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遂川县疾病预防控制中心是遂川县卫健委的下属副科事业单位。遂川县疾病预防控制中心主要职责为遂川县疾控预防控制中心主要职责是：（一）完成上级下达的疾病预防控制任务，负责辖区内疾病预防控制具体工作的管理和落实；负责辖区内疫苗使用管理，组织实施免疫、消毒、控制病煤生物的危害；</w:t>
      </w:r>
    </w:p>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（二）负责辖区内突发公共卫生事件的监测调查与信息收集、报告，落实具体控制措施；</w:t>
      </w:r>
    </w:p>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（三）开展病原微生物常规检验和常见污染物的检验；</w:t>
      </w:r>
    </w:p>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（四）负责疫情公共卫生健康危害因素监测、报告，指导乡、村和有关部门收集、报告疫情。</w:t>
      </w:r>
    </w:p>
    <w:p>
      <w:pPr>
        <w:widowControl/>
        <w:spacing w:line="520" w:lineRule="exact"/>
        <w:ind w:firstLine="560" w:firstLineChars="200"/>
        <w:rPr>
          <w:rFonts w:asciiTheme="minorEastAsia" w:hAnsiTheme="minorEastAsia" w:eastAsiaTheme="minorEastAsia"/>
          <w:bCs/>
          <w:sz w:val="28"/>
          <w:szCs w:val="28"/>
        </w:rPr>
      </w:pPr>
      <w:r>
        <w:rPr>
          <w:rFonts w:hint="eastAsia" w:asciiTheme="minorEastAsia" w:hAnsiTheme="minorEastAsia" w:eastAsiaTheme="minorEastAsia"/>
          <w:bCs/>
          <w:sz w:val="28"/>
          <w:szCs w:val="28"/>
        </w:rPr>
        <w:t>二、单位基本情况</w:t>
      </w:r>
    </w:p>
    <w:p>
      <w:pPr>
        <w:widowControl/>
        <w:spacing w:line="52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县疾控中心，内设7个科室。编制人数33人，其中：行政编制人数0人，参照公务员管理的事业编制人数0人，全额补助事业编制人数32人，部分补助事业编制人数1人，自收自支事业编制人数0人。实有人数56人，其中：在职人数36人，退休人员20人。</w:t>
      </w:r>
    </w:p>
    <w:p>
      <w:pPr>
        <w:widowControl/>
        <w:spacing w:line="520" w:lineRule="exact"/>
        <w:jc w:val="center"/>
        <w:rPr>
          <w:rFonts w:ascii="宋体"/>
          <w:sz w:val="28"/>
          <w:szCs w:val="28"/>
        </w:rPr>
      </w:pPr>
      <w:r>
        <w:rPr>
          <w:rFonts w:hint="eastAsia" w:ascii="宋体" w:hAnsi="宋体"/>
          <w:sz w:val="28"/>
          <w:szCs w:val="28"/>
        </w:rPr>
        <w:t>第二部分　　遂川县疾病预防控制中心</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疾病预防控制中心</w:t>
      </w:r>
      <w:r>
        <w:rPr>
          <w:rFonts w:hint="eastAsia" w:ascii="仿宋_GB2312" w:hAnsi="仿宋" w:eastAsia="仿宋_GB2312"/>
          <w:sz w:val="28"/>
          <w:szCs w:val="28"/>
        </w:rPr>
        <w:t>收入预算总额为1372.1万元，比上年预算增加532.6万元。其中：财政拨款收入362.9万元，事业单位经营收入1000万元，上年结转结余万9.2元。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疾控中心</w:t>
      </w:r>
      <w:r>
        <w:rPr>
          <w:rFonts w:hint="eastAsia" w:ascii="仿宋_GB2312" w:hAnsi="仿宋" w:eastAsia="仿宋_GB2312"/>
          <w:sz w:val="28"/>
          <w:szCs w:val="28"/>
        </w:rPr>
        <w:t>支出预算总额为1372.1万元，比上年预算增加532.6万元。其中：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1344.8万元，包括工资福利支出313.6万元、商品和服务支出854.2万元、对个人和家庭的补助2万元、资本性支出175万元；项目支出27.3万元，包括工资福利支出0万元、商品和服务支出27.3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按支出功能分类科目划分：，社会保障和就业支出万34.8元，卫生健康支出328.1万元。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疾控中心</w:t>
      </w:r>
      <w:r>
        <w:rPr>
          <w:rFonts w:hint="eastAsia" w:ascii="仿宋_GB2312" w:hAnsi="仿宋" w:eastAsia="仿宋_GB2312"/>
          <w:sz w:val="28"/>
          <w:szCs w:val="28"/>
        </w:rPr>
        <w:t>财政拨款支出预算362.9万元，比上年预算增加76.1万元。具体支出情况是：社会保障和就业支出34.8万元，卫生健康支出328.1万元。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疾控中心</w:t>
      </w:r>
      <w:r>
        <w:rPr>
          <w:rFonts w:hint="eastAsia" w:ascii="仿宋_GB2312" w:hAnsi="仿宋" w:eastAsia="仿宋_GB2312"/>
          <w:sz w:val="28"/>
          <w:szCs w:val="28"/>
        </w:rPr>
        <w:t>机关运行经费854.2万元，比上年预算增加379.2万元，包括办公及印刷费、邮电费、差旅费、会议费、福利费、维修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疾控中心</w:t>
      </w:r>
      <w:r>
        <w:rPr>
          <w:rFonts w:hint="eastAsia" w:ascii="仿宋_GB2312" w:hAnsi="仿宋" w:eastAsia="仿宋_GB2312"/>
          <w:sz w:val="28"/>
          <w:szCs w:val="28"/>
        </w:rPr>
        <w:t>安排政府采购预算175万元，包括货物预算175万元、工程预算0万元、服务预算0万元。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部门共有车辆1辆，其中：特殊用车1辆。占用使用房屋面积2537平方米，其中：行政用房2537平方米。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年实行绩效目标管理的一级项目3个，涉及金额27.3万元。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疾控中心</w:t>
      </w:r>
      <w:r>
        <w:rPr>
          <w:rFonts w:hint="eastAsia" w:ascii="仿宋_GB2312" w:hAnsi="仿宋" w:eastAsia="仿宋_GB2312"/>
          <w:sz w:val="28"/>
          <w:szCs w:val="28"/>
        </w:rPr>
        <w:t>“三公”经费预算安排24万元。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、公务接待费14万元，与上年持平。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、公务用车运行维护费10万元，与上年持平。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遂川县疾病预防控制中心</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w:t>
      </w:r>
      <w:bookmarkStart w:id="0" w:name="_GoBack"/>
      <w:bookmarkEnd w:id="0"/>
      <w:r>
        <w:rPr>
          <w:rFonts w:hint="eastAsia" w:ascii="仿宋_GB2312" w:hAnsi="仿宋" w:eastAsia="仿宋_GB2312"/>
          <w:sz w:val="28"/>
          <w:szCs w:val="28"/>
        </w:rPr>
        <w:t>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291"/>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8F7676"/>
    <w:rsid w:val="00012DDC"/>
    <w:rsid w:val="0001560A"/>
    <w:rsid w:val="0001571C"/>
    <w:rsid w:val="00044252"/>
    <w:rsid w:val="00061F9C"/>
    <w:rsid w:val="00072974"/>
    <w:rsid w:val="00073B58"/>
    <w:rsid w:val="00076532"/>
    <w:rsid w:val="000D7105"/>
    <w:rsid w:val="00110D15"/>
    <w:rsid w:val="00114F0E"/>
    <w:rsid w:val="001220D8"/>
    <w:rsid w:val="00130531"/>
    <w:rsid w:val="001537B8"/>
    <w:rsid w:val="001604E5"/>
    <w:rsid w:val="0017682B"/>
    <w:rsid w:val="001870CF"/>
    <w:rsid w:val="001931A5"/>
    <w:rsid w:val="0019729B"/>
    <w:rsid w:val="001A205C"/>
    <w:rsid w:val="001A4ED8"/>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4442"/>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352C"/>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00C98"/>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A77E4"/>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435"/>
    <w:rsid w:val="00B94F55"/>
    <w:rsid w:val="00BA11E2"/>
    <w:rsid w:val="00BA37D9"/>
    <w:rsid w:val="00BB0907"/>
    <w:rsid w:val="00BB1CF5"/>
    <w:rsid w:val="00BC4C34"/>
    <w:rsid w:val="00BE0224"/>
    <w:rsid w:val="00BE0325"/>
    <w:rsid w:val="00C00AED"/>
    <w:rsid w:val="00C01B7C"/>
    <w:rsid w:val="00C02E41"/>
    <w:rsid w:val="00C033AC"/>
    <w:rsid w:val="00C40E28"/>
    <w:rsid w:val="00C5207B"/>
    <w:rsid w:val="00C52DB7"/>
    <w:rsid w:val="00C6248B"/>
    <w:rsid w:val="00C63EEF"/>
    <w:rsid w:val="00C717E1"/>
    <w:rsid w:val="00C72BFF"/>
    <w:rsid w:val="00C821C2"/>
    <w:rsid w:val="00C919CD"/>
    <w:rsid w:val="00C92C03"/>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6E850EA"/>
    <w:rsid w:val="08613C39"/>
    <w:rsid w:val="0D9F0672"/>
    <w:rsid w:val="10000475"/>
    <w:rsid w:val="157C415D"/>
    <w:rsid w:val="157C4CEA"/>
    <w:rsid w:val="1CD548A8"/>
    <w:rsid w:val="1E3A1FCB"/>
    <w:rsid w:val="225102C6"/>
    <w:rsid w:val="24F9347C"/>
    <w:rsid w:val="286E0EF7"/>
    <w:rsid w:val="2E304F4D"/>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99"/>
    <w:pPr>
      <w:spacing w:line="360" w:lineRule="auto"/>
      <w:ind w:firstLine="645"/>
    </w:pPr>
    <w:rPr>
      <w:rFonts w:ascii="仿宋_GB2312" w:eastAsia="仿宋_GB2312"/>
      <w:bCs/>
      <w:sz w:val="32"/>
      <w:szCs w:val="32"/>
    </w:r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99"/>
    <w:rPr>
      <w:rFonts w:cs="Times New Roman"/>
    </w:rPr>
  </w:style>
  <w:style w:type="character" w:customStyle="1" w:styleId="9">
    <w:name w:val="页眉 Char"/>
    <w:basedOn w:val="7"/>
    <w:link w:val="5"/>
    <w:semiHidden/>
    <w:qFormat/>
    <w:locked/>
    <w:uiPriority w:val="99"/>
    <w:rPr>
      <w:rFonts w:cs="Times New Roman"/>
      <w:sz w:val="18"/>
      <w:szCs w:val="18"/>
    </w:rPr>
  </w:style>
  <w:style w:type="character" w:customStyle="1" w:styleId="10">
    <w:name w:val="正文文本缩进 Char"/>
    <w:basedOn w:val="7"/>
    <w:link w:val="2"/>
    <w:semiHidden/>
    <w:qFormat/>
    <w:locked/>
    <w:uiPriority w:val="99"/>
    <w:rPr>
      <w:rFonts w:cs="Times New Roman"/>
      <w:sz w:val="24"/>
      <w:szCs w:val="24"/>
    </w:rPr>
  </w:style>
  <w:style w:type="character" w:customStyle="1" w:styleId="11">
    <w:name w:val="页脚 Char"/>
    <w:basedOn w:val="7"/>
    <w:link w:val="4"/>
    <w:semiHidden/>
    <w:qFormat/>
    <w:locked/>
    <w:uiPriority w:val="99"/>
    <w:rPr>
      <w:rFonts w:cs="Times New Roman"/>
      <w:sz w:val="18"/>
      <w:szCs w:val="18"/>
    </w:rPr>
  </w:style>
  <w:style w:type="character" w:customStyle="1" w:styleId="12">
    <w:name w:val="批注框文本 Char"/>
    <w:basedOn w:val="7"/>
    <w:link w:val="3"/>
    <w:semiHidden/>
    <w:qFormat/>
    <w:locked/>
    <w:uiPriority w:val="99"/>
    <w:rPr>
      <w:rFonts w:cs="Times New Roman"/>
      <w:sz w:val="2"/>
    </w:rPr>
  </w:style>
  <w:style w:type="paragraph" w:customStyle="1" w:styleId="13">
    <w:name w:val="_Style 3"/>
    <w:basedOn w:val="1"/>
    <w:qFormat/>
    <w:uiPriority w:val="99"/>
    <w:rPr>
      <w:szCs w:val="20"/>
    </w:rPr>
  </w:style>
  <w:style w:type="paragraph" w:customStyle="1" w:styleId="14">
    <w:name w:val="默认段落字体 Para Char Char Char Char Char Char Char"/>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270</Words>
  <Characters>1540</Characters>
  <Lines>12</Lines>
  <Paragraphs>3</Paragraphs>
  <TotalTime>3</TotalTime>
  <ScaleCrop>false</ScaleCrop>
  <LinksUpToDate>false</LinksUpToDate>
  <CharactersWithSpaces>1807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2021-05-28T08:37:00Z</dcterms:created>
  <dc:creator>xzzfk</dc:creator>
  <cp:lastModifiedBy>Administrator</cp:lastModifiedBy>
  <cp:lastPrinted>2021-05-28T07:30:00Z</cp:lastPrinted>
  <dcterms:modified xsi:type="dcterms:W3CDTF">2021-05-28T08:56:10Z</dcterms:modified>
  <dc:title>吉安市××局（委、办）2007年部门预算草案编制说明</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189082F6EB7C43D4B114C54646A52D74</vt:lpwstr>
  </property>
</Properties>
</file>