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r>
        <w:rPr>
          <w:rFonts w:hint="eastAsia" w:ascii="宋体" w:hAnsi="宋体"/>
          <w:sz w:val="36"/>
          <w:szCs w:val="36"/>
        </w:rPr>
        <w:t>遂川县</w:t>
      </w:r>
      <w:r>
        <w:rPr>
          <w:rFonts w:hint="eastAsia" w:ascii="宋体" w:hAnsi="宋体" w:eastAsia="宋体" w:cs="宋体"/>
          <w:sz w:val="36"/>
          <w:szCs w:val="36"/>
        </w:rPr>
        <w:t>卫生健康综合监督执法局</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w:t>
      </w:r>
      <w:r>
        <w:rPr>
          <w:rFonts w:hint="eastAsia" w:ascii="宋体" w:hAnsi="宋体" w:eastAsia="宋体" w:cs="宋体"/>
          <w:sz w:val="28"/>
          <w:szCs w:val="28"/>
        </w:rPr>
        <w:t>遂川县卫生健康综合监督执法局概况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hint="eastAsia" w:ascii="宋体" w:hAnsi="宋体" w:eastAsia="宋体" w:cs="宋体"/>
          <w:sz w:val="28"/>
          <w:szCs w:val="28"/>
        </w:rPr>
      </w:pPr>
      <w:r>
        <w:rPr>
          <w:rFonts w:hint="eastAsia" w:ascii="宋体" w:hAnsi="宋体"/>
          <w:sz w:val="28"/>
          <w:szCs w:val="28"/>
        </w:rPr>
        <w:t>第二部分　　</w:t>
      </w:r>
      <w:r>
        <w:rPr>
          <w:rFonts w:hint="eastAsia" w:ascii="宋体" w:hAnsi="宋体" w:eastAsia="宋体" w:cs="宋体"/>
          <w:sz w:val="28"/>
          <w:szCs w:val="28"/>
        </w:rPr>
        <w:t>遂川县卫生健康综合监督执法局2021年单位预算情况说明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hint="eastAsia" w:ascii="宋体" w:hAnsi="宋体" w:eastAsia="宋体" w:cs="宋体"/>
          <w:sz w:val="28"/>
          <w:szCs w:val="28"/>
        </w:rPr>
      </w:pPr>
      <w:r>
        <w:rPr>
          <w:rFonts w:hint="eastAsia" w:ascii="宋体" w:hAnsi="宋体"/>
          <w:sz w:val="28"/>
          <w:szCs w:val="28"/>
        </w:rPr>
        <w:t>第三部分　　</w:t>
      </w:r>
      <w:r>
        <w:rPr>
          <w:rFonts w:hint="eastAsia" w:ascii="宋体" w:hAnsi="宋体" w:eastAsia="宋体" w:cs="宋体"/>
          <w:sz w:val="28"/>
          <w:szCs w:val="28"/>
        </w:rPr>
        <w:t>遂川县卫生健康综合监督执法局2021年单位预算表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spacing w:line="560" w:lineRule="exact"/>
        <w:jc w:val="center"/>
        <w:rPr>
          <w:rFonts w:ascii="宋体"/>
          <w:sz w:val="36"/>
          <w:szCs w:val="36"/>
        </w:rPr>
      </w:pPr>
    </w:p>
    <w:p>
      <w:pPr>
        <w:spacing w:line="560" w:lineRule="exact"/>
        <w:jc w:val="center"/>
        <w:rPr>
          <w:rFonts w:hint="eastAsia" w:ascii="宋体" w:hAnsi="宋体"/>
          <w:sz w:val="36"/>
          <w:szCs w:val="36"/>
        </w:rPr>
      </w:pPr>
    </w:p>
    <w:p>
      <w:pPr>
        <w:numPr>
          <w:ilvl w:val="0"/>
          <w:numId w:val="1"/>
        </w:numPr>
        <w:spacing w:line="560" w:lineRule="exact"/>
        <w:ind w:firstLine="560" w:firstLineChars="200"/>
        <w:jc w:val="center"/>
        <w:rPr>
          <w:rFonts w:hint="eastAsia" w:ascii="宋体" w:hAnsi="宋体"/>
          <w:sz w:val="28"/>
          <w:szCs w:val="28"/>
        </w:rPr>
      </w:pPr>
      <w:r>
        <w:rPr>
          <w:rFonts w:hint="eastAsia" w:ascii="宋体" w:hAnsi="宋体"/>
          <w:sz w:val="28"/>
          <w:szCs w:val="28"/>
        </w:rPr>
        <w:t>　遂川县卫监局概况</w:t>
      </w:r>
    </w:p>
    <w:p>
      <w:pPr>
        <w:widowControl/>
        <w:spacing w:line="520" w:lineRule="exact"/>
        <w:ind w:firstLine="560" w:firstLineChars="200"/>
        <w:rPr>
          <w:rFonts w:ascii="黑体" w:hAnsi="黑体" w:eastAsia="黑体"/>
          <w:bCs/>
          <w:sz w:val="28"/>
          <w:szCs w:val="28"/>
        </w:rPr>
      </w:pPr>
      <w:r>
        <w:rPr>
          <w:rFonts w:hint="eastAsia" w:ascii="宋体" w:hAnsi="宋体"/>
          <w:sz w:val="28"/>
          <w:szCs w:val="28"/>
          <w:lang w:val="en-US" w:eastAsia="zh-CN"/>
        </w:rPr>
        <w:t xml:space="preserve">  </w:t>
      </w:r>
      <w:r>
        <w:rPr>
          <w:rFonts w:hint="eastAsia" w:ascii="黑体" w:hAnsi="黑体" w:eastAsia="黑体"/>
          <w:bCs/>
          <w:sz w:val="28"/>
          <w:szCs w:val="28"/>
        </w:rPr>
        <w:t>一、单位主要职责</w:t>
      </w:r>
    </w:p>
    <w:p>
      <w:pPr>
        <w:ind w:firstLine="570"/>
        <w:rPr>
          <w:rFonts w:ascii="仿宋_GB2312" w:hAnsi="宋体" w:eastAsia="仿宋_GB2312"/>
          <w:sz w:val="32"/>
          <w:szCs w:val="32"/>
        </w:rPr>
      </w:pPr>
      <w:r>
        <w:rPr>
          <w:rFonts w:hint="eastAsia" w:ascii="仿宋_GB2312" w:hAnsi="仿宋" w:eastAsia="仿宋_GB2312"/>
          <w:sz w:val="28"/>
          <w:szCs w:val="28"/>
        </w:rPr>
        <w:t>遂川县</w:t>
      </w:r>
      <w:r>
        <w:rPr>
          <w:rFonts w:hint="eastAsia" w:ascii="仿宋_GB2312" w:hAnsi="宋体" w:eastAsia="仿宋_GB2312"/>
          <w:sz w:val="28"/>
          <w:szCs w:val="28"/>
        </w:rPr>
        <w:t>卫生健康综合监督执法局</w:t>
      </w:r>
      <w:r>
        <w:rPr>
          <w:rFonts w:hint="eastAsia" w:ascii="仿宋_GB2312" w:hAnsi="仿宋" w:eastAsia="仿宋_GB2312"/>
          <w:sz w:val="28"/>
          <w:szCs w:val="28"/>
        </w:rPr>
        <w:t>是遂川县</w:t>
      </w:r>
      <w:r>
        <w:rPr>
          <w:rFonts w:hint="eastAsia" w:ascii="仿宋_GB2312" w:hAnsi="宋体" w:eastAsia="仿宋_GB2312"/>
          <w:sz w:val="28"/>
          <w:szCs w:val="28"/>
        </w:rPr>
        <w:t>卫健委的下属副科事业单位</w:t>
      </w:r>
      <w:r>
        <w:rPr>
          <w:rFonts w:hint="eastAsia" w:ascii="仿宋_GB2312" w:hAnsi="仿宋" w:eastAsia="仿宋_GB2312"/>
          <w:sz w:val="28"/>
          <w:szCs w:val="28"/>
        </w:rPr>
        <w:t>。主要职责为：</w:t>
      </w:r>
      <w:r>
        <w:rPr>
          <w:rFonts w:hint="eastAsia" w:ascii="仿宋_GB2312" w:hAnsi="宋体" w:eastAsia="仿宋_GB2312"/>
          <w:sz w:val="32"/>
          <w:szCs w:val="32"/>
        </w:rPr>
        <w:t>主要职责是：负责公共卫生综合协调、标准制定及监督检查工作；负责组织开展职责范围内的职业卫生、放射卫生、学校卫生、公共场所卫生、饮用水卫生、医疗机构等相关监测、调查、评估和监督，负责传染病防治监督。</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ind w:firstLine="645"/>
        <w:rPr>
          <w:rFonts w:ascii="仿宋_GB2312" w:hAnsi="宋体" w:eastAsia="仿宋_GB2312"/>
          <w:sz w:val="32"/>
          <w:szCs w:val="32"/>
        </w:rPr>
      </w:pPr>
      <w:r>
        <w:rPr>
          <w:rFonts w:hint="eastAsia" w:ascii="仿宋_GB2312" w:hAnsi="仿宋" w:eastAsia="仿宋_GB2312"/>
          <w:sz w:val="28"/>
          <w:szCs w:val="28"/>
        </w:rPr>
        <w:t>县</w:t>
      </w:r>
      <w:r>
        <w:rPr>
          <w:rFonts w:hint="eastAsia" w:ascii="仿宋_GB2312" w:hAnsi="宋体" w:eastAsia="仿宋_GB2312"/>
          <w:sz w:val="28"/>
          <w:szCs w:val="28"/>
        </w:rPr>
        <w:t>卫生健康综合监督执法局，内设3个股室</w:t>
      </w:r>
      <w:r>
        <w:rPr>
          <w:rFonts w:hint="eastAsia" w:ascii="仿宋_GB2312" w:hAnsi="仿宋" w:eastAsia="仿宋_GB2312"/>
          <w:sz w:val="28"/>
          <w:szCs w:val="28"/>
        </w:rPr>
        <w:t>，包括</w:t>
      </w:r>
      <w:r>
        <w:rPr>
          <w:rFonts w:hint="eastAsia" w:ascii="仿宋_GB2312" w:hAnsi="宋体" w:eastAsia="仿宋_GB2312"/>
          <w:sz w:val="28"/>
          <w:szCs w:val="28"/>
        </w:rPr>
        <w:t>办公室、监督一科、监督二科</w:t>
      </w:r>
      <w:r>
        <w:rPr>
          <w:rFonts w:hint="eastAsia" w:ascii="仿宋_GB2312" w:hAnsi="仿宋" w:eastAsia="仿宋_GB2312"/>
          <w:sz w:val="28"/>
          <w:szCs w:val="28"/>
        </w:rPr>
        <w:t>。编制人数18人，其中：</w:t>
      </w:r>
      <w:r>
        <w:rPr>
          <w:rFonts w:hint="eastAsia" w:ascii="仿宋_GB2312" w:hAnsi="宋体" w:eastAsia="仿宋_GB2312"/>
          <w:sz w:val="32"/>
          <w:szCs w:val="32"/>
        </w:rPr>
        <w:t>遂川县卫健委综合监督执法局编制人数18人，其中：全额拨款事业编制</w:t>
      </w:r>
      <w:r>
        <w:rPr>
          <w:rFonts w:hint="eastAsia" w:ascii="仿宋_GB2312" w:hAnsi="宋体"/>
          <w:sz w:val="32"/>
          <w:szCs w:val="32"/>
        </w:rPr>
        <w:t>18</w:t>
      </w:r>
      <w:r>
        <w:rPr>
          <w:rFonts w:hint="eastAsia" w:ascii="仿宋_GB2312" w:hAnsi="宋体" w:eastAsia="仿宋_GB2312"/>
          <w:sz w:val="32"/>
          <w:szCs w:val="32"/>
        </w:rPr>
        <w:t>人、实有人数</w:t>
      </w:r>
      <w:r>
        <w:rPr>
          <w:rFonts w:hint="eastAsia" w:ascii="仿宋_GB2312" w:hAnsi="宋体"/>
          <w:sz w:val="32"/>
          <w:szCs w:val="32"/>
        </w:rPr>
        <w:t>11</w:t>
      </w:r>
      <w:r>
        <w:rPr>
          <w:rFonts w:hint="eastAsia" w:ascii="仿宋_GB2312" w:hAnsi="宋体" w:eastAsia="仿宋_GB2312"/>
          <w:sz w:val="32"/>
          <w:szCs w:val="32"/>
        </w:rPr>
        <w:t>人，其中：在职人数</w:t>
      </w:r>
      <w:r>
        <w:rPr>
          <w:rFonts w:hint="eastAsia" w:ascii="仿宋_GB2312" w:hAnsi="宋体"/>
          <w:sz w:val="32"/>
          <w:szCs w:val="32"/>
        </w:rPr>
        <w:t>11</w:t>
      </w:r>
      <w:r>
        <w:rPr>
          <w:rFonts w:hint="eastAsia" w:ascii="仿宋_GB2312" w:hAnsi="宋体" w:eastAsia="仿宋_GB2312"/>
          <w:sz w:val="32"/>
          <w:szCs w:val="32"/>
        </w:rPr>
        <w:t>人，包括全额拨款事业人员</w:t>
      </w:r>
      <w:r>
        <w:rPr>
          <w:rFonts w:hint="eastAsia" w:ascii="仿宋_GB2312" w:hAnsi="宋体"/>
          <w:sz w:val="32"/>
          <w:szCs w:val="32"/>
        </w:rPr>
        <w:t>11</w:t>
      </w:r>
      <w:r>
        <w:rPr>
          <w:rFonts w:hint="eastAsia" w:ascii="仿宋_GB2312" w:hAnsi="宋体" w:eastAsia="仿宋_GB2312"/>
          <w:sz w:val="32"/>
          <w:szCs w:val="32"/>
        </w:rPr>
        <w:t>人，退休人数</w:t>
      </w:r>
      <w:r>
        <w:rPr>
          <w:rFonts w:hint="eastAsia" w:ascii="仿宋_GB2312" w:hAnsi="宋体"/>
          <w:sz w:val="32"/>
          <w:szCs w:val="32"/>
        </w:rPr>
        <w:t>6</w:t>
      </w:r>
      <w:r>
        <w:rPr>
          <w:rFonts w:hint="eastAsia" w:ascii="仿宋_GB2312" w:hAnsi="宋体" w:eastAsia="仿宋_GB2312"/>
          <w:sz w:val="32"/>
          <w:szCs w:val="32"/>
        </w:rPr>
        <w:t>人。</w:t>
      </w:r>
    </w:p>
    <w:p>
      <w:pPr>
        <w:widowControl/>
        <w:spacing w:line="520" w:lineRule="exact"/>
        <w:ind w:firstLine="560" w:firstLineChars="200"/>
        <w:rPr>
          <w:rFonts w:ascii="仿宋_GB2312" w:hAnsi="仿宋" w:eastAsia="仿宋_GB2312"/>
          <w:sz w:val="28"/>
          <w:szCs w:val="28"/>
        </w:rPr>
      </w:pP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卫监局</w:t>
      </w:r>
      <w:bookmarkStart w:id="0" w:name="_GoBack"/>
      <w:bookmarkEnd w:id="0"/>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卫监局</w:t>
      </w:r>
      <w:r>
        <w:rPr>
          <w:rFonts w:hint="eastAsia" w:ascii="仿宋_GB2312" w:hAnsi="仿宋" w:eastAsia="仿宋_GB2312"/>
          <w:sz w:val="28"/>
          <w:szCs w:val="28"/>
        </w:rPr>
        <w:t>收入预算总额为116.1862万元，比上年预算增加2</w:t>
      </w:r>
      <w:r>
        <w:rPr>
          <w:rFonts w:hint="eastAsia" w:ascii="仿宋_GB2312" w:hAnsi="仿宋" w:eastAsia="仿宋_GB2312"/>
          <w:sz w:val="28"/>
          <w:szCs w:val="28"/>
          <w:lang w:val="en-US" w:eastAsia="zh-CN"/>
        </w:rPr>
        <w:t>.</w:t>
      </w:r>
      <w:r>
        <w:rPr>
          <w:rFonts w:hint="eastAsia" w:ascii="仿宋_GB2312" w:hAnsi="仿宋" w:eastAsia="仿宋_GB2312"/>
          <w:sz w:val="28"/>
          <w:szCs w:val="28"/>
        </w:rPr>
        <w:t>0579万元。其中：财政拨款收入116.1862万元。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卫监局</w:t>
      </w:r>
      <w:r>
        <w:rPr>
          <w:rFonts w:hint="eastAsia" w:ascii="仿宋_GB2312" w:hAnsi="仿宋" w:eastAsia="仿宋_GB2312"/>
          <w:sz w:val="28"/>
          <w:szCs w:val="28"/>
        </w:rPr>
        <w:t>支出预算总额为116.1862万元，比上年预算增加2</w:t>
      </w:r>
      <w:r>
        <w:rPr>
          <w:rFonts w:hint="eastAsia" w:ascii="仿宋_GB2312" w:hAnsi="仿宋" w:eastAsia="仿宋_GB2312"/>
          <w:sz w:val="28"/>
          <w:szCs w:val="28"/>
          <w:lang w:val="en-US" w:eastAsia="zh-CN"/>
        </w:rPr>
        <w:t>.</w:t>
      </w:r>
      <w:r>
        <w:rPr>
          <w:rFonts w:hint="eastAsia" w:ascii="仿宋_GB2312" w:hAnsi="仿宋" w:eastAsia="仿宋_GB2312"/>
          <w:sz w:val="28"/>
          <w:szCs w:val="28"/>
        </w:rPr>
        <w:t>0579万元。其中：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116.1862万元，包括工资福利支出107.1645万元、商品和服务支出8.7457万元、对个人和家庭的补助0.2760万元。按支出功能分类科目划分：社会保障和就业支出12.8961万元，卫生健康支出103.2901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卫监局</w:t>
      </w:r>
      <w:r>
        <w:rPr>
          <w:rFonts w:hint="eastAsia" w:ascii="仿宋_GB2312" w:hAnsi="仿宋" w:eastAsia="仿宋_GB2312"/>
          <w:sz w:val="28"/>
          <w:szCs w:val="28"/>
        </w:rPr>
        <w:t>财政拨款支出预算116.1862万元，比上年预算增加2</w:t>
      </w:r>
      <w:r>
        <w:rPr>
          <w:rFonts w:hint="eastAsia" w:ascii="仿宋_GB2312" w:hAnsi="仿宋" w:eastAsia="仿宋_GB2312"/>
          <w:sz w:val="28"/>
          <w:szCs w:val="28"/>
          <w:lang w:val="en-US" w:eastAsia="zh-CN"/>
        </w:rPr>
        <w:t>.</w:t>
      </w:r>
      <w:r>
        <w:rPr>
          <w:rFonts w:hint="eastAsia" w:ascii="仿宋_GB2312" w:hAnsi="仿宋" w:eastAsia="仿宋_GB2312"/>
          <w:sz w:val="28"/>
          <w:szCs w:val="28"/>
        </w:rPr>
        <w:t>0579万元。具体支出情况是：社会保障和就业支出12.8961万元，卫生健康支出103.2901万元。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卫监局</w:t>
      </w:r>
      <w:r>
        <w:rPr>
          <w:rFonts w:hint="eastAsia" w:ascii="仿宋_GB2312" w:hAnsi="仿宋" w:eastAsia="仿宋_GB2312"/>
          <w:sz w:val="28"/>
          <w:szCs w:val="28"/>
        </w:rPr>
        <w:t>机关运行经费8.7457万元，比上年预算增加0.0134万元，包括办公及印刷费、邮电费、差旅费、会议费、福利费、维修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卫监局</w:t>
      </w:r>
      <w:r>
        <w:rPr>
          <w:rFonts w:hint="eastAsia" w:ascii="仿宋_GB2312" w:hAnsi="仿宋" w:eastAsia="仿宋_GB2312"/>
          <w:sz w:val="28"/>
          <w:szCs w:val="28"/>
        </w:rPr>
        <w:t>安排政府采购预算5万元，包括货物预算5万元。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部门共有车辆1辆，其中：执法执勤用车1辆。占用使用房屋面积1985平方米，其中：行政用房平方1985米。</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rPr>
        <w:t>卫监局</w:t>
      </w:r>
      <w:r>
        <w:rPr>
          <w:rFonts w:hint="eastAsia" w:ascii="仿宋_GB2312" w:hAnsi="仿宋" w:eastAsia="仿宋_GB2312"/>
          <w:sz w:val="28"/>
          <w:szCs w:val="28"/>
        </w:rPr>
        <w:t>“三公”经费预算安排4.5万元。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、公务接待费2万元，与上年持平。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、公务用车运行维护费2.5万元，与上年持平。</w:t>
      </w:r>
    </w:p>
    <w:p>
      <w:pPr>
        <w:widowControl/>
        <w:spacing w:line="520" w:lineRule="exact"/>
        <w:ind w:firstLine="840" w:firstLineChars="300"/>
        <w:rPr>
          <w:rFonts w:ascii="宋体" w:hAnsi="宋体"/>
          <w:sz w:val="28"/>
          <w:szCs w:val="28"/>
        </w:rPr>
      </w:pPr>
    </w:p>
    <w:p>
      <w:pPr>
        <w:widowControl/>
        <w:spacing w:line="520" w:lineRule="exact"/>
        <w:ind w:firstLine="840" w:firstLineChars="300"/>
        <w:rPr>
          <w:rFonts w:ascii="宋体" w:hAnsi="宋体"/>
          <w:sz w:val="28"/>
          <w:szCs w:val="28"/>
        </w:rPr>
      </w:pP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hAnsi="宋体"/>
          <w:sz w:val="28"/>
          <w:szCs w:val="28"/>
        </w:rPr>
      </w:pPr>
    </w:p>
    <w:p>
      <w:pPr>
        <w:widowControl/>
        <w:spacing w:line="520" w:lineRule="exact"/>
        <w:jc w:val="center"/>
        <w:rPr>
          <w:rFonts w:ascii="宋体" w:hAnsi="宋体"/>
          <w:sz w:val="28"/>
          <w:szCs w:val="28"/>
        </w:rPr>
      </w:pP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ED6767"/>
    <w:multiLevelType w:val="singleLevel"/>
    <w:tmpl w:val="4AED6767"/>
    <w:lvl w:ilvl="0" w:tentative="0">
      <w:start w:val="1"/>
      <w:numFmt w:val="chineseCounting"/>
      <w:suff w:val="nothing"/>
      <w:lvlText w:val="第%1部分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drawingGridVerticalSpacing w:val="291"/>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26977"/>
    <w:rsid w:val="00044252"/>
    <w:rsid w:val="00061F9C"/>
    <w:rsid w:val="00072974"/>
    <w:rsid w:val="00073B58"/>
    <w:rsid w:val="00076532"/>
    <w:rsid w:val="0009005C"/>
    <w:rsid w:val="000F2FEC"/>
    <w:rsid w:val="00110D15"/>
    <w:rsid w:val="00114F0E"/>
    <w:rsid w:val="001220D8"/>
    <w:rsid w:val="00130531"/>
    <w:rsid w:val="001537B8"/>
    <w:rsid w:val="00157707"/>
    <w:rsid w:val="001604E5"/>
    <w:rsid w:val="0017682B"/>
    <w:rsid w:val="00186D97"/>
    <w:rsid w:val="001870CF"/>
    <w:rsid w:val="001931A5"/>
    <w:rsid w:val="0019729B"/>
    <w:rsid w:val="001A205C"/>
    <w:rsid w:val="001D373E"/>
    <w:rsid w:val="00211637"/>
    <w:rsid w:val="00231C2E"/>
    <w:rsid w:val="00232F36"/>
    <w:rsid w:val="00236B5A"/>
    <w:rsid w:val="0024348A"/>
    <w:rsid w:val="002478C4"/>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446E"/>
    <w:rsid w:val="00316494"/>
    <w:rsid w:val="003304F4"/>
    <w:rsid w:val="00333973"/>
    <w:rsid w:val="0033486F"/>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25829"/>
    <w:rsid w:val="00437390"/>
    <w:rsid w:val="00437C78"/>
    <w:rsid w:val="004451CE"/>
    <w:rsid w:val="0045434A"/>
    <w:rsid w:val="00471E3E"/>
    <w:rsid w:val="0048237D"/>
    <w:rsid w:val="00482D9D"/>
    <w:rsid w:val="004838EC"/>
    <w:rsid w:val="004A128E"/>
    <w:rsid w:val="004A18AC"/>
    <w:rsid w:val="004A7E57"/>
    <w:rsid w:val="004B2456"/>
    <w:rsid w:val="004B4E07"/>
    <w:rsid w:val="004B6B73"/>
    <w:rsid w:val="004C0383"/>
    <w:rsid w:val="004D53AF"/>
    <w:rsid w:val="004E542F"/>
    <w:rsid w:val="0052357A"/>
    <w:rsid w:val="00524DB4"/>
    <w:rsid w:val="005437D6"/>
    <w:rsid w:val="00563014"/>
    <w:rsid w:val="0057695F"/>
    <w:rsid w:val="00587223"/>
    <w:rsid w:val="005B227D"/>
    <w:rsid w:val="005B5BAC"/>
    <w:rsid w:val="005C1A85"/>
    <w:rsid w:val="005C3F87"/>
    <w:rsid w:val="005C4463"/>
    <w:rsid w:val="005E2618"/>
    <w:rsid w:val="00605081"/>
    <w:rsid w:val="00605E79"/>
    <w:rsid w:val="006121F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8518F"/>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72D5E"/>
    <w:rsid w:val="00881D70"/>
    <w:rsid w:val="00882B40"/>
    <w:rsid w:val="0089045C"/>
    <w:rsid w:val="0089047B"/>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60D50"/>
    <w:rsid w:val="0098531A"/>
    <w:rsid w:val="009915F9"/>
    <w:rsid w:val="009945F0"/>
    <w:rsid w:val="009C36F6"/>
    <w:rsid w:val="009C6A50"/>
    <w:rsid w:val="009D4D24"/>
    <w:rsid w:val="009D534D"/>
    <w:rsid w:val="009E0E23"/>
    <w:rsid w:val="009E0E6E"/>
    <w:rsid w:val="00A00AA9"/>
    <w:rsid w:val="00A00B5D"/>
    <w:rsid w:val="00A0462D"/>
    <w:rsid w:val="00A1295C"/>
    <w:rsid w:val="00A26A33"/>
    <w:rsid w:val="00A276C0"/>
    <w:rsid w:val="00A32C0B"/>
    <w:rsid w:val="00A370A7"/>
    <w:rsid w:val="00A839D4"/>
    <w:rsid w:val="00A85850"/>
    <w:rsid w:val="00AA3E3F"/>
    <w:rsid w:val="00AA41AB"/>
    <w:rsid w:val="00AB2591"/>
    <w:rsid w:val="00AC0FFC"/>
    <w:rsid w:val="00AE270E"/>
    <w:rsid w:val="00B272BD"/>
    <w:rsid w:val="00B36C38"/>
    <w:rsid w:val="00B52FDD"/>
    <w:rsid w:val="00B94F55"/>
    <w:rsid w:val="00BA11E2"/>
    <w:rsid w:val="00BA37D9"/>
    <w:rsid w:val="00BA4625"/>
    <w:rsid w:val="00BB0907"/>
    <w:rsid w:val="00BB1CF5"/>
    <w:rsid w:val="00BE0224"/>
    <w:rsid w:val="00BF7321"/>
    <w:rsid w:val="00C00AED"/>
    <w:rsid w:val="00C01B7C"/>
    <w:rsid w:val="00C02E41"/>
    <w:rsid w:val="00C033AC"/>
    <w:rsid w:val="00C3422F"/>
    <w:rsid w:val="00C40E28"/>
    <w:rsid w:val="00C51DA2"/>
    <w:rsid w:val="00C5207B"/>
    <w:rsid w:val="00C52DB7"/>
    <w:rsid w:val="00C5366A"/>
    <w:rsid w:val="00C5399C"/>
    <w:rsid w:val="00C6248B"/>
    <w:rsid w:val="00C63EEF"/>
    <w:rsid w:val="00C717E1"/>
    <w:rsid w:val="00C72BFF"/>
    <w:rsid w:val="00C821C2"/>
    <w:rsid w:val="00C919CD"/>
    <w:rsid w:val="00CB03EA"/>
    <w:rsid w:val="00CC0EC3"/>
    <w:rsid w:val="00CD0175"/>
    <w:rsid w:val="00CE5493"/>
    <w:rsid w:val="00CF13C9"/>
    <w:rsid w:val="00CF310A"/>
    <w:rsid w:val="00CF4BD0"/>
    <w:rsid w:val="00D161F8"/>
    <w:rsid w:val="00D35F86"/>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43C27"/>
    <w:rsid w:val="00E55905"/>
    <w:rsid w:val="00E70F14"/>
    <w:rsid w:val="00E946D3"/>
    <w:rsid w:val="00EC06CC"/>
    <w:rsid w:val="00EF6999"/>
    <w:rsid w:val="00F25214"/>
    <w:rsid w:val="00F43FE8"/>
    <w:rsid w:val="00F45257"/>
    <w:rsid w:val="00F52216"/>
    <w:rsid w:val="00F602CC"/>
    <w:rsid w:val="00F84855"/>
    <w:rsid w:val="00FD405C"/>
    <w:rsid w:val="00FF00D9"/>
    <w:rsid w:val="06E850EA"/>
    <w:rsid w:val="08613C39"/>
    <w:rsid w:val="0D9F0672"/>
    <w:rsid w:val="10000475"/>
    <w:rsid w:val="1155141E"/>
    <w:rsid w:val="154959F5"/>
    <w:rsid w:val="157C415D"/>
    <w:rsid w:val="157C4CEA"/>
    <w:rsid w:val="1CD548A8"/>
    <w:rsid w:val="1E3A1FCB"/>
    <w:rsid w:val="225102C6"/>
    <w:rsid w:val="24F9347C"/>
    <w:rsid w:val="286E0EF7"/>
    <w:rsid w:val="31DD488B"/>
    <w:rsid w:val="3562536F"/>
    <w:rsid w:val="3ABD4C67"/>
    <w:rsid w:val="3F2B4B98"/>
    <w:rsid w:val="3F381AD9"/>
    <w:rsid w:val="3F695B7A"/>
    <w:rsid w:val="3FEE3705"/>
    <w:rsid w:val="403C498C"/>
    <w:rsid w:val="45C8664D"/>
    <w:rsid w:val="4D2E3329"/>
    <w:rsid w:val="4EA52FDD"/>
    <w:rsid w:val="51157E50"/>
    <w:rsid w:val="52E07959"/>
    <w:rsid w:val="55753FBD"/>
    <w:rsid w:val="5FCC0CC1"/>
    <w:rsid w:val="60294FBD"/>
    <w:rsid w:val="60EC4ED0"/>
    <w:rsid w:val="64284A0B"/>
    <w:rsid w:val="65A75415"/>
    <w:rsid w:val="6B010D92"/>
    <w:rsid w:val="6B8A4373"/>
    <w:rsid w:val="6DB25947"/>
    <w:rsid w:val="6EF64E15"/>
    <w:rsid w:val="6FFB29EA"/>
    <w:rsid w:val="73954233"/>
    <w:rsid w:val="74CB5B20"/>
    <w:rsid w:val="753C66C1"/>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0"/>
    <w:uiPriority w:val="99"/>
    <w:pPr>
      <w:spacing w:line="360" w:lineRule="auto"/>
      <w:ind w:firstLine="645"/>
    </w:pPr>
    <w:rPr>
      <w:rFonts w:ascii="仿宋_GB2312" w:eastAsia="仿宋_GB2312"/>
      <w:bCs/>
      <w:sz w:val="32"/>
      <w:szCs w:val="32"/>
    </w:rPr>
  </w:style>
  <w:style w:type="paragraph" w:styleId="3">
    <w:name w:val="Balloon Text"/>
    <w:basedOn w:val="1"/>
    <w:link w:val="12"/>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99"/>
    <w:rPr>
      <w:rFonts w:cs="Times New Roman"/>
    </w:rPr>
  </w:style>
  <w:style w:type="character" w:customStyle="1" w:styleId="9">
    <w:name w:val="页眉 Char"/>
    <w:basedOn w:val="7"/>
    <w:link w:val="5"/>
    <w:semiHidden/>
    <w:locked/>
    <w:uiPriority w:val="99"/>
    <w:rPr>
      <w:rFonts w:cs="Times New Roman"/>
      <w:sz w:val="18"/>
      <w:szCs w:val="18"/>
    </w:rPr>
  </w:style>
  <w:style w:type="character" w:customStyle="1" w:styleId="10">
    <w:name w:val="正文文本缩进 Char"/>
    <w:basedOn w:val="7"/>
    <w:link w:val="2"/>
    <w:semiHidden/>
    <w:qFormat/>
    <w:locked/>
    <w:uiPriority w:val="99"/>
    <w:rPr>
      <w:rFonts w:cs="Times New Roman"/>
      <w:sz w:val="24"/>
      <w:szCs w:val="24"/>
    </w:rPr>
  </w:style>
  <w:style w:type="character" w:customStyle="1" w:styleId="11">
    <w:name w:val="页脚 Char"/>
    <w:basedOn w:val="7"/>
    <w:link w:val="4"/>
    <w:semiHidden/>
    <w:locked/>
    <w:uiPriority w:val="99"/>
    <w:rPr>
      <w:rFonts w:cs="Times New Roman"/>
      <w:sz w:val="18"/>
      <w:szCs w:val="18"/>
    </w:rPr>
  </w:style>
  <w:style w:type="character" w:customStyle="1" w:styleId="12">
    <w:name w:val="批注框文本 Char"/>
    <w:basedOn w:val="7"/>
    <w:link w:val="3"/>
    <w:semiHidden/>
    <w:qFormat/>
    <w:locked/>
    <w:uiPriority w:val="99"/>
    <w:rPr>
      <w:rFonts w:cs="Times New Roman"/>
      <w:sz w:val="2"/>
    </w:rPr>
  </w:style>
  <w:style w:type="paragraph" w:customStyle="1" w:styleId="13">
    <w:name w:val="_Style 3"/>
    <w:basedOn w:val="1"/>
    <w:uiPriority w:val="99"/>
    <w:rPr>
      <w:szCs w:val="20"/>
    </w:rPr>
  </w:style>
  <w:style w:type="paragraph" w:customStyle="1" w:styleId="14">
    <w:name w:val="默认段落字体 Para Char Char Char Char Char Char Char"/>
    <w:basedOn w:val="1"/>
    <w:qFormat/>
    <w:uiPriority w:val="99"/>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5</Pages>
  <Words>323</Words>
  <Characters>1842</Characters>
  <Lines>15</Lines>
  <Paragraphs>4</Paragraphs>
  <TotalTime>2</TotalTime>
  <ScaleCrop>false</ScaleCrop>
  <LinksUpToDate>false</LinksUpToDate>
  <CharactersWithSpaces>2161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2021-05-31T09:11:10Z</dcterms:modified>
  <dc:title>吉安市××局（委、办）2007年部门预算草案编制说明</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5403A50CBFA64F438982303FA0872A14</vt:lpwstr>
  </property>
</Properties>
</file>