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禾源镇卫生院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禾源镇卫生院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禾源镇卫生院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禾源镇卫生院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禾源镇卫生院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禾源镇卫生院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禾源镇卫生院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禾源镇卫生院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32</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26</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40</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28</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28</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6</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2人；遗属人数4人</w:t>
      </w:r>
      <w:r>
        <w:rPr>
          <w:rFonts w:hint="eastAsia" w:ascii="仿宋_GB2312" w:hAnsi="仿宋" w:eastAsia="仿宋_GB2312"/>
          <w:sz w:val="28"/>
          <w:szCs w:val="28"/>
        </w:rPr>
        <w:t>。</w:t>
      </w:r>
      <w:bookmarkStart w:id="0" w:name="_GoBack"/>
      <w:bookmarkEnd w:id="0"/>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禾源镇卫生院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禾源镇卫生院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538.52</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178.52</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360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禾源镇卫生院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538.52</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538.52</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248.48</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286.07</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3.97</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39.85</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498.67</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禾源镇卫生院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178.52</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24.09</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154.43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禾源镇卫生院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0.144</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禾源镇卫生院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5</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5</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2608</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2608</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禾源镇卫生院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禾源镇卫生院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0FA00A3"/>
    <w:rsid w:val="125A396C"/>
    <w:rsid w:val="157C415D"/>
    <w:rsid w:val="157C4CEA"/>
    <w:rsid w:val="15EE5C55"/>
    <w:rsid w:val="1C5A2C70"/>
    <w:rsid w:val="1CD548A8"/>
    <w:rsid w:val="1E3A1FCB"/>
    <w:rsid w:val="225102C6"/>
    <w:rsid w:val="24F9347C"/>
    <w:rsid w:val="265D356C"/>
    <w:rsid w:val="286E0EF7"/>
    <w:rsid w:val="28E72C2E"/>
    <w:rsid w:val="2E8073E1"/>
    <w:rsid w:val="31DD488B"/>
    <w:rsid w:val="32F01BA0"/>
    <w:rsid w:val="3562536F"/>
    <w:rsid w:val="3ABD4C67"/>
    <w:rsid w:val="3D662DE3"/>
    <w:rsid w:val="3F2B4B98"/>
    <w:rsid w:val="3F695B7A"/>
    <w:rsid w:val="3FEE3705"/>
    <w:rsid w:val="44C666C3"/>
    <w:rsid w:val="48EF3D5E"/>
    <w:rsid w:val="4C0A2D9A"/>
    <w:rsid w:val="4D2E3329"/>
    <w:rsid w:val="4EA52FDD"/>
    <w:rsid w:val="51157E50"/>
    <w:rsid w:val="52E07959"/>
    <w:rsid w:val="552A0B62"/>
    <w:rsid w:val="55753FBD"/>
    <w:rsid w:val="5FCC0CC1"/>
    <w:rsid w:val="60294FBD"/>
    <w:rsid w:val="60EC4ED0"/>
    <w:rsid w:val="64284A0B"/>
    <w:rsid w:val="65913211"/>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E03259B"/>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nhideWhenUsed/>
    <w:uiPriority w:val="1"/>
    <w:rPr>
      <w:szCs w:val="20"/>
    </w:rPr>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默认段落字体 Para Char Char Char Char Char Char Char"/>
    <w:basedOn w:val="1"/>
    <w:link w:val="6"/>
    <w:qFormat/>
    <w:uiPriority w:val="99"/>
    <w:rPr>
      <w:szCs w:val="20"/>
    </w:rPr>
  </w:style>
  <w:style w:type="character" w:styleId="8">
    <w:name w:val="page number"/>
    <w:basedOn w:val="6"/>
    <w:qFormat/>
    <w:uiPriority w:val="99"/>
    <w:rPr>
      <w:rFonts w:cs="Times New Roman"/>
    </w:rPr>
  </w:style>
  <w:style w:type="character" w:customStyle="1" w:styleId="10">
    <w:name w:val="页眉 Char"/>
    <w:basedOn w:val="6"/>
    <w:link w:val="5"/>
    <w:semiHidden/>
    <w:qFormat/>
    <w:locked/>
    <w:uiPriority w:val="99"/>
    <w:rPr>
      <w:rFonts w:cs="Times New Roman"/>
      <w:sz w:val="18"/>
      <w:szCs w:val="18"/>
    </w:rPr>
  </w:style>
  <w:style w:type="character" w:customStyle="1" w:styleId="11">
    <w:name w:val="正文文本缩进 Char"/>
    <w:basedOn w:val="6"/>
    <w:link w:val="2"/>
    <w:semiHidden/>
    <w:qFormat/>
    <w:locked/>
    <w:uiPriority w:val="99"/>
    <w:rPr>
      <w:rFonts w:cs="Times New Roman"/>
      <w:sz w:val="24"/>
      <w:szCs w:val="24"/>
    </w:rPr>
  </w:style>
  <w:style w:type="character" w:customStyle="1" w:styleId="12">
    <w:name w:val="页脚 Char"/>
    <w:basedOn w:val="6"/>
    <w:link w:val="4"/>
    <w:semiHidden/>
    <w:qFormat/>
    <w:locked/>
    <w:uiPriority w:val="99"/>
    <w:rPr>
      <w:rFonts w:cs="Times New Roman"/>
      <w:sz w:val="18"/>
      <w:szCs w:val="18"/>
    </w:rPr>
  </w:style>
  <w:style w:type="character" w:customStyle="1" w:styleId="13">
    <w:name w:val="批注框文本 Char"/>
    <w:basedOn w:val="6"/>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ScaleCrop>false</ScaleCrop>
  <LinksUpToDate>false</LinksUpToDate>
  <CharactersWithSpaces>1617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kanghui</cp:lastModifiedBy>
  <cp:lastPrinted>2018-11-13T03:31:00Z</cp:lastPrinted>
  <dcterms:modified xsi:type="dcterms:W3CDTF">2021-05-31T08:34:22Z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ICV">
    <vt:lpwstr>14D850D3AEC04A4BB81C01DD20BCD7C5</vt:lpwstr>
  </property>
</Properties>
</file>