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rPr>
          <w:rFonts w:ascii="Arial" w:cs="Arial" w:eastAsia="Arial" w:hAnsi="Arial"/>
          <w:b/>
          <w:bCs/>
          <w:color w:val="0A6E6E"/>
          <w:sz w:val="56"/>
          <w:szCs w:val="56"/>
        </w:rPr>
        <w:t xml:space="preserve">HASAN.VC Accelerator</w:t>
      </w:r>
    </w:p>
    <w:p>
      <w:pPr>
        <w:spacing w:after="0" w:before="80"/>
        <w:jc w:val="center"/>
      </w:pPr>
      <w:r>
        <w:rPr>
          <w:rFonts w:ascii="Arial" w:cs="Arial" w:eastAsia="Arial" w:hAnsi="Arial"/>
          <w:color w:val="1A1A2E"/>
          <w:sz w:val="32"/>
          <w:szCs w:val="32"/>
        </w:rPr>
        <w:t xml:space="preserve">Cohort 4 Application — Draft Template</w:t>
      </w:r>
    </w:p>
    <w:p>
      <w:pPr>
        <w:spacing w:after="0" w:before="60"/>
        <w:jc w:val="center"/>
      </w:pPr>
      <w:r>
        <w:rPr>
          <w:rFonts w:ascii="Arial" w:cs="Arial" w:eastAsia="Arial" w:hAnsi="Arial"/>
          <w:color w:val="2E9B9B"/>
          <w:sz w:val="24"/>
          <w:szCs w:val="24"/>
        </w:rPr>
        <w:t xml:space="preserve">tawf.finance (sukuk.tawf.finance) — March 2026</w:t>
      </w:r>
    </w:p>
    <w:p>
      <w:pPr>
        <w:spacing w:after="0" w:before="240"/>
      </w:pPr>
      <w: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none" w:color="FFFFFF" w:sz="0"/>
              <w:left w:val="none" w:color="FFFFFF" w:sz="0"/>
              <w:bottom w:val="none" w:color="FFFFFF" w:sz="0"/>
              <w:right w:val="none" w:color="FFFFFF" w:sz="0"/>
            </w:tcBorders>
            <w:shd w:fill="FEF3C7" w:val="clear"/>
            <w:tcMar>
              <w:top w:type="dxa" w:w="200"/>
              <w:left w:type="dxa" w:w="400"/>
              <w:bottom w:type="dxa" w:w="200"/>
              <w:right w:type="dxa" w:w="400"/>
            </w:tcMar>
          </w:tcPr>
          <w:p>
            <w:pPr>
              <w:jc w:val="center"/>
            </w:pPr>
            <w:r>
              <w:rPr>
                <w:rFonts w:ascii="Arial" w:cs="Arial" w:eastAsia="Arial" w:hAnsi="Arial"/>
                <w:b/>
                <w:bCs/>
                <w:color w:val="B45309"/>
                <w:sz w:val="24"/>
                <w:szCs w:val="24"/>
              </w:rPr>
              <w:t xml:space="preserve">⚠️  DRAFT — ACTION REQUIRED BEFORE SUBMITTING</w:t>
            </w:r>
          </w:p>
          <w:p>
            <w:pPr>
              <w:spacing w:after="0" w:before="80"/>
            </w:pPr>
            <w:r>
              <w:t xml:space="preserve"/>
            </w:r>
          </w:p>
          <w:p>
            <w:r>
              <w:rPr>
                <w:rFonts w:ascii="Arial" w:cs="Arial" w:eastAsia="Arial" w:hAnsi="Arial"/>
                <w:color w:val="1A1A2E"/>
                <w:sz w:val="22"/>
                <w:szCs w:val="22"/>
              </w:rPr>
              <w:t xml:space="preserve">Fields marked [FILL IN] need your actual information before submission. All suggested answer text is optimised for HASAN.VC's evaluation criteria — edit to reflect your true situation. Do NOT submit with placeholder text.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E8F5EE" w:val="clear"/>
            <w:tcMar>
              <w:top w:type="dxa" w:w="160"/>
              <w:left w:type="dxa" w:w="240"/>
              <w:bottom w:type="dxa" w:w="160"/>
              <w:right w:type="dxa" w:w="240"/>
            </w:tcMar>
          </w:tcPr>
          <w:p>
            <w:pPr>
              <w:spacing w:after="80" w:before="0"/>
            </w:pPr>
            <w:r>
              <w:rPr>
                <w:rFonts w:ascii="Arial" w:cs="Arial" w:eastAsia="Arial" w:hAnsi="Arial"/>
                <w:b/>
                <w:bCs/>
                <w:color w:val="1A7A4A"/>
                <w:sz w:val="22"/>
                <w:szCs w:val="22"/>
              </w:rPr>
              <w:t xml:space="preserve">Quick-fill checklist before submitting:</w:t>
            </w:r>
          </w:p>
          <w:p>
            <w:pPr>
              <w:pStyle w:val="ListParagraph"/>
              <w:numPr>
                <w:ilvl w:val="0"/>
                <w:numId w:val="2"/>
              </w:numPr>
              <w:spacing w:after="40" w:before="40"/>
            </w:pPr>
            <w:r>
              <w:rPr>
                <w:rFonts w:ascii="Arial" w:cs="Arial" w:eastAsia="Arial" w:hAnsi="Arial"/>
                <w:color w:val="1A1A2E"/>
                <w:sz w:val="20"/>
                <w:szCs w:val="20"/>
              </w:rPr>
              <w:t xml:space="preserve">[FILL IN] — Your full name</w:t>
            </w:r>
          </w:p>
          <w:p>
            <w:pPr>
              <w:pStyle w:val="ListParagraph"/>
              <w:numPr>
                <w:ilvl w:val="0"/>
                <w:numId w:val="2"/>
              </w:numPr>
              <w:spacing w:after="40" w:before="40"/>
            </w:pPr>
            <w:r>
              <w:rPr>
                <w:rFonts w:ascii="Arial" w:cs="Arial" w:eastAsia="Arial" w:hAnsi="Arial"/>
                <w:color w:val="1A1A2E"/>
                <w:sz w:val="20"/>
                <w:szCs w:val="20"/>
              </w:rPr>
              <w:t xml:space="preserve">[FILL IN] — Your email address</w:t>
            </w:r>
          </w:p>
          <w:p>
            <w:pPr>
              <w:pStyle w:val="ListParagraph"/>
              <w:numPr>
                <w:ilvl w:val="0"/>
                <w:numId w:val="2"/>
              </w:numPr>
              <w:spacing w:after="40" w:before="40"/>
            </w:pPr>
            <w:r>
              <w:rPr>
                <w:rFonts w:ascii="Arial" w:cs="Arial" w:eastAsia="Arial" w:hAnsi="Arial"/>
                <w:color w:val="1A1A2E"/>
                <w:sz w:val="20"/>
                <w:szCs w:val="20"/>
              </w:rPr>
              <w:t xml:space="preserve">[FILL IN] — Your WhatsApp number with country code (+62...)</w:t>
            </w:r>
          </w:p>
          <w:p>
            <w:pPr>
              <w:pStyle w:val="ListParagraph"/>
              <w:numPr>
                <w:ilvl w:val="0"/>
                <w:numId w:val="2"/>
              </w:numPr>
              <w:spacing w:after="40" w:before="40"/>
            </w:pPr>
            <w:r>
              <w:rPr>
                <w:rFonts w:ascii="Arial" w:cs="Arial" w:eastAsia="Arial" w:hAnsi="Arial"/>
                <w:color w:val="1A1A2E"/>
                <w:sz w:val="20"/>
                <w:szCs w:val="20"/>
              </w:rPr>
              <w:t xml:space="preserve">[FILL IN] — Your LinkedIn profile URL</w:t>
            </w:r>
          </w:p>
          <w:p>
            <w:pPr>
              <w:pStyle w:val="ListParagraph"/>
              <w:numPr>
                <w:ilvl w:val="0"/>
                <w:numId w:val="2"/>
              </w:numPr>
              <w:spacing w:after="40" w:before="40"/>
            </w:pPr>
            <w:r>
              <w:rPr>
                <w:rFonts w:ascii="Arial" w:cs="Arial" w:eastAsia="Arial" w:hAnsi="Arial"/>
                <w:color w:val="1A1A2E"/>
                <w:sz w:val="20"/>
                <w:szCs w:val="20"/>
              </w:rPr>
              <w:t xml:space="preserve">[FILL IN] — Your Google Drive pitch deck link (make shareable)</w:t>
            </w:r>
          </w:p>
          <w:p>
            <w:pPr>
              <w:pStyle w:val="ListParagraph"/>
              <w:numPr>
                <w:ilvl w:val="0"/>
                <w:numId w:val="2"/>
              </w:numPr>
              <w:spacing w:after="40" w:before="40"/>
            </w:pPr>
            <w:r>
              <w:rPr>
                <w:rFonts w:ascii="Arial" w:cs="Arial" w:eastAsia="Arial" w:hAnsi="Arial"/>
                <w:color w:val="1A1A2E"/>
                <w:sz w:val="20"/>
                <w:szCs w:val="20"/>
              </w:rPr>
              <w:t xml:space="preserve">[FILL IN] — Your 1-minute video Google Drive link (make shareable)</w:t>
            </w:r>
          </w:p>
          <w:p>
            <w:pPr>
              <w:pStyle w:val="ListParagraph"/>
              <w:numPr>
                <w:ilvl w:val="0"/>
                <w:numId w:val="2"/>
              </w:numPr>
              <w:spacing w:after="40" w:before="40"/>
            </w:pPr>
            <w:r>
              <w:rPr>
                <w:rFonts w:ascii="Arial" w:cs="Arial" w:eastAsia="Arial" w:hAnsi="Arial"/>
                <w:color w:val="1A1A2E"/>
                <w:sz w:val="20"/>
                <w:szCs w:val="20"/>
              </w:rPr>
              <w:t xml:space="preserve">[CONFIRM] — Ronald Wijaya intro to Umar/Mohd before submitting</w:t>
            </w:r>
          </w:p>
          <w:p>
            <w:pPr>
              <w:pStyle w:val="ListParagraph"/>
              <w:numPr>
                <w:ilvl w:val="0"/>
                <w:numId w:val="2"/>
              </w:numPr>
              <w:spacing w:after="40" w:before="40"/>
            </w:pPr>
            <w:r>
              <w:rPr>
                <w:rFonts w:ascii="Arial" w:cs="Arial" w:eastAsia="Arial" w:hAnsi="Arial"/>
                <w:color w:val="1A1A2E"/>
                <w:sz w:val="20"/>
                <w:szCs w:val="20"/>
              </w:rPr>
              <w:t xml:space="preserve">[CONFIRM] — PT Indonesia entity name (for Company Name field)</w:t>
            </w:r>
          </w:p>
        </w:tc>
      </w:tr>
    </w:tbl>
    <w:p>
      <w:r>
        <w:br w:type="page"/>
      </w:r>
    </w:p>
    <w:p>
      <w:pPr>
        <w:pStyle w:val="Heading1"/>
        <w:spacing w:after="180" w:before="360"/>
      </w:pPr>
      <w:r>
        <w:rPr>
          <w:rFonts w:ascii="Arial" w:cs="Arial" w:eastAsia="Arial" w:hAnsi="Arial"/>
          <w:b/>
          <w:bCs/>
          <w:color w:val="0A6E6E"/>
          <w:sz w:val="32"/>
          <w:szCs w:val="32"/>
        </w:rPr>
        <w:t xml:space="preserve">1. Personal Information</w:t>
      </w:r>
    </w:p>
    <w:p>
      <w:pPr>
        <w:pBdr>
          <w:bottom w:val="single" w:color="0A6E6E" w:sz="4" w:space="1"/>
        </w:pBdr>
        <w:spacing w:after="200" w:before="200"/>
      </w:pPr>
      <w:r>
        <w:t xml:space="preserve"/>
      </w:r>
    </w:p>
    <w:p>
      <w:pPr>
        <w:spacing w:after="60" w:before="160"/>
      </w:pPr>
      <w:r>
        <w:rPr>
          <w:rFonts w:ascii="Arial" w:cs="Arial" w:eastAsia="Arial" w:hAnsi="Arial"/>
          <w:b/>
          <w:bCs/>
          <w:color w:val="0A6E6E"/>
          <w:sz w:val="22"/>
          <w:szCs w:val="22"/>
        </w:rPr>
        <w:t xml:space="preserve">Full name</w:t>
      </w:r>
    </w:p>
    <w:p>
      <w:pPr>
        <w:spacing w:after="60" w:before="0"/>
      </w:pPr>
      <w:r>
        <w:rPr>
          <w:rFonts w:ascii="Arial" w:cs="Arial" w:eastAsia="Arial" w:hAnsi="Arial"/>
          <w:color w:val="1A1A2E"/>
          <w:sz w:val="22"/>
          <w:szCs w:val="22"/>
        </w:rPr>
        <w:t xml:space="preserve">[FILL IN — Your full legal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Use your full name exactly as it appears on your ID. This is for the legal agreement if accepted.</w:t>
            </w:r>
          </w:p>
        </w:tc>
      </w:tr>
    </w:tbl>
    <w:p>
      <w:pPr>
        <w:spacing w:after="0" w:before="120"/>
      </w:pPr>
      <w:r>
        <w:t xml:space="preserve"/>
      </w:r>
    </w:p>
    <w:p>
      <w:pPr>
        <w:spacing w:after="60" w:before="160"/>
      </w:pPr>
      <w:r>
        <w:rPr>
          <w:rFonts w:ascii="Arial" w:cs="Arial" w:eastAsia="Arial" w:hAnsi="Arial"/>
          <w:b/>
          <w:bCs/>
          <w:color w:val="0A6E6E"/>
          <w:sz w:val="22"/>
          <w:szCs w:val="22"/>
        </w:rPr>
        <w:t xml:space="preserve">Email address</w:t>
      </w:r>
    </w:p>
    <w:p>
      <w:pPr>
        <w:spacing w:after="60" w:before="0"/>
      </w:pPr>
      <w:r>
        <w:rPr>
          <w:rFonts w:ascii="Arial" w:cs="Arial" w:eastAsia="Arial" w:hAnsi="Arial"/>
          <w:color w:val="1A1A2E"/>
          <w:sz w:val="22"/>
          <w:szCs w:val="22"/>
        </w:rPr>
        <w:t xml:space="preserve">[FILL IN — your@email.com]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Use the email you check daily. HASAN.VC will contact you here for interviews and acceptance.</w:t>
            </w:r>
          </w:p>
        </w:tc>
      </w:tr>
    </w:tbl>
    <w:p>
      <w:pPr>
        <w:spacing w:after="0" w:before="120"/>
      </w:pPr>
      <w:r>
        <w:t xml:space="preserve"/>
      </w:r>
    </w:p>
    <w:p>
      <w:pPr>
        <w:spacing w:after="60" w:before="160"/>
      </w:pPr>
      <w:r>
        <w:rPr>
          <w:rFonts w:ascii="Arial" w:cs="Arial" w:eastAsia="Arial" w:hAnsi="Arial"/>
          <w:b/>
          <w:bCs/>
          <w:color w:val="0A6E6E"/>
          <w:sz w:val="22"/>
          <w:szCs w:val="22"/>
        </w:rPr>
        <w:t xml:space="preserve">WhatsApp contact</w:t>
      </w:r>
    </w:p>
    <w:p>
      <w:pPr>
        <w:spacing w:after="60" w:before="0"/>
      </w:pPr>
      <w:r>
        <w:rPr>
          <w:rFonts w:ascii="Arial" w:cs="Arial" w:eastAsia="Arial" w:hAnsi="Arial"/>
          <w:color w:val="1A1A2E"/>
          <w:sz w:val="22"/>
          <w:szCs w:val="22"/>
        </w:rPr>
        <w:t xml:space="preserve">[FILL IN — +62 8XX XXXX XXXX]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Include country code. +62 for Indonesia. This is how Umar Munshi and Mohd Akhtaar will reach you directly.</w:t>
            </w:r>
          </w:p>
        </w:tc>
      </w:tr>
    </w:tbl>
    <w:p>
      <w:pPr>
        <w:spacing w:after="0" w:before="120"/>
      </w:pPr>
      <w:r>
        <w:t xml:space="preserve"/>
      </w:r>
    </w:p>
    <w:p>
      <w:pPr>
        <w:spacing w:after="60" w:before="160"/>
      </w:pPr>
      <w:r>
        <w:rPr>
          <w:rFonts w:ascii="Arial" w:cs="Arial" w:eastAsia="Arial" w:hAnsi="Arial"/>
          <w:b/>
          <w:bCs/>
          <w:color w:val="0A6E6E"/>
          <w:sz w:val="22"/>
          <w:szCs w:val="22"/>
        </w:rPr>
        <w:t xml:space="preserve">LinkedIn profile</w:t>
      </w:r>
    </w:p>
    <w:p>
      <w:pPr>
        <w:spacing w:after="60" w:before="0"/>
      </w:pPr>
      <w:r>
        <w:rPr>
          <w:rFonts w:ascii="Arial" w:cs="Arial" w:eastAsia="Arial" w:hAnsi="Arial"/>
          <w:color w:val="1A1A2E"/>
          <w:sz w:val="22"/>
          <w:szCs w:val="22"/>
        </w:rPr>
        <w:t xml:space="preserve">[FILL IN — https://www.linkedin.com/in/yourprofile/]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Make sure your LinkedIn is up to date before submitting. HASAN.VC evaluators will check it.</w:t>
            </w:r>
          </w:p>
        </w:tc>
      </w:tr>
    </w:tbl>
    <w:p>
      <w:pPr>
        <w:pBdr>
          <w:bottom w:val="single" w:color="0A6E6E" w:sz="4" w:space="1"/>
        </w:pBdr>
        <w:spacing w:after="200" w:before="200"/>
      </w:pPr>
      <w:r>
        <w:t xml:space="preserve"/>
      </w:r>
    </w:p>
    <w:p>
      <w:pPr>
        <w:pStyle w:val="Heading1"/>
        <w:spacing w:after="180" w:before="360"/>
      </w:pPr>
      <w:r>
        <w:rPr>
          <w:rFonts w:ascii="Arial" w:cs="Arial" w:eastAsia="Arial" w:hAnsi="Arial"/>
          <w:b/>
          <w:bCs/>
          <w:color w:val="0A6E6E"/>
          <w:sz w:val="32"/>
          <w:szCs w:val="32"/>
        </w:rPr>
        <w:t xml:space="preserve">2. HASAN.VC Connection</w:t>
      </w:r>
    </w:p>
    <w:p>
      <w:pPr>
        <w:pBdr>
          <w:bottom w:val="single" w:color="0A6E6E" w:sz="4" w:space="1"/>
        </w:pBdr>
        <w:spacing w:after="200" w:before="200"/>
      </w:pPr>
      <w:r>
        <w:t xml:space="preserve"/>
      </w:r>
    </w:p>
    <w:p>
      <w:pPr>
        <w:spacing w:after="60" w:before="160"/>
      </w:pPr>
      <w:r>
        <w:rPr>
          <w:rFonts w:ascii="Arial" w:cs="Arial" w:eastAsia="Arial" w:hAnsi="Arial"/>
          <w:b/>
          <w:bCs/>
          <w:color w:val="0A6E6E"/>
          <w:sz w:val="22"/>
          <w:szCs w:val="22"/>
        </w:rPr>
        <w:t xml:space="preserve">How did you hear about the HASAN.VC Accelerator Program?</w:t>
      </w:r>
    </w:p>
    <w:p>
      <w:pPr>
        <w:spacing w:after="60" w:before="0"/>
      </w:pPr>
      <w:r>
        <w:rPr>
          <w:rFonts w:ascii="Arial" w:cs="Arial" w:eastAsia="Arial" w:hAnsi="Arial"/>
          <w:color w:val="1A1A2E"/>
          <w:sz w:val="22"/>
          <w:szCs w:val="22"/>
        </w:rPr>
        <w:t xml:space="preserve">Through the HASAN.VC WhatsApp community, which I joined directly. I have been following HASAN.VC's work since Cohort 2 — the Camel Startup philosophy and focus on ethical, impact-driven tech in SEA directly aligns with what we are building at tawf.finance. I have also been in contact with Ronald Wijaya (Ethis Indonesia co-founder, Fasset Indonesia Board Commissioner) who has been a key advisor in our Islamic fintech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This answer signals: (1) you are already in the community — not a random applicant, (2) you have done the homework on their philosophy, (3) you have a warm network connection via Ronald. Do NOT say 'Google' or 'social media' — it weakens the application.</w:t>
            </w:r>
          </w:p>
        </w:tc>
      </w:tr>
    </w:tbl>
    <w:p>
      <w:pPr>
        <w:spacing w:after="0" w:before="120"/>
      </w:pPr>
      <w:r>
        <w:t xml:space="preserve"/>
      </w:r>
    </w:p>
    <w:p>
      <w:pPr>
        <w:spacing w:after="60" w:before="160"/>
      </w:pPr>
      <w:r>
        <w:rPr>
          <w:rFonts w:ascii="Arial" w:cs="Arial" w:eastAsia="Arial" w:hAnsi="Arial"/>
          <w:b/>
          <w:bCs/>
          <w:color w:val="0A6E6E"/>
          <w:sz w:val="22"/>
          <w:szCs w:val="22"/>
        </w:rPr>
        <w:t xml:space="preserve">Have you previously applied to any earlier cohorts of HASAN.VC Accelerator Program?</w:t>
      </w:r>
    </w:p>
    <w:p>
      <w:pPr>
        <w:spacing w:after="60" w:before="0"/>
      </w:pPr>
      <w:r>
        <w:rPr>
          <w:rFonts w:ascii="Arial" w:cs="Arial" w:eastAsia="Arial" w:hAnsi="Arial"/>
          <w:color w:val="1A1A2E"/>
          <w:sz w:val="22"/>
          <w:szCs w:val="22"/>
        </w:rPr>
        <w:t xml:space="preserve">No — this is our first application. We have been building the foundation (institutional relationships, technical architecture, regulatory groundwork) before applying, to ensure we are genuinely ready to execute during the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If you HAVE applied before: say so honestly and explain what has changed/improved since then.</w:t>
            </w:r>
          </w:p>
        </w:tc>
      </w:tr>
    </w:tbl>
    <w:p>
      <w:pPr>
        <w:spacing w:after="0" w:before="120"/>
      </w:pPr>
      <w:r>
        <w:t xml:space="preserve"/>
      </w:r>
    </w:p>
    <w:p>
      <w:pPr>
        <w:spacing w:after="60" w:before="160"/>
      </w:pPr>
      <w:r>
        <w:rPr>
          <w:rFonts w:ascii="Arial" w:cs="Arial" w:eastAsia="Arial" w:hAnsi="Arial"/>
          <w:b/>
          <w:bCs/>
          <w:color w:val="0A6E6E"/>
          <w:sz w:val="22"/>
          <w:szCs w:val="22"/>
        </w:rPr>
        <w:t xml:space="preserve">Do you know someone from HASAN.VC's network? (Including General Partners, Limited Partners, Team members, Portfolio founders or Alumni)</w:t>
      </w:r>
    </w:p>
    <w:p>
      <w:pPr>
        <w:spacing w:after="60" w:before="0"/>
      </w:pPr>
      <w:r>
        <w:rPr>
          <w:rFonts w:ascii="Arial" w:cs="Arial" w:eastAsia="Arial" w:hAnsi="Arial"/>
          <w:color w:val="1A1A2E"/>
          <w:sz w:val="22"/>
          <w:szCs w:val="22"/>
        </w:rPr>
        <w:t xml:space="preserve">Yes — Ronald Wijaya (Ethis Indonesia Co-Founder, Fasset Indonesia Board Commissioner) is a direct contact in our network. Ronald is a co-founder of Ethis Group, which powers HASAN.VC. We have been in active conversation about tawf.finance's Islamic fintech infrastructure play and its alignment with HASAN.VC's investment thesis. Ronald has endorsed our approach to Sustainability-Linked Financing for Indonesian MSMEs.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This is your most powerful differentiator on the form. Ronald = Ethis = HASAN.VC. Name him explicitly. If you have not yet sent the Ronald WhatsApp — send it BEFORE submitting this application so the intro exists when HASAN.VC checks.</w:t>
            </w:r>
          </w:p>
        </w:tc>
      </w:tr>
    </w:tbl>
    <w:p>
      <w:pPr>
        <w:pBdr>
          <w:bottom w:val="single" w:color="0A6E6E" w:sz="4" w:space="1"/>
        </w:pBdr>
        <w:spacing w:after="200" w:before="200"/>
      </w:pPr>
      <w:r>
        <w:t xml:space="preserve"/>
      </w:r>
    </w:p>
    <w:p>
      <w:pPr>
        <w:pStyle w:val="Heading1"/>
        <w:spacing w:after="180" w:before="360"/>
      </w:pPr>
      <w:r>
        <w:rPr>
          <w:rFonts w:ascii="Arial" w:cs="Arial" w:eastAsia="Arial" w:hAnsi="Arial"/>
          <w:b/>
          <w:bCs/>
          <w:color w:val="0A6E6E"/>
          <w:sz w:val="32"/>
          <w:szCs w:val="32"/>
        </w:rPr>
        <w:t xml:space="preserve">3. Company Information</w:t>
      </w:r>
    </w:p>
    <w:p>
      <w:pPr>
        <w:pBdr>
          <w:bottom w:val="single" w:color="0A6E6E" w:sz="4" w:space="1"/>
        </w:pBdr>
        <w:spacing w:after="200" w:before="200"/>
      </w:pPr>
      <w:r>
        <w:t xml:space="preserve"/>
      </w:r>
    </w:p>
    <w:p>
      <w:pPr>
        <w:spacing w:after="60" w:before="160"/>
      </w:pPr>
      <w:r>
        <w:rPr>
          <w:rFonts w:ascii="Arial" w:cs="Arial" w:eastAsia="Arial" w:hAnsi="Arial"/>
          <w:b/>
          <w:bCs/>
          <w:color w:val="0A6E6E"/>
          <w:sz w:val="22"/>
          <w:szCs w:val="22"/>
        </w:rPr>
        <w:t xml:space="preserve">Company name</w:t>
      </w:r>
    </w:p>
    <w:p>
      <w:pPr>
        <w:spacing w:after="60" w:before="0"/>
      </w:pPr>
      <w:r>
        <w:rPr>
          <w:rFonts w:ascii="Arial" w:cs="Arial" w:eastAsia="Arial" w:hAnsi="Arial"/>
          <w:color w:val="1A1A2E"/>
          <w:sz w:val="22"/>
          <w:szCs w:val="22"/>
        </w:rPr>
        <w:t xml:space="preserve">[FILL IN — PT [Entity Name] / tawf.finance]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Use your registered PT Indonesia entity name. If not yet incorporated, use 'tawf.finance (incorporating as PT [name])'. Do not leave blank.</w:t>
            </w:r>
          </w:p>
        </w:tc>
      </w:tr>
    </w:tbl>
    <w:p>
      <w:pPr>
        <w:spacing w:after="0" w:before="120"/>
      </w:pPr>
      <w:r>
        <w:t xml:space="preserve"/>
      </w:r>
    </w:p>
    <w:p>
      <w:pPr>
        <w:spacing w:after="60" w:before="160"/>
      </w:pPr>
      <w:r>
        <w:rPr>
          <w:rFonts w:ascii="Arial" w:cs="Arial" w:eastAsia="Arial" w:hAnsi="Arial"/>
          <w:b/>
          <w:bCs/>
          <w:color w:val="0A6E6E"/>
          <w:sz w:val="22"/>
          <w:szCs w:val="22"/>
        </w:rPr>
        <w:t xml:space="preserve">Company website (if any)</w:t>
      </w:r>
    </w:p>
    <w:p>
      <w:pPr>
        <w:spacing w:after="60" w:before="0"/>
      </w:pPr>
      <w:r>
        <w:rPr>
          <w:rFonts w:ascii="Arial" w:cs="Arial" w:eastAsia="Arial" w:hAnsi="Arial"/>
          <w:color w:val="1A1A2E"/>
          <w:sz w:val="22"/>
          <w:szCs w:val="22"/>
        </w:rPr>
        <w:t xml:space="preserve">tawf.finance | sukuk.tawf.finance (testnet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If testnet is not live yet at time of submission: use tawf.finance as the main domain and note 'testnet coming in Week 8 of development sprint'.</w:t>
            </w:r>
          </w:p>
        </w:tc>
      </w:tr>
    </w:tbl>
    <w:p>
      <w:pPr>
        <w:spacing w:after="0" w:before="120"/>
      </w:pPr>
      <w:r>
        <w:t xml:space="preserve"/>
      </w:r>
    </w:p>
    <w:p>
      <w:pPr>
        <w:spacing w:after="60" w:before="160"/>
      </w:pPr>
      <w:r>
        <w:rPr>
          <w:rFonts w:ascii="Arial" w:cs="Arial" w:eastAsia="Arial" w:hAnsi="Arial"/>
          <w:b/>
          <w:bCs/>
          <w:color w:val="0A6E6E"/>
          <w:sz w:val="22"/>
          <w:szCs w:val="22"/>
        </w:rPr>
        <w:t xml:space="preserve">Country of registration</w:t>
      </w:r>
    </w:p>
    <w:p>
      <w:pPr>
        <w:spacing w:after="60" w:before="0"/>
      </w:pPr>
      <w:r>
        <w:rPr>
          <w:rFonts w:ascii="Arial" w:cs="Arial" w:eastAsia="Arial" w:hAnsi="Arial"/>
          <w:color w:val="1A1A2E"/>
          <w:sz w:val="22"/>
          <w:szCs w:val="22"/>
        </w:rPr>
        <w:t xml:space="preserve">Indonesia (PT Indonesia) — with planned technology partnership in Singapore (MAS jurisdiction) and UAE expansion in Phase 2.</w:t>
      </w:r>
    </w:p>
    <w:p>
      <w:pPr>
        <w:spacing w:after="0" w:before="120"/>
      </w:pPr>
      <w:r>
        <w:t xml:space="preserve"/>
      </w:r>
    </w:p>
    <w:p>
      <w:pPr>
        <w:spacing w:after="60" w:before="160"/>
      </w:pPr>
      <w:r>
        <w:rPr>
          <w:rFonts w:ascii="Arial" w:cs="Arial" w:eastAsia="Arial" w:hAnsi="Arial"/>
          <w:b/>
          <w:bCs/>
          <w:color w:val="0A6E6E"/>
          <w:sz w:val="22"/>
          <w:szCs w:val="22"/>
        </w:rPr>
        <w:t xml:space="preserve">Sectors of your business</w:t>
      </w:r>
    </w:p>
    <w:p>
      <w:pPr>
        <w:spacing w:after="60" w:before="0"/>
      </w:pPr>
      <w:r>
        <w:rPr>
          <w:rFonts w:ascii="Arial" w:cs="Arial" w:eastAsia="Arial" w:hAnsi="Arial"/>
          <w:color w:val="1A1A2E"/>
          <w:sz w:val="22"/>
          <w:szCs w:val="22"/>
        </w:rPr>
        <w:t xml:space="preserve">Islamic Finance / Fintech Syariah | Web3 / Blockchain Infrastructure | MSME Financing | Real World Assets (RWA) Tokenization | Impact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Select all that apply on the form. These are the sectors HASAN.VC is most active in.</w:t>
            </w:r>
          </w:p>
        </w:tc>
      </w:tr>
    </w:tbl>
    <w:p>
      <w:pPr>
        <w:pBdr>
          <w:bottom w:val="single" w:color="0A6E6E" w:sz="4" w:space="1"/>
        </w:pBdr>
        <w:spacing w:after="200" w:before="200"/>
      </w:pPr>
      <w:r>
        <w:t xml:space="preserve"/>
      </w:r>
    </w:p>
    <w:p>
      <w:pPr>
        <w:pStyle w:val="Heading1"/>
        <w:spacing w:after="180" w:before="360"/>
      </w:pPr>
      <w:r>
        <w:rPr>
          <w:rFonts w:ascii="Arial" w:cs="Arial" w:eastAsia="Arial" w:hAnsi="Arial"/>
          <w:b/>
          <w:bCs/>
          <w:color w:val="0A6E6E"/>
          <w:sz w:val="32"/>
          <w:szCs w:val="32"/>
        </w:rPr>
        <w:t xml:space="preserve">4. Product</w:t>
      </w:r>
    </w:p>
    <w:p>
      <w:pPr>
        <w:pBdr>
          <w:bottom w:val="single" w:color="0A6E6E" w:sz="4" w:space="1"/>
        </w:pBdr>
        <w:spacing w:after="200" w:before="200"/>
      </w:pPr>
      <w:r>
        <w:t xml:space="preserve"/>
      </w:r>
    </w:p>
    <w:p>
      <w:pPr>
        <w:spacing w:after="60" w:before="160"/>
      </w:pPr>
      <w:r>
        <w:rPr>
          <w:rFonts w:ascii="Arial" w:cs="Arial" w:eastAsia="Arial" w:hAnsi="Arial"/>
          <w:b/>
          <w:bCs/>
          <w:color w:val="0A6E6E"/>
          <w:sz w:val="22"/>
          <w:szCs w:val="22"/>
        </w:rPr>
        <w:t xml:space="preserve">Short description of your product</w:t>
      </w:r>
    </w:p>
    <w:p>
      <w:pPr>
        <w:spacing w:after="60" w:before="0"/>
      </w:pPr>
      <w:r>
        <w:rPr>
          <w:rFonts w:ascii="Arial" w:cs="Arial" w:eastAsia="Arial" w:hAnsi="Arial"/>
          <w:color w:val="1A1A2E"/>
          <w:sz w:val="22"/>
          <w:szCs w:val="22"/>
        </w:rPr>
        <w:t xml:space="preserve">tawf.finance (sukuk.tawf.finance) is Indonesia's first community Green Sukuk platform for the warung economy.</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We tokenize verified invoices from graduating Indonesian warungs and MSMEs — those supplying Indomaret (22,800+ stores) and Alfamart (23,800+ stores) — into soulbound NFT bond receipts accessible to global ethical investors from USD 10.</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The product is sharia-structured by design: yield comes from real invoice repayment only (no algorithmic yield), there is no secondary market ever (no maysir), and every deal is individually verified by our Islamic sharia partner ABSI (Asosiasi Blockchain Syariah Indonesia).</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tawf.finance is a technology vendor — not an investment company. We build the rails. Our licensed Sekuritas partner issues the legal bonds. We charge a SaaS licensing fee plus a per-deal minting fee. No investor funds ever touch tawf.finance directly.</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We also build Tawf Commons (commons.tawf.finance) — the ethical neobank layer that connects to users' existing wallets via TID (Tawf ID, a ZK Soulbound DID). Savings, payments, zakat automation, waqf, and DAO governance — all without creating a new 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This answer covers: what the product is, who it serves, how it makes money, what makes it sharia-compliant, and why it is not a competitor to Fasset (technology vendor, not investment company). Keep it under 250 words on the actual form — use the most important 3–4 sentences if the field has a character limit.</w:t>
            </w:r>
          </w:p>
        </w:tc>
      </w:tr>
    </w:tbl>
    <w:p>
      <w:pPr>
        <w:spacing w:after="0" w:before="120"/>
      </w:pPr>
      <w:r>
        <w:t xml:space="preserve"/>
      </w:r>
    </w:p>
    <w:p>
      <w:pPr>
        <w:spacing w:after="60" w:before="160"/>
      </w:pPr>
      <w:r>
        <w:rPr>
          <w:rFonts w:ascii="Arial" w:cs="Arial" w:eastAsia="Arial" w:hAnsi="Arial"/>
          <w:b/>
          <w:bCs/>
          <w:color w:val="0A6E6E"/>
          <w:sz w:val="22"/>
          <w:szCs w:val="22"/>
        </w:rPr>
        <w:t xml:space="preserve">Who contributes technically to your product? Are there any non-founders involved?</w:t>
      </w:r>
    </w:p>
    <w:p>
      <w:pPr>
        <w:spacing w:after="60" w:before="0"/>
      </w:pPr>
      <w:r>
        <w:rPr>
          <w:rFonts w:ascii="Arial" w:cs="Arial" w:eastAsia="Arial" w:hAnsi="Arial"/>
          <w:color w:val="1A1A2E"/>
          <w:sz w:val="22"/>
          <w:szCs w:val="22"/>
        </w:rPr>
        <w:t xml:space="preserve">Technical contributors:</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 CTO (co-founder) — smart contract architecture (Solidity, Base/EVM), ZK proof system (Noir/Aztec), frontend (Next.js 14, Wagmi, Viem, MiniKit/OnchainKit). Leads all on-chain development.</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 Dicky Bayu (co-founder) — blockchain developer background, connections to kripto.ui (Universitas Indonesia blockchain community) providing developer pipeline.</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 External sharia advisor — Ustad Devin Halim Wijaya (PhD Islamic Banking &amp; Finance, IIUM; CSAA certified; sharia advisor at Flip.id, Hijra Bank, Nabitu.id, ABSI). Reviews murabaha, zakat, and sukuk structures for TAWF Framework compliance.</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 ABSI (Asosiasi Blockchain Syariah Indonesia) — institutional sharia verification partner. Chaired by Mas Jodhi Adhikaprana Sardjono (also Koordinator Nasional Serikat Blockchain Muhammadiyah). Provides sharia screening for all sukuk deals.</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 UI student pipeline (kripto.ui) — developer contributors from Universitas Indonesia blockchain community, facilitated by Dicky.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Name your CTO properly and highlight the sharia advisor credentials — HASAN.VC will specifically look for evidence that your sharia compliance is real, not self-certified.</w:t>
            </w:r>
          </w:p>
        </w:tc>
      </w:tr>
    </w:tbl>
    <w:p>
      <w:pPr>
        <w:pBdr>
          <w:bottom w:val="single" w:color="0A6E6E" w:sz="4" w:space="1"/>
        </w:pBdr>
        <w:spacing w:after="200" w:before="200"/>
      </w:pPr>
      <w:r>
        <w:t xml:space="preserve"/>
      </w:r>
    </w:p>
    <w:p>
      <w:pPr>
        <w:pStyle w:val="Heading1"/>
        <w:spacing w:after="180" w:before="360"/>
      </w:pPr>
      <w:r>
        <w:rPr>
          <w:rFonts w:ascii="Arial" w:cs="Arial" w:eastAsia="Arial" w:hAnsi="Arial"/>
          <w:b/>
          <w:bCs/>
          <w:color w:val="0A6E6E"/>
          <w:sz w:val="32"/>
          <w:szCs w:val="32"/>
        </w:rPr>
        <w:t xml:space="preserve">5. Fundraising &amp; Traction</w:t>
      </w:r>
    </w:p>
    <w:p>
      <w:pPr>
        <w:pBdr>
          <w:bottom w:val="single" w:color="0A6E6E" w:sz="4" w:space="1"/>
        </w:pBdr>
        <w:spacing w:after="200" w:before="200"/>
      </w:pPr>
      <w:r>
        <w:t xml:space="preserve"/>
      </w:r>
    </w:p>
    <w:p>
      <w:pPr>
        <w:spacing w:after="60" w:before="160"/>
      </w:pPr>
      <w:r>
        <w:rPr>
          <w:rFonts w:ascii="Arial" w:cs="Arial" w:eastAsia="Arial" w:hAnsi="Arial"/>
          <w:b/>
          <w:bCs/>
          <w:color w:val="0A6E6E"/>
          <w:sz w:val="22"/>
          <w:szCs w:val="22"/>
        </w:rPr>
        <w:t xml:space="preserve">Please provide a Google Drive link to your Pitch Deck</w:t>
      </w:r>
    </w:p>
    <w:p>
      <w:pPr>
        <w:spacing w:after="60" w:before="0"/>
      </w:pPr>
      <w:r>
        <w:rPr>
          <w:rFonts w:ascii="Arial" w:cs="Arial" w:eastAsia="Arial" w:hAnsi="Arial"/>
          <w:color w:val="1A1A2E"/>
          <w:sz w:val="22"/>
          <w:szCs w:val="22"/>
        </w:rPr>
        <w:t xml:space="preserve">[FILL IN — https://drive.google.com/file/d/YOUR_DECK_LINK]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Make the link viewable to 'Anyone with the link' before submitting. Pitch deck should be 10–12 slides. Lead with the warung impact story, not blockchain architecture. Include: Problem, Solution, Market (TAM/SAM/SOM), Product demo screenshots, Business model, Traction, Team, Ask (US$60,000 for what).</w:t>
            </w:r>
          </w:p>
        </w:tc>
      </w:tr>
    </w:tbl>
    <w:p>
      <w:pPr>
        <w:spacing w:after="0" w:before="120"/>
      </w:pPr>
      <w:r>
        <w:t xml:space="preserve"/>
      </w:r>
    </w:p>
    <w:p>
      <w:pPr>
        <w:spacing w:after="60" w:before="160"/>
      </w:pPr>
      <w:r>
        <w:rPr>
          <w:rFonts w:ascii="Arial" w:cs="Arial" w:eastAsia="Arial" w:hAnsi="Arial"/>
          <w:b/>
          <w:bCs/>
          <w:color w:val="0A6E6E"/>
          <w:sz w:val="22"/>
          <w:szCs w:val="22"/>
        </w:rPr>
        <w:t xml:space="preserve">Are you currently fundraising?</w:t>
      </w:r>
    </w:p>
    <w:p>
      <w:pPr>
        <w:spacing w:after="60" w:before="0"/>
      </w:pPr>
      <w:r>
        <w:rPr>
          <w:rFonts w:ascii="Arial" w:cs="Arial" w:eastAsia="Arial" w:hAnsi="Arial"/>
          <w:color w:val="1A1A2E"/>
          <w:sz w:val="22"/>
          <w:szCs w:val="22"/>
        </w:rPr>
        <w:t xml:space="preserve">Yes — we are raising a pre-seed round. We are targeting US$500,000 in total pre-seed funding, with HASAN.VC as our anchor institutional investor (US$60,000 from HASAN.VC) alongside angel investors from the Islamic fintech ecosystem. Current status: active conversations with AFSI-connected angels and HAQQ Ecosystem Fund (grant application submitted).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Select 'Yes' on the form. The supplementary text shows you are serious, not just kicking tyres.</w:t>
            </w:r>
          </w:p>
        </w:tc>
      </w:tr>
    </w:tbl>
    <w:p>
      <w:pPr>
        <w:spacing w:after="0" w:before="120"/>
      </w:pPr>
      <w:r>
        <w:t xml:space="preserve"/>
      </w:r>
    </w:p>
    <w:p>
      <w:pPr>
        <w:spacing w:after="60" w:before="160"/>
      </w:pPr>
      <w:r>
        <w:rPr>
          <w:rFonts w:ascii="Arial" w:cs="Arial" w:eastAsia="Arial" w:hAnsi="Arial"/>
          <w:b/>
          <w:bCs/>
          <w:color w:val="0A6E6E"/>
          <w:sz w:val="22"/>
          <w:szCs w:val="22"/>
        </w:rPr>
        <w:t xml:space="preserve">Are people currently using your product?</w:t>
      </w:r>
    </w:p>
    <w:p>
      <w:pPr>
        <w:spacing w:after="60" w:before="0"/>
      </w:pPr>
      <w:r>
        <w:rPr>
          <w:rFonts w:ascii="Arial" w:cs="Arial" w:eastAsia="Arial" w:hAnsi="Arial"/>
          <w:color w:val="1A1A2E"/>
          <w:sz w:val="22"/>
          <w:szCs w:val="22"/>
        </w:rPr>
        <w:t xml:space="preserve">No — we are pre-launch. sukuk.tawf.finance is currently in active development (testnet deployment target: Week 8 of our 20-week sprint). We have secured the following pre-launch traction: (1) ABSI (Asosiasi Blockchain Syariah Indonesia) as committed sharia verification partner; (2) Mas Jodhi Adhikaprana Sardjono (SUMU Blockchain Coordinator, Muhammadiyah) with 3 qualifying warungs identified for our pilot; (3) Mosqify (YPI Al-Azhar digital mosque platform) integration agreement in progress; (4) Ronald Wijaya (Ethis Indonesia co-founder) as strategic advisor; (5) HAQQ Ecosystem Fund grant application submitted (target: US$50–150K for HAQQ/Ethiq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Select 'No' on the form — be honest. But use the supplementary field to show strong pre-launch momentum. Five named institutional relationships before product launch is exceptional for a pre-seed company.</w:t>
            </w:r>
          </w:p>
        </w:tc>
      </w:tr>
    </w:tbl>
    <w:p>
      <w:pPr>
        <w:pBdr>
          <w:bottom w:val="single" w:color="0A6E6E" w:sz="4" w:space="1"/>
        </w:pBdr>
        <w:spacing w:after="200" w:before="200"/>
      </w:pPr>
      <w:r>
        <w:t xml:space="preserve"/>
      </w:r>
    </w:p>
    <w:p>
      <w:pPr>
        <w:pStyle w:val="Heading1"/>
        <w:spacing w:after="180" w:before="360"/>
      </w:pPr>
      <w:r>
        <w:rPr>
          <w:rFonts w:ascii="Arial" w:cs="Arial" w:eastAsia="Arial" w:hAnsi="Arial"/>
          <w:b/>
          <w:bCs/>
          <w:color w:val="0A6E6E"/>
          <w:sz w:val="32"/>
          <w:szCs w:val="32"/>
        </w:rPr>
        <w:t xml:space="preserve">6. Market &amp; Users</w:t>
      </w:r>
    </w:p>
    <w:p>
      <w:pPr>
        <w:pBdr>
          <w:bottom w:val="single" w:color="0A6E6E" w:sz="4" w:space="1"/>
        </w:pBdr>
        <w:spacing w:after="200" w:before="200"/>
      </w:pPr>
      <w:r>
        <w:t xml:space="preserve"/>
      </w:r>
    </w:p>
    <w:p>
      <w:pPr>
        <w:spacing w:after="60" w:before="160"/>
      </w:pPr>
      <w:r>
        <w:rPr>
          <w:rFonts w:ascii="Arial" w:cs="Arial" w:eastAsia="Arial" w:hAnsi="Arial"/>
          <w:b/>
          <w:bCs/>
          <w:color w:val="0A6E6E"/>
          <w:sz w:val="22"/>
          <w:szCs w:val="22"/>
        </w:rPr>
        <w:t xml:space="preserve">Where will most of your initial users be located?</w:t>
      </w:r>
    </w:p>
    <w:p>
      <w:pPr>
        <w:spacing w:after="60" w:before="0"/>
      </w:pPr>
      <w:r>
        <w:rPr>
          <w:rFonts w:ascii="Arial" w:cs="Arial" w:eastAsia="Arial" w:hAnsi="Arial"/>
          <w:color w:val="1A1A2E"/>
          <w:sz w:val="22"/>
          <w:szCs w:val="22"/>
        </w:rPr>
        <w:t xml:space="preserve">Indonesia — specifically Java (Central and East Java, where BMT cooperative networks and graduating MSME suppliers are most concentrated). We have two user types: (1) Warung/MSME suppliers (sellers of bond receivables) — 64 million Indonesian MSMEs, initial pilot in Java via SUMU/Muhammadiyah network; (2) Retail investors (buyers of bond receipt NFTs) — globally distributed ethical finance users, initially from the Base App / ReFi community and HASAN.VC's own 1,000+ angel investor network.</w:t>
      </w:r>
    </w:p>
    <w:p>
      <w:pPr>
        <w:spacing w:after="0" w:before="120"/>
      </w:pPr>
      <w:r>
        <w:t xml:space="preserve"/>
      </w:r>
    </w:p>
    <w:p>
      <w:pPr>
        <w:spacing w:after="60" w:before="160"/>
      </w:pPr>
      <w:r>
        <w:rPr>
          <w:rFonts w:ascii="Arial" w:cs="Arial" w:eastAsia="Arial" w:hAnsi="Arial"/>
          <w:b/>
          <w:bCs/>
          <w:color w:val="0A6E6E"/>
          <w:sz w:val="22"/>
          <w:szCs w:val="22"/>
        </w:rPr>
        <w:t xml:space="preserve">How does your product make money?</w:t>
      </w:r>
    </w:p>
    <w:p>
      <w:pPr>
        <w:spacing w:after="60" w:before="0"/>
      </w:pPr>
      <w:r>
        <w:rPr>
          <w:rFonts w:ascii="Arial" w:cs="Arial" w:eastAsia="Arial" w:hAnsi="Arial"/>
          <w:color w:val="1A1A2E"/>
          <w:sz w:val="22"/>
          <w:szCs w:val="22"/>
        </w:rPr>
        <w:t xml:space="preserve">tawf.finance operates a technology vendor revenue model — we are the infrastructure layer, not the investment company.</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Two revenue streams:</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Stream 1 — SaaS Licensing Fee: A fixed monthly/annual technology licensing fee charged to the Sekuritas partner for access to the sukuk.tawf.finance platform (bond origination infrastructure, compliance reporting, Sekuritas admin portal). Estimated: Rp 50–150 juta/month depending on deal volume tier.</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Stream 2 — Per-Deal Minting Fee: A fee charged to the Sekuritas partner for each bond NFT deal deployed on-chain. Estimated: 0.5–1.0% of deal value. On a Rp 200 juta (USD ~$12,000) deal: Rp 1–2 juta per minting event.</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At 50 deals/year at average Rp 150 juta: SaaS (Rp 600 juta/year) + minting fees (Rp 112.5 juta/year) = Rp 712.5 juta (~USD $43,000) ARR from Year 1 pilot alone.</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All revenue is Ujrah (service fee) structure — fully sharia-compliant. No interest income. No yield spread. No investor fund custody.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HASAN.VC will scrutinise the sharia compliance of the revenue model. The Ujrah framing is critical — state it explicitly. The per-deal economics are clear and provable on-chain.</w:t>
            </w:r>
          </w:p>
        </w:tc>
      </w:tr>
    </w:tbl>
    <w:p>
      <w:pPr>
        <w:pBdr>
          <w:bottom w:val="single" w:color="0A6E6E" w:sz="4" w:space="1"/>
        </w:pBdr>
        <w:spacing w:after="200" w:before="200"/>
      </w:pPr>
      <w:r>
        <w:t xml:space="preserve"/>
      </w:r>
    </w:p>
    <w:p>
      <w:pPr>
        <w:pStyle w:val="Heading1"/>
        <w:spacing w:after="180" w:before="360"/>
      </w:pPr>
      <w:r>
        <w:rPr>
          <w:rFonts w:ascii="Arial" w:cs="Arial" w:eastAsia="Arial" w:hAnsi="Arial"/>
          <w:b/>
          <w:bCs/>
          <w:color w:val="0A6E6E"/>
          <w:sz w:val="32"/>
          <w:szCs w:val="32"/>
        </w:rPr>
        <w:t xml:space="preserve">7. Competition &amp; Differentiation</w:t>
      </w:r>
    </w:p>
    <w:p>
      <w:pPr>
        <w:pBdr>
          <w:bottom w:val="single" w:color="0A6E6E" w:sz="4" w:space="1"/>
        </w:pBdr>
        <w:spacing w:after="200" w:before="200"/>
      </w:pPr>
      <w:r>
        <w:t xml:space="preserve"/>
      </w:r>
    </w:p>
    <w:p>
      <w:pPr>
        <w:spacing w:after="60" w:before="160"/>
      </w:pPr>
      <w:r>
        <w:rPr>
          <w:rFonts w:ascii="Arial" w:cs="Arial" w:eastAsia="Arial" w:hAnsi="Arial"/>
          <w:b/>
          <w:bCs/>
          <w:color w:val="0A6E6E"/>
          <w:sz w:val="22"/>
          <w:szCs w:val="22"/>
        </w:rPr>
        <w:t xml:space="preserve">Who are your competitors, and how is your product differentiated?</w:t>
      </w:r>
    </w:p>
    <w:p>
      <w:pPr>
        <w:spacing w:after="60" w:before="0"/>
      </w:pPr>
      <w:r>
        <w:rPr>
          <w:rFonts w:ascii="Arial" w:cs="Arial" w:eastAsia="Arial" w:hAnsi="Arial"/>
          <w:color w:val="1A1A2E"/>
          <w:sz w:val="22"/>
          <w:szCs w:val="22"/>
        </w:rPr>
        <w:t xml:space="preserve">The Islamic fintech and RWA tokenization space has several players, but none with tawf.finance's specific combination of community-scale sukuk infrastructure for Indonesian MSMEs.</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Closest comparables and differentiation:</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Orbitum.io (Indonesia) — tokenizes Indonesian sovereign sukuk (INDOIS) — top-down, government bonds. tawf.finance does bottom-up, warung economy. NOT a competitor — complementary. We are in active conversation to position as 'you have the sovereign top, we build the warung bottom.'</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Fasset (Malaysia/UAE/Indonesia) — Islamic digital bank with stablecoin infrastructure, 500K+ users. Fasset serves global retail investors and SME investment products. tawf.finance serves the origination side: warung suppliers and BMT cooperative originators. We are infrastructure for the supply side; Fasset is a distribution channel for the demand side. Our Indonesia Board Commissioner contact (Ronald Wijaya) confirms this is complementary, not competitive.</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Ethis.co.id (Indonesia, part of Ethis Group) — OJK-licensed Islamic P2P financing for SMEs, conventional structure. tawf.finance is on-chain, soulbound NFT bond receipts, no secondary market, built on Base blockchain. We are the Web3-native successor model.</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Traditional BMT P2P financing (manual) — 4,500+ BMTs currently originate financing via spreadsheets and manual processes. tawf.finance is their digital, on-chain upgrade — not a replacement but an infrastructure layer they plug into.</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Our five-point differentiation: (1) First on-chain community Green Sukuk for Indonesian warung economy. (2) Soulbound NFT bond receipts — structurally prevents secondary market and maysir. (3) USD 10 minimum — opens to global retail investors, not just accredited. (4) ABSI sharia verification — independently verified by Indonesia's blockchain sharia association. (5) Technology vendor model — Sekuritas holds the license; we build the rails. Regulatory complexity absorbed by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This answer shows you know the landscape, you are not naive about competitors, and you have a clear defensible position. Mentioning Ethis Group is intentional — it signals awareness of HASAN.VC's own portfolio ecosystem.</w:t>
            </w:r>
          </w:p>
        </w:tc>
      </w:tr>
    </w:tbl>
    <w:p>
      <w:pPr>
        <w:pBdr>
          <w:bottom w:val="single" w:color="0A6E6E" w:sz="4" w:space="1"/>
        </w:pBdr>
        <w:spacing w:after="200" w:before="200"/>
      </w:pPr>
      <w:r>
        <w:t xml:space="preserve"/>
      </w:r>
    </w:p>
    <w:p>
      <w:pPr>
        <w:pStyle w:val="Heading1"/>
        <w:spacing w:after="180" w:before="360"/>
      </w:pPr>
      <w:r>
        <w:rPr>
          <w:rFonts w:ascii="Arial" w:cs="Arial" w:eastAsia="Arial" w:hAnsi="Arial"/>
          <w:b/>
          <w:bCs/>
          <w:color w:val="0A6E6E"/>
          <w:sz w:val="32"/>
          <w:szCs w:val="32"/>
        </w:rPr>
        <w:t xml:space="preserve">8. Founder Motivation &amp; Expertise</w:t>
      </w:r>
    </w:p>
    <w:p>
      <w:pPr>
        <w:pBdr>
          <w:bottom w:val="single" w:color="0A6E6E" w:sz="4" w:space="1"/>
        </w:pBdr>
        <w:spacing w:after="200" w:before="200"/>
      </w:pPr>
      <w:r>
        <w:t xml:space="preserve"/>
      </w:r>
    </w:p>
    <w:p>
      <w:pPr>
        <w:spacing w:after="60" w:before="160"/>
      </w:pPr>
      <w:r>
        <w:rPr>
          <w:rFonts w:ascii="Arial" w:cs="Arial" w:eastAsia="Arial" w:hAnsi="Arial"/>
          <w:b/>
          <w:bCs/>
          <w:color w:val="0A6E6E"/>
          <w:sz w:val="22"/>
          <w:szCs w:val="22"/>
        </w:rPr>
        <w:t xml:space="preserve">Highlight your personal motivations and relevant expertise</w:t>
      </w:r>
    </w:p>
    <w:p>
      <w:pPr>
        <w:spacing w:after="60" w:before="0"/>
      </w:pPr>
      <w:r>
        <w:rPr>
          <w:rFonts w:ascii="Arial" w:cs="Arial" w:eastAsia="Arial" w:hAnsi="Arial"/>
          <w:color w:val="1A1A2E"/>
          <w:sz w:val="22"/>
          <w:szCs w:val="22"/>
        </w:rPr>
        <w:t xml:space="preserve">[PERSONALISE THIS SECTION — suggested framework below. Replace with your own story.]</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My motivation is personal and structural.</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Personal: [Add your personal connection to the problem — do you know a warung owner? Have you seen pinjol destroy a family? Is this your community? Your personal story here is the most powerful thing you can write. HASAN.VC invests in founder-mission alignment, not just business cases.]</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Structural: I have spent [X years] working at the intersection of [Islamic finance / Web3 / Indonesian tech ecosystem]. I have seen first-hand that 64 million Indonesian MSMEs have real assets — verified invoices, real orders, real anchor buyers — but no way to access formal capital because the financial infrastructure was not built for them. tawf.finance is the infrastructure layer that was missing.</w:t>
      </w:r>
    </w:p>
    <w:p>
      <w:pPr>
        <w:spacing w:after="60" w:before="0"/>
      </w:pPr>
      <w:r>
        <w:rPr>
          <w:rFonts w:ascii="Arial" w:cs="Arial" w:eastAsia="Arial" w:hAnsi="Arial"/>
          <w:color w:val="1A1A2E"/>
          <w:sz w:val="22"/>
          <w:szCs w:val="22"/>
        </w:rPr>
        <w:t xml:space="preserve"/>
      </w:r>
    </w:p>
    <w:p>
      <w:pPr>
        <w:spacing w:after="60" w:before="0"/>
      </w:pPr>
      <w:r>
        <w:rPr>
          <w:rFonts w:ascii="Arial" w:cs="Arial" w:eastAsia="Arial" w:hAnsi="Arial"/>
          <w:color w:val="1A1A2E"/>
          <w:sz w:val="22"/>
          <w:szCs w:val="22"/>
        </w:rPr>
        <w:t xml:space="preserve">Relevant expertise:</w:t>
      </w:r>
    </w:p>
    <w:p>
      <w:pPr>
        <w:spacing w:after="60" w:before="0"/>
      </w:pPr>
      <w:r>
        <w:rPr>
          <w:rFonts w:ascii="Arial" w:cs="Arial" w:eastAsia="Arial" w:hAnsi="Arial"/>
          <w:color w:val="1A1A2E"/>
          <w:sz w:val="22"/>
          <w:szCs w:val="22"/>
        </w:rPr>
        <w:t xml:space="preserve">• [Your domain expertise — Islamic finance, blockchain, fintech, etc.]</w:t>
      </w:r>
    </w:p>
    <w:p>
      <w:pPr>
        <w:spacing w:after="60" w:before="0"/>
      </w:pPr>
      <w:r>
        <w:rPr>
          <w:rFonts w:ascii="Arial" w:cs="Arial" w:eastAsia="Arial" w:hAnsi="Arial"/>
          <w:color w:val="1A1A2E"/>
          <w:sz w:val="22"/>
          <w:szCs w:val="22"/>
        </w:rPr>
        <w:t xml:space="preserve">• [Your Indonesia market knowledge — BMT networks, MSME financing, regulatory landscape]</w:t>
      </w:r>
    </w:p>
    <w:p>
      <w:pPr>
        <w:spacing w:after="60" w:before="0"/>
      </w:pPr>
      <w:r>
        <w:rPr>
          <w:rFonts w:ascii="Arial" w:cs="Arial" w:eastAsia="Arial" w:hAnsi="Arial"/>
          <w:color w:val="1A1A2E"/>
          <w:sz w:val="22"/>
          <w:szCs w:val="22"/>
        </w:rPr>
        <w:t xml:space="preserve">• Direct network access: ABSI (Mas Jodhi — sharia blockchain verification), AFSI (Ronald Wijaya — OJK-recognised fintech association), Muhammadiyah SUMU Blockchain (warung distribution network), HAQQ Network (Islamic blockchain ecosystem fund), Mosqify/YPI Al-Azhar (mosque network integration)</w:t>
      </w:r>
    </w:p>
    <w:p>
      <w:pPr>
        <w:spacing w:after="60" w:before="0"/>
      </w:pPr>
      <w:r>
        <w:rPr>
          <w:rFonts w:ascii="Arial" w:cs="Arial" w:eastAsia="Arial" w:hAnsi="Arial"/>
          <w:color w:val="1A1A2E"/>
          <w:sz w:val="22"/>
          <w:szCs w:val="22"/>
        </w:rPr>
        <w:t xml:space="preserve">• Team combines Islamic finance expertise, blockchain engineering (Base/Solidity/ZK), and deep Indonesian institutional relationships — a combination no other Islamic Web3 team in Indonesia currently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This is the most personal field in the form. The suggested framework above gives you structure, but the personal story MUST be yours. HASAN.VC backs founders, not business plans. The institutional relationships list at the end is concrete — it shows you have already done the relationship work before applying.</w:t>
            </w:r>
          </w:p>
        </w:tc>
      </w:tr>
    </w:tbl>
    <w:p>
      <w:pPr>
        <w:pBdr>
          <w:bottom w:val="single" w:color="0A6E6E" w:sz="4" w:space="1"/>
        </w:pBdr>
        <w:spacing w:after="200" w:before="200"/>
      </w:pPr>
      <w:r>
        <w:t xml:space="preserve"/>
      </w:r>
    </w:p>
    <w:p>
      <w:pPr>
        <w:pStyle w:val="Heading1"/>
        <w:spacing w:after="180" w:before="360"/>
      </w:pPr>
      <w:r>
        <w:rPr>
          <w:rFonts w:ascii="Arial" w:cs="Arial" w:eastAsia="Arial" w:hAnsi="Arial"/>
          <w:b/>
          <w:bCs/>
          <w:color w:val="0A6E6E"/>
          <w:sz w:val="32"/>
          <w:szCs w:val="32"/>
        </w:rPr>
        <w:t xml:space="preserve">9. 1-Minute Introductory Video</w:t>
      </w:r>
    </w:p>
    <w:p>
      <w:pPr>
        <w:pBdr>
          <w:bottom w:val="single" w:color="0A6E6E" w:sz="4" w:space="1"/>
        </w:pBdr>
        <w:spacing w:after="200" w:before="200"/>
      </w:pPr>
      <w:r>
        <w:t xml:space="preserve"/>
      </w:r>
    </w:p>
    <w:p>
      <w:pPr>
        <w:spacing w:after="60" w:before="160"/>
      </w:pPr>
      <w:r>
        <w:rPr>
          <w:rFonts w:ascii="Arial" w:cs="Arial" w:eastAsia="Arial" w:hAnsi="Arial"/>
          <w:b/>
          <w:bCs/>
          <w:color w:val="0A6E6E"/>
          <w:sz w:val="22"/>
          <w:szCs w:val="22"/>
        </w:rPr>
        <w:t xml:space="preserve">Please provide a Google Drive link to a 1-minute introductory video</w:t>
      </w:r>
    </w:p>
    <w:p>
      <w:pPr>
        <w:spacing w:after="60" w:before="0"/>
      </w:pPr>
      <w:r>
        <w:rPr>
          <w:rFonts w:ascii="Arial" w:cs="Arial" w:eastAsia="Arial" w:hAnsi="Arial"/>
          <w:color w:val="1A1A2E"/>
          <w:sz w:val="22"/>
          <w:szCs w:val="22"/>
        </w:rPr>
        <w:t xml:space="preserve">[FILL IN — https://drive.google.com/file/d/YOUR_VIDEO_LINK]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80"/>
              <w:left w:type="dxa" w:w="200"/>
              <w:bottom w:type="dxa" w:w="80"/>
              <w:right w:type="dxa" w:w="200"/>
            </w:tcMar>
          </w:tcPr>
          <w:p>
            <w:pPr>
              <w:spacing w:after="0" w:before="0"/>
            </w:pPr>
            <w:r>
              <w:rPr>
                <w:rFonts w:ascii="Arial" w:cs="Arial" w:eastAsia="Arial" w:hAnsi="Arial"/>
                <w:i/>
                <w:iCs/>
                <w:color w:val="1A1A2E"/>
                <w:sz w:val="20"/>
                <w:szCs w:val="20"/>
              </w:rPr>
              <w:t xml:space="preserve">📝 Make the link viewable to 'Anyone with the link'. See the video script guide below.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9FE"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VIDEO SCRIPT GUIDE — 1 MINUTE EXACTLY
[0:00–0:10] Introduce yourself: 'My name is [name], co-founder of tawf.finance. We build community Green Sukuk infrastructure for the Indonesian warung economy.'
[0:10–0:25] The problem: 'There are 64 million MSMEs in Indonesia. Most have verified orders from Indomaret or Alfamart but cannot access formal capital. Their only option is pinjol at 400% APR.'
[0:25–0:40] The solution: 'We tokenize their invoices as soulbound NFT bond receipts — accessible to global investors from USD 10. Sharia-compliant, non-speculative, verified by ABSI. Yield comes from real invoice repayment only.'
[0:40–0:50] Traction: 'We have ABSI as our sharia partner, 3 warungs in pilot pipeline via Muhammadiyah SUMU Blockchain, and Ronald Wijaya from Ethis Group advising.'
[0:50–1:00] The ask: 'We are applying to HASAN.VC Cohort 4 for US$60,000 to complete our security audit and run our first live warung deal. Thank you.'</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5F7FA" w:val="clear"/>
            <w:tcMar>
              <w:top w:type="dxa" w:w="160"/>
              <w:left w:type="dxa" w:w="240"/>
              <w:bottom w:type="dxa" w:w="160"/>
              <w:right w:type="dxa" w:w="240"/>
            </w:tcMar>
          </w:tcPr>
          <w:p>
            <w:pPr>
              <w:spacing w:after="80" w:before="0"/>
            </w:pPr>
            <w:r>
              <w:rPr>
                <w:rFonts w:ascii="Arial" w:cs="Arial" w:eastAsia="Arial" w:hAnsi="Arial"/>
                <w:b/>
                <w:bCs/>
                <w:color w:val="1A1A2E"/>
                <w:sz w:val="22"/>
                <w:szCs w:val="22"/>
              </w:rPr>
              <w:t xml:space="preserve">Video production tips:</w:t>
            </w:r>
          </w:p>
          <w:p>
            <w:pPr>
              <w:pStyle w:val="ListParagraph"/>
              <w:numPr>
                <w:ilvl w:val="0"/>
                <w:numId w:val="2"/>
              </w:numPr>
              <w:spacing w:after="40" w:before="40"/>
            </w:pPr>
            <w:r>
              <w:rPr>
                <w:rFonts w:ascii="Arial" w:cs="Arial" w:eastAsia="Arial" w:hAnsi="Arial"/>
                <w:color w:val="1A1A2E"/>
                <w:sz w:val="20"/>
                <w:szCs w:val="20"/>
              </w:rPr>
              <w:t xml:space="preserve">Record on your phone — it does not need to be professional. Authenticity matters more than production quality.</w:t>
            </w:r>
          </w:p>
          <w:p>
            <w:pPr>
              <w:pStyle w:val="ListParagraph"/>
              <w:numPr>
                <w:ilvl w:val="0"/>
                <w:numId w:val="2"/>
              </w:numPr>
              <w:spacing w:after="40" w:before="40"/>
            </w:pPr>
            <w:r>
              <w:rPr>
                <w:rFonts w:ascii="Arial" w:cs="Arial" w:eastAsia="Arial" w:hAnsi="Arial"/>
                <w:color w:val="1A1A2E"/>
                <w:sz w:val="20"/>
                <w:szCs w:val="20"/>
              </w:rPr>
              <w:t xml:space="preserve">Good lighting: face a window. Natural light, not overhead fluorescent.</w:t>
            </w:r>
          </w:p>
          <w:p>
            <w:pPr>
              <w:pStyle w:val="ListParagraph"/>
              <w:numPr>
                <w:ilvl w:val="0"/>
                <w:numId w:val="2"/>
              </w:numPr>
              <w:spacing w:after="40" w:before="40"/>
            </w:pPr>
            <w:r>
              <w:rPr>
                <w:rFonts w:ascii="Arial" w:cs="Arial" w:eastAsia="Arial" w:hAnsi="Arial"/>
                <w:color w:val="1A1A2E"/>
                <w:sz w:val="20"/>
                <w:szCs w:val="20"/>
              </w:rPr>
              <w:t xml:space="preserve">Clean background: a plain wall or bookshelf. No clutter.</w:t>
            </w:r>
          </w:p>
          <w:p>
            <w:pPr>
              <w:pStyle w:val="ListParagraph"/>
              <w:numPr>
                <w:ilvl w:val="0"/>
                <w:numId w:val="2"/>
              </w:numPr>
              <w:spacing w:after="40" w:before="40"/>
            </w:pPr>
            <w:r>
              <w:rPr>
                <w:rFonts w:ascii="Arial" w:cs="Arial" w:eastAsia="Arial" w:hAnsi="Arial"/>
                <w:color w:val="1A1A2E"/>
                <w:sz w:val="20"/>
                <w:szCs w:val="20"/>
              </w:rPr>
              <w:t xml:space="preserve">Look into the camera, not at yourself on screen.</w:t>
            </w:r>
          </w:p>
          <w:p>
            <w:pPr>
              <w:pStyle w:val="ListParagraph"/>
              <w:numPr>
                <w:ilvl w:val="0"/>
                <w:numId w:val="2"/>
              </w:numPr>
              <w:spacing w:after="40" w:before="40"/>
            </w:pPr>
            <w:r>
              <w:rPr>
                <w:rFonts w:ascii="Arial" w:cs="Arial" w:eastAsia="Arial" w:hAnsi="Arial"/>
                <w:color w:val="1A1A2E"/>
                <w:sz w:val="20"/>
                <w:szCs w:val="20"/>
              </w:rPr>
              <w:t xml:space="preserve">Speak clearly and slowly — you are pitching to investors in multiple countries.</w:t>
            </w:r>
          </w:p>
          <w:p>
            <w:pPr>
              <w:pStyle w:val="ListParagraph"/>
              <w:numPr>
                <w:ilvl w:val="0"/>
                <w:numId w:val="2"/>
              </w:numPr>
              <w:spacing w:after="40" w:before="40"/>
            </w:pPr>
            <w:r>
              <w:rPr>
                <w:rFonts w:ascii="Arial" w:cs="Arial" w:eastAsia="Arial" w:hAnsi="Arial"/>
                <w:color w:val="1A1A2E"/>
                <w:sz w:val="20"/>
                <w:szCs w:val="20"/>
              </w:rPr>
              <w:t xml:space="preserve">Practise 3–5 times before recording. Time yourself. 1 minute = approximately 140 words at normal pace.</w:t>
            </w:r>
          </w:p>
          <w:p>
            <w:pPr>
              <w:pStyle w:val="ListParagraph"/>
              <w:numPr>
                <w:ilvl w:val="0"/>
                <w:numId w:val="2"/>
              </w:numPr>
              <w:spacing w:after="40" w:before="40"/>
            </w:pPr>
            <w:r>
              <w:rPr>
                <w:rFonts w:ascii="Arial" w:cs="Arial" w:eastAsia="Arial" w:hAnsi="Arial"/>
                <w:color w:val="1A1A2E"/>
                <w:sz w:val="20"/>
                <w:szCs w:val="20"/>
              </w:rPr>
              <w:t xml:space="preserve">If you have a product demo, add 10 seconds of screen recording at the end (1 min 10 sec total is fine).</w:t>
            </w:r>
          </w:p>
          <w:p>
            <w:pPr>
              <w:pStyle w:val="ListParagraph"/>
              <w:numPr>
                <w:ilvl w:val="0"/>
                <w:numId w:val="2"/>
              </w:numPr>
              <w:spacing w:after="40" w:before="40"/>
            </w:pPr>
            <w:r>
              <w:rPr>
                <w:rFonts w:ascii="Arial" w:cs="Arial" w:eastAsia="Arial" w:hAnsi="Arial"/>
                <w:color w:val="1A1A2E"/>
                <w:sz w:val="20"/>
                <w:szCs w:val="20"/>
              </w:rPr>
              <w:t xml:space="preserve">Upload to Google Drive. Set to 'Anyone with the link can view'. Test the link in an incognito browser before submitting.</w:t>
            </w:r>
          </w:p>
        </w:tc>
      </w:tr>
    </w:tbl>
    <w:p>
      <w:pPr>
        <w:pBdr>
          <w:bottom w:val="single" w:color="0A6E6E" w:sz="4" w:space="1"/>
        </w:pBdr>
        <w:spacing w:after="200" w:before="200"/>
      </w:pPr>
      <w:r>
        <w:t xml:space="preserve"/>
      </w:r>
    </w:p>
    <w:p>
      <w:pPr>
        <w:pStyle w:val="Heading1"/>
        <w:spacing w:after="180" w:before="360"/>
      </w:pPr>
      <w:r>
        <w:rPr>
          <w:rFonts w:ascii="Arial" w:cs="Arial" w:eastAsia="Arial" w:hAnsi="Arial"/>
          <w:b/>
          <w:bCs/>
          <w:color w:val="0A6E6E"/>
          <w:sz w:val="32"/>
          <w:szCs w:val="32"/>
        </w:rPr>
        <w:t xml:space="preserve">10. Final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0" w:before="0"/>
            </w:pPr>
            <w:r>
              <w:rPr>
                <w:rFonts w:ascii="Arial" w:cs="Arial" w:eastAsia="Arial" w:hAnsi="Arial"/>
                <w:i/>
                <w:iCs/>
                <w:color w:val="1A1A2E"/>
                <w:sz w:val="22"/>
                <w:szCs w:val="22"/>
              </w:rPr>
              <w:t xml:space="preserve">Review every item below before hitting Submit. Missing any one of these is a common rejection reason.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80"/>
            </w:tcMar>
            <w:vAlign w:val="center"/>
          </w:tcPr>
          <w:p>
            <w:pPr>
              <w:jc w:val="center"/>
            </w:pPr>
            <w:r>
              <w:rPr>
                <w:rFonts w:ascii="Arial" w:cs="Arial" w:eastAsia="Arial" w:hAnsi="Arial"/>
                <w:b/>
                <w:bCs/>
                <w:color w:val="0A6E6E"/>
                <w:sz w:val="22"/>
                <w:szCs w:val="22"/>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Ronald Wijaya WA sent — intro to Umar/Mohd confirmed BEFORE submission</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60"/>
              <w:bottom w:type="dxa" w:w="80"/>
              <w:right w:type="dxa" w:w="80"/>
            </w:tcMar>
            <w:vAlign w:val="center"/>
          </w:tcPr>
          <w:p>
            <w:pPr>
              <w:jc w:val="center"/>
            </w:pPr>
            <w:r>
              <w:rPr>
                <w:rFonts w:ascii="Arial" w:cs="Arial" w:eastAsia="Arial" w:hAnsi="Arial"/>
                <w:b/>
                <w:bCs/>
                <w:color w:val="0A6E6E"/>
                <w:sz w:val="22"/>
                <w:szCs w:val="22"/>
              </w:rPr>
              <w:t xml:space="preserve">☐</w:t>
            </w:r>
          </w:p>
        </w:tc>
        <w:tc>
          <w:tcPr>
            <w:tcW w:type="dxa" w:w="8760"/>
            <w:tcBorders>
              <w:top w:val="single" w:color="D1D5DB" w:sz="1"/>
              <w:left w:val="single" w:color="D1D5DB" w:sz="1"/>
              <w:bottom w:val="single" w:color="D1D5DB" w:sz="1"/>
              <w:right w:val="single" w:color="D1D5DB" w:sz="1"/>
            </w:tcBorders>
            <w:shd w:fill="F5F7FA" w:val="clear"/>
            <w:tcMar>
              <w:top w:type="dxa" w:w="80"/>
              <w:left w:type="dxa" w:w="160"/>
              <w:bottom w:type="dxa" w:w="80"/>
              <w:right w:type="dxa" w:w="120"/>
            </w:tcMar>
          </w:tcPr>
          <w:p>
            <w:r>
              <w:rPr>
                <w:rFonts w:ascii="Arial" w:cs="Arial" w:eastAsia="Arial" w:hAnsi="Arial"/>
                <w:color w:val="1A1A2E"/>
                <w:sz w:val="20"/>
                <w:szCs w:val="20"/>
              </w:rPr>
              <w:t xml:space="preserve">All [FILL IN] fields completed with your actual information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80"/>
            </w:tcMar>
            <w:vAlign w:val="center"/>
          </w:tcPr>
          <w:p>
            <w:pPr>
              <w:jc w:val="center"/>
            </w:pPr>
            <w:r>
              <w:rPr>
                <w:rFonts w:ascii="Arial" w:cs="Arial" w:eastAsia="Arial" w:hAnsi="Arial"/>
                <w:b/>
                <w:bCs/>
                <w:color w:val="0A6E6E"/>
                <w:sz w:val="22"/>
                <w:szCs w:val="22"/>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Pitch deck Google Drive link tested in incognito — viewable to anyone</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60"/>
              <w:bottom w:type="dxa" w:w="80"/>
              <w:right w:type="dxa" w:w="80"/>
            </w:tcMar>
            <w:vAlign w:val="center"/>
          </w:tcPr>
          <w:p>
            <w:pPr>
              <w:jc w:val="center"/>
            </w:pPr>
            <w:r>
              <w:rPr>
                <w:rFonts w:ascii="Arial" w:cs="Arial" w:eastAsia="Arial" w:hAnsi="Arial"/>
                <w:b/>
                <w:bCs/>
                <w:color w:val="0A6E6E"/>
                <w:sz w:val="22"/>
                <w:szCs w:val="22"/>
              </w:rPr>
              <w:t xml:space="preserve">☐</w:t>
            </w:r>
          </w:p>
        </w:tc>
        <w:tc>
          <w:tcPr>
            <w:tcW w:type="dxa" w:w="8760"/>
            <w:tcBorders>
              <w:top w:val="single" w:color="D1D5DB" w:sz="1"/>
              <w:left w:val="single" w:color="D1D5DB" w:sz="1"/>
              <w:bottom w:val="single" w:color="D1D5DB" w:sz="1"/>
              <w:right w:val="single" w:color="D1D5DB" w:sz="1"/>
            </w:tcBorders>
            <w:shd w:fill="F5F7FA" w:val="clear"/>
            <w:tcMar>
              <w:top w:type="dxa" w:w="80"/>
              <w:left w:type="dxa" w:w="160"/>
              <w:bottom w:type="dxa" w:w="80"/>
              <w:right w:type="dxa" w:w="120"/>
            </w:tcMar>
          </w:tcPr>
          <w:p>
            <w:r>
              <w:rPr>
                <w:rFonts w:ascii="Arial" w:cs="Arial" w:eastAsia="Arial" w:hAnsi="Arial"/>
                <w:color w:val="1A1A2E"/>
                <w:sz w:val="20"/>
                <w:szCs w:val="20"/>
              </w:rPr>
              <w:t xml:space="preserve">1-minute video Google Drive link tested in incognito — viewable to anyone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80"/>
            </w:tcMar>
            <w:vAlign w:val="center"/>
          </w:tcPr>
          <w:p>
            <w:pPr>
              <w:jc w:val="center"/>
            </w:pPr>
            <w:r>
              <w:rPr>
                <w:rFonts w:ascii="Arial" w:cs="Arial" w:eastAsia="Arial" w:hAnsi="Arial"/>
                <w:b/>
                <w:bCs/>
                <w:color w:val="0A6E6E"/>
                <w:sz w:val="22"/>
                <w:szCs w:val="22"/>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Company name matches your PT Indonesia entity (or explicitly states 'incorporating')</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60"/>
              <w:bottom w:type="dxa" w:w="80"/>
              <w:right w:type="dxa" w:w="80"/>
            </w:tcMar>
            <w:vAlign w:val="center"/>
          </w:tcPr>
          <w:p>
            <w:pPr>
              <w:jc w:val="center"/>
            </w:pPr>
            <w:r>
              <w:rPr>
                <w:rFonts w:ascii="Arial" w:cs="Arial" w:eastAsia="Arial" w:hAnsi="Arial"/>
                <w:b/>
                <w:bCs/>
                <w:color w:val="0A6E6E"/>
                <w:sz w:val="22"/>
                <w:szCs w:val="22"/>
              </w:rPr>
              <w:t xml:space="preserve">☐</w:t>
            </w:r>
          </w:p>
        </w:tc>
        <w:tc>
          <w:tcPr>
            <w:tcW w:type="dxa" w:w="8760"/>
            <w:tcBorders>
              <w:top w:val="single" w:color="D1D5DB" w:sz="1"/>
              <w:left w:val="single" w:color="D1D5DB" w:sz="1"/>
              <w:bottom w:val="single" w:color="D1D5DB" w:sz="1"/>
              <w:right w:val="single" w:color="D1D5DB" w:sz="1"/>
            </w:tcBorders>
            <w:shd w:fill="F5F7FA" w:val="clear"/>
            <w:tcMar>
              <w:top w:type="dxa" w:w="80"/>
              <w:left w:type="dxa" w:w="160"/>
              <w:bottom w:type="dxa" w:w="80"/>
              <w:right w:type="dxa" w:w="120"/>
            </w:tcMar>
          </w:tcPr>
          <w:p>
            <w:r>
              <w:rPr>
                <w:rFonts w:ascii="Arial" w:cs="Arial" w:eastAsia="Arial" w:hAnsi="Arial"/>
                <w:color w:val="1A1A2E"/>
                <w:sz w:val="20"/>
                <w:szCs w:val="20"/>
              </w:rPr>
              <w:t xml:space="preserve">LinkedIn profile updated with current role at tawf.finance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80"/>
            </w:tcMar>
            <w:vAlign w:val="center"/>
          </w:tcPr>
          <w:p>
            <w:pPr>
              <w:jc w:val="center"/>
            </w:pPr>
            <w:r>
              <w:rPr>
                <w:rFonts w:ascii="Arial" w:cs="Arial" w:eastAsia="Arial" w:hAnsi="Arial"/>
                <w:b/>
                <w:bCs/>
                <w:color w:val="0A6E6E"/>
                <w:sz w:val="22"/>
                <w:szCs w:val="22"/>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ABSI MOU status is accurate (signed / MOU in progress / kopdar scheduled)</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60"/>
              <w:bottom w:type="dxa" w:w="80"/>
              <w:right w:type="dxa" w:w="80"/>
            </w:tcMar>
            <w:vAlign w:val="center"/>
          </w:tcPr>
          <w:p>
            <w:pPr>
              <w:jc w:val="center"/>
            </w:pPr>
            <w:r>
              <w:rPr>
                <w:rFonts w:ascii="Arial" w:cs="Arial" w:eastAsia="Arial" w:hAnsi="Arial"/>
                <w:b/>
                <w:bCs/>
                <w:color w:val="0A6E6E"/>
                <w:sz w:val="22"/>
                <w:szCs w:val="22"/>
              </w:rPr>
              <w:t xml:space="preserve">☐</w:t>
            </w:r>
          </w:p>
        </w:tc>
        <w:tc>
          <w:tcPr>
            <w:tcW w:type="dxa" w:w="8760"/>
            <w:tcBorders>
              <w:top w:val="single" w:color="D1D5DB" w:sz="1"/>
              <w:left w:val="single" w:color="D1D5DB" w:sz="1"/>
              <w:bottom w:val="single" w:color="D1D5DB" w:sz="1"/>
              <w:right w:val="single" w:color="D1D5DB" w:sz="1"/>
            </w:tcBorders>
            <w:shd w:fill="F5F7FA" w:val="clear"/>
            <w:tcMar>
              <w:top w:type="dxa" w:w="80"/>
              <w:left w:type="dxa" w:w="160"/>
              <w:bottom w:type="dxa" w:w="80"/>
              <w:right w:type="dxa" w:w="120"/>
            </w:tcMar>
          </w:tcPr>
          <w:p>
            <w:r>
              <w:rPr>
                <w:rFonts w:ascii="Arial" w:cs="Arial" w:eastAsia="Arial" w:hAnsi="Arial"/>
                <w:color w:val="1A1A2E"/>
                <w:sz w:val="20"/>
                <w:szCs w:val="20"/>
              </w:rPr>
              <w:t xml:space="preserve">Sekuritas status is accurate (MOU signed / term sheet / in negotiation)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80"/>
            </w:tcMar>
            <w:vAlign w:val="center"/>
          </w:tcPr>
          <w:p>
            <w:pPr>
              <w:jc w:val="center"/>
            </w:pPr>
            <w:r>
              <w:rPr>
                <w:rFonts w:ascii="Arial" w:cs="Arial" w:eastAsia="Arial" w:hAnsi="Arial"/>
                <w:b/>
                <w:bCs/>
                <w:color w:val="0A6E6E"/>
                <w:sz w:val="22"/>
                <w:szCs w:val="22"/>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WhatsApp number includes country code (+62)</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60"/>
              <w:bottom w:type="dxa" w:w="80"/>
              <w:right w:type="dxa" w:w="80"/>
            </w:tcMar>
            <w:vAlign w:val="center"/>
          </w:tcPr>
          <w:p>
            <w:pPr>
              <w:jc w:val="center"/>
            </w:pPr>
            <w:r>
              <w:rPr>
                <w:rFonts w:ascii="Arial" w:cs="Arial" w:eastAsia="Arial" w:hAnsi="Arial"/>
                <w:b/>
                <w:bCs/>
                <w:color w:val="0A6E6E"/>
                <w:sz w:val="22"/>
                <w:szCs w:val="22"/>
              </w:rPr>
              <w:t xml:space="preserve">☐</w:t>
            </w:r>
          </w:p>
        </w:tc>
        <w:tc>
          <w:tcPr>
            <w:tcW w:type="dxa" w:w="8760"/>
            <w:tcBorders>
              <w:top w:val="single" w:color="D1D5DB" w:sz="1"/>
              <w:left w:val="single" w:color="D1D5DB" w:sz="1"/>
              <w:bottom w:val="single" w:color="D1D5DB" w:sz="1"/>
              <w:right w:val="single" w:color="D1D5DB" w:sz="1"/>
            </w:tcBorders>
            <w:shd w:fill="F5F7FA" w:val="clear"/>
            <w:tcMar>
              <w:top w:type="dxa" w:w="80"/>
              <w:left w:type="dxa" w:w="160"/>
              <w:bottom w:type="dxa" w:w="80"/>
              <w:right w:type="dxa" w:w="120"/>
            </w:tcMar>
          </w:tcPr>
          <w:p>
            <w:r>
              <w:rPr>
                <w:rFonts w:ascii="Arial" w:cs="Arial" w:eastAsia="Arial" w:hAnsi="Arial"/>
                <w:color w:val="1A1A2E"/>
                <w:sz w:val="20"/>
                <w:szCs w:val="20"/>
              </w:rPr>
              <w:t xml:space="preserve">'Are people using your product?' answer is honest (Yes or No)</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80"/>
            </w:tcMar>
            <w:vAlign w:val="center"/>
          </w:tcPr>
          <w:p>
            <w:pPr>
              <w:jc w:val="center"/>
            </w:pPr>
            <w:r>
              <w:rPr>
                <w:rFonts w:ascii="Arial" w:cs="Arial" w:eastAsia="Arial" w:hAnsi="Arial"/>
                <w:b/>
                <w:bCs/>
                <w:color w:val="0A6E6E"/>
                <w:sz w:val="22"/>
                <w:szCs w:val="22"/>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Personal motivation section is genuinely personal — not AI-sounding</w:t>
            </w:r>
          </w:p>
        </w:tc>
      </w:tr>
      <w:tr>
        <w:tc>
          <w:tcPr>
            <w:tcW w:type="dxa" w:w="600"/>
            <w:tcBorders>
              <w:top w:val="single" w:color="D1D5DB" w:sz="1"/>
              <w:left w:val="single" w:color="D1D5DB" w:sz="1"/>
              <w:bottom w:val="single" w:color="D1D5DB" w:sz="1"/>
              <w:right w:val="single" w:color="D1D5DB" w:sz="1"/>
            </w:tcBorders>
            <w:shd w:fill="F5F7FA" w:val="clear"/>
            <w:tcMar>
              <w:top w:type="dxa" w:w="80"/>
              <w:left w:type="dxa" w:w="160"/>
              <w:bottom w:type="dxa" w:w="80"/>
              <w:right w:type="dxa" w:w="80"/>
            </w:tcMar>
            <w:vAlign w:val="center"/>
          </w:tcPr>
          <w:p>
            <w:pPr>
              <w:jc w:val="center"/>
            </w:pPr>
            <w:r>
              <w:rPr>
                <w:rFonts w:ascii="Arial" w:cs="Arial" w:eastAsia="Arial" w:hAnsi="Arial"/>
                <w:b/>
                <w:bCs/>
                <w:color w:val="0A6E6E"/>
                <w:sz w:val="22"/>
                <w:szCs w:val="22"/>
              </w:rPr>
              <w:t xml:space="preserve">☐</w:t>
            </w:r>
          </w:p>
        </w:tc>
        <w:tc>
          <w:tcPr>
            <w:tcW w:type="dxa" w:w="8760"/>
            <w:tcBorders>
              <w:top w:val="single" w:color="D1D5DB" w:sz="1"/>
              <w:left w:val="single" w:color="D1D5DB" w:sz="1"/>
              <w:bottom w:val="single" w:color="D1D5DB" w:sz="1"/>
              <w:right w:val="single" w:color="D1D5DB" w:sz="1"/>
            </w:tcBorders>
            <w:shd w:fill="F5F7FA" w:val="clear"/>
            <w:tcMar>
              <w:top w:type="dxa" w:w="80"/>
              <w:left w:type="dxa" w:w="160"/>
              <w:bottom w:type="dxa" w:w="80"/>
              <w:right w:type="dxa" w:w="120"/>
            </w:tcMar>
          </w:tcPr>
          <w:p>
            <w:r>
              <w:rPr>
                <w:rFonts w:ascii="Arial" w:cs="Arial" w:eastAsia="Arial" w:hAnsi="Arial"/>
                <w:color w:val="1A1A2E"/>
                <w:sz w:val="20"/>
                <w:szCs w:val="20"/>
              </w:rPr>
              <w:t xml:space="preserve">Spell-check complete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80"/>
            </w:tcMar>
            <w:vAlign w:val="center"/>
          </w:tcPr>
          <w:p>
            <w:pPr>
              <w:jc w:val="center"/>
            </w:pPr>
            <w:r>
              <w:rPr>
                <w:rFonts w:ascii="Arial" w:cs="Arial" w:eastAsia="Arial" w:hAnsi="Arial"/>
                <w:b/>
                <w:bCs/>
                <w:color w:val="0A6E6E"/>
                <w:sz w:val="22"/>
                <w:szCs w:val="22"/>
              </w:rPr>
              <w:t xml:space="preserve">☐</w:t>
            </w:r>
          </w:p>
        </w:tc>
        <w:tc>
          <w:tcPr>
            <w:tcW w:type="dxa" w:w="8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20"/>
            </w:tcMar>
          </w:tcPr>
          <w:p>
            <w:r>
              <w:rPr>
                <w:rFonts w:ascii="Arial" w:cs="Arial" w:eastAsia="Arial" w:hAnsi="Arial"/>
                <w:color w:val="1A1A2E"/>
                <w:sz w:val="20"/>
                <w:szCs w:val="20"/>
              </w:rPr>
              <w:t xml:space="preserve">Application submitted at: https://airtable.com/appc9pSvyZfliabbf/pagyGvmqISzXBBl11/form</w:t>
            </w:r>
          </w:p>
        </w:tc>
      </w:tr>
    </w:tbl>
    <w:p>
      <w:pPr>
        <w:pBdr>
          <w:bottom w:val="single" w:color="0A6E6E" w:sz="4" w:space="1"/>
        </w:pBdr>
        <w:spacing w:after="200" w:before="200"/>
      </w:pPr>
      <w:r>
        <w:t xml:space="preserve"/>
      </w:r>
    </w:p>
    <w:p>
      <w:pPr>
        <w:spacing w:after="0" w:before="200"/>
      </w:pPr>
      <w:r>
        <w:t xml:space="preserve"/>
      </w:r>
    </w:p>
    <w:p>
      <w:pPr>
        <w:spacing w:after="80" w:before="160"/>
        <w:jc w:val="center"/>
      </w:pPr>
      <w:r>
        <w:rPr>
          <w:rFonts w:ascii="Arial" w:cs="Arial" w:eastAsia="Arial" w:hAnsi="Arial"/>
          <w:b/>
          <w:bCs/>
          <w:color w:val="0A6E6E"/>
          <w:sz w:val="40"/>
          <w:szCs w:val="40"/>
        </w:rPr>
        <w:t xml:space="preserve">tawf.finance</w:t>
      </w:r>
    </w:p>
    <w:p>
      <w:pPr>
        <w:spacing w:after="60" w:before="0"/>
        <w:jc w:val="center"/>
      </w:pPr>
      <w:r>
        <w:rPr>
          <w:rFonts w:ascii="Arial" w:cs="Arial" w:eastAsia="Arial" w:hAnsi="Arial"/>
          <w:i/>
          <w:iCs/>
          <w:color w:val="1A1A2E"/>
          <w:sz w:val="24"/>
          <w:szCs w:val="24"/>
        </w:rPr>
        <w:t xml:space="preserve">We tokenize the warung economy.</w:t>
      </w:r>
    </w:p>
    <w:p>
      <w:pPr>
        <w:jc w:val="center"/>
      </w:pPr>
      <w:r>
        <w:rPr>
          <w:rFonts w:ascii="Arial" w:cs="Arial" w:eastAsia="Arial" w:hAnsi="Arial"/>
          <w:color w:val="2E9B9B"/>
          <w:sz w:val="20"/>
          <w:szCs w:val="20"/>
        </w:rPr>
        <w:t xml:space="preserve">tawf.finance  |  sukuk.tawf.finance  |  contact@tawf.finance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E6E" w:sz="4" w:space="4"/>
      </w:pBdr>
    </w:pPr>
    <w:r>
      <w:rPr>
        <w:rFonts w:ascii="Arial" w:cs="Arial" w:eastAsia="Arial" w:hAnsi="Arial"/>
        <w:color w:val="0A6E6E"/>
        <w:sz w:val="18"/>
        <w:szCs w:val="18"/>
      </w:rPr>
      <w:t xml:space="preserve">tawf.finance  |  sukuk.tawf.finance  |  contact@tawf.finance    Page </w:t>
    </w:r>
    <w:r>
      <w:rPr>
        <w:rFonts w:ascii="Arial" w:cs="Arial" w:eastAsia="Arial" w:hAnsi="Arial"/>
        <w:color w:val="0A6E6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E6E" w:sz="4" w:space="4"/>
      </w:pBdr>
    </w:pPr>
    <w:r>
      <w:rPr>
        <w:rFonts w:ascii="Arial" w:cs="Arial" w:eastAsia="Arial" w:hAnsi="Arial"/>
        <w:b/>
        <w:bCs/>
        <w:color w:val="0A6E6E"/>
        <w:sz w:val="18"/>
        <w:szCs w:val="18"/>
      </w:rPr>
      <w:t xml:space="preserve">HASAN.VC Accelerator — Cohort 4 Application  </w:t>
    </w:r>
    <w:r>
      <w:rPr>
        <w:rFonts w:ascii="Arial" w:cs="Arial" w:eastAsia="Arial" w:hAnsi="Arial"/>
        <w:b/>
        <w:bCs/>
        <w:color w:val="DC2626"/>
        <w:sz w:val="18"/>
        <w:szCs w:val="18"/>
      </w:rPr>
      <w:t xml:space="preserve">tawf.finance  |  DRAFT — FILL IN BEFORE SUBMITTING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1A2E"/>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6E6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2026-03-15T06:43:34.267Z</dcterms:created>
  <dcterms:modified xsi:type="dcterms:W3CDTF">2026-03-15T06:43:34.268Z</dcterms:modified>
</cp:coreProperties>
</file>

<file path=docProps/custom.xml><?xml version="1.0" encoding="utf-8"?>
<Properties xmlns="http://schemas.openxmlformats.org/officeDocument/2006/custom-properties" xmlns:vt="http://schemas.openxmlformats.org/officeDocument/2006/docPropsVTypes"/>
</file>