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2C3A63"/>
          <w:sz w:val="44"/>
        </w:rPr>
        <w:t>Guía 360° de Marketing Digital para Pymes (2026)</w:t>
      </w:r>
    </w:p>
    <w:p>
      <w:pPr>
        <w:spacing w:after="40"/>
      </w:pPr>
      <w:r>
        <w:rPr>
          <w:rFonts w:ascii="Calibri" w:hAnsi="Calibri"/>
          <w:b/>
          <w:color w:val="55594C"/>
          <w:sz w:val="20"/>
        </w:rPr>
        <w:t>Ámbito:</w:t>
      </w:r>
      <w:r>
        <w:rPr>
          <w:rFonts w:ascii="Calibri" w:hAnsi="Calibri"/>
          <w:b w:val="0"/>
          <w:color w:val="55594C"/>
          <w:sz w:val="20"/>
        </w:rPr>
        <w:t xml:space="preserve"> auditoría y hoja de ruta práctica para una pyme que está modernizando su marketing digital — SEO, SEM/Ads, Funnels comerciales, redes orgánicas y visibilidad en IA generativa (AEO/GEO).</w:t>
      </w:r>
    </w:p>
    <w:p>
      <w:pPr>
        <w:spacing w:after="40"/>
      </w:pPr>
      <w:r>
        <w:rPr>
          <w:rFonts w:ascii="Calibri" w:hAnsi="Calibri"/>
          <w:b/>
          <w:color w:val="55594C"/>
          <w:sz w:val="20"/>
        </w:rPr>
        <w:t>Fecha del estudio:</w:t>
      </w:r>
      <w:r>
        <w:rPr>
          <w:rFonts w:ascii="Calibri" w:hAnsi="Calibri"/>
          <w:b w:val="0"/>
          <w:color w:val="55594C"/>
          <w:sz w:val="20"/>
        </w:rPr>
        <w:t xml:space="preserve"> 18 de agosto de 2026.</w:t>
      </w:r>
    </w:p>
    <w:p>
      <w:pPr>
        <w:spacing w:after="40"/>
      </w:pPr>
      <w:r>
        <w:rPr>
          <w:rFonts w:ascii="Calibri" w:hAnsi="Calibri"/>
          <w:b/>
          <w:color w:val="55594C"/>
          <w:sz w:val="20"/>
        </w:rPr>
        <w:t>Preparado para:</w:t>
      </w:r>
      <w:r>
        <w:rPr>
          <w:rFonts w:ascii="Calibri" w:hAnsi="Calibri"/>
          <w:b w:val="0"/>
          <w:color w:val="55594C"/>
          <w:sz w:val="20"/>
        </w:rPr>
        <w:t xml:space="preserve"> Estudio Jurídico Boutique — Defensor del Contribuyente, y como playbook reutilizable para futuras auditorías internas.</w:t>
      </w:r>
    </w:p>
    <w:p>
      <w:pPr>
        <w:spacing w:after="40"/>
      </w:pPr>
      <w:r>
        <w:rPr>
          <w:rFonts w:ascii="Calibri" w:hAnsi="Calibri"/>
          <w:b/>
          <w:color w:val="55594C"/>
          <w:sz w:val="20"/>
        </w:rPr>
        <w:t>Cómo se construyó:</w:t>
      </w:r>
      <w:r>
        <w:rPr>
          <w:rFonts w:ascii="Calibri" w:hAnsi="Calibri"/>
          <w:b w:val="0"/>
          <w:color w:val="55594C"/>
          <w:sz w:val="20"/>
        </w:rPr>
        <w:t xml:space="preserve"> metodología cruzada de tres skills internas de auditoría (SEO, Meta Ads, Negocio Digital/Funnels), más investigación del estado del arte en BigSEO (agencia-sem, agencia-seo, agencia-funnels), Yoast (SEO Premium + Yoast SEO AI+), Metrix Digital (casos de estudio con cifras reales) y las políticas/cambios recientes de Google, Meta, TikTok y LinkedIn. Fuentes completas al final del documento.</w:t>
      </w: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Cómo usar esta guía</w:t>
      </w:r>
    </w:p>
    <w:p>
      <w:pPr>
        <w:pStyle w:val="ListNumber"/>
        <w:spacing w:after="40"/>
      </w:pPr>
      <w:r>
        <w:rPr>
          <w:rFonts w:ascii="Calibri" w:hAnsi="Calibri"/>
          <w:b/>
          <w:color w:val="1A1E17"/>
          <w:sz w:val="22"/>
        </w:rPr>
        <w:t>No es para ejecutar tú solo/a.</w:t>
      </w:r>
      <w:r>
        <w:rPr>
          <w:rFonts w:ascii="Calibri" w:hAnsi="Calibri"/>
          <w:b w:val="0"/>
          <w:color w:val="1A1E17"/>
          <w:sz w:val="22"/>
        </w:rPr>
        <w:t xml:space="preserve"> Es el documento que le entregas a la agencia o a los profesionales que van a intervenir (SEO, growth/paid media, CRO/copy, desarrollo web) para que todos trabajen sobre el mismo diagnóstico y las mismas prioridades.</w:t>
      </w:r>
    </w:p>
    <w:p>
      <w:pPr>
        <w:pStyle w:val="ListNumber"/>
        <w:spacing w:after="40"/>
      </w:pPr>
      <w:r>
        <w:rPr>
          <w:rFonts w:ascii="Calibri" w:hAnsi="Calibri"/>
          <w:b/>
          <w:color w:val="1A1E17"/>
          <w:sz w:val="22"/>
        </w:rPr>
        <w:t>Sigue el orden de las secciones.</w:t>
      </w:r>
      <w:r>
        <w:rPr>
          <w:rFonts w:ascii="Calibri" w:hAnsi="Calibri"/>
          <w:b w:val="0"/>
          <w:color w:val="1A1E17"/>
          <w:sz w:val="22"/>
        </w:rPr>
        <w:t xml:space="preserve"> Está ordenado igual que el orden real de ejecución: primero medición (sin esto no puedes ver si algo funciona), luego SEO y SEM, luego funnels/CRO, luego redes orgánicas, y al final AEO (visibilidad en IA).</w:t>
      </w:r>
    </w:p>
    <w:p>
      <w:pPr>
        <w:pStyle w:val="ListNumber"/>
        <w:spacing w:after="40"/>
      </w:pPr>
      <w:r>
        <w:rPr>
          <w:rFonts w:ascii="Calibri" w:hAnsi="Calibri"/>
          <w:b/>
          <w:color w:val="1A1E17"/>
          <w:sz w:val="22"/>
        </w:rPr>
        <w:t>Cada sección tiene un checklist accionable</w:t>
      </w:r>
      <w:r>
        <w:rPr>
          <w:rFonts w:ascii="Calibri" w:hAnsi="Calibri"/>
          <w:b w:val="0"/>
          <w:color w:val="1A1E17"/>
          <w:sz w:val="22"/>
        </w:rPr>
        <w:t xml:space="preserve"> con prioridad, cómo verificar que está hecho, y un recurso oficial para quien lo ejecute.</w:t>
      </w:r>
    </w:p>
    <w:p>
      <w:pPr>
        <w:pStyle w:val="ListNumber"/>
        <w:spacing w:after="40"/>
      </w:pPr>
      <w:r>
        <w:rPr>
          <w:rFonts w:ascii="Calibri" w:hAnsi="Calibri"/>
          <w:b/>
          <w:color w:val="1A1E17"/>
          <w:sz w:val="22"/>
        </w:rPr>
        <w:t>La Sección 8</w:t>
      </w:r>
      <w:r>
        <w:rPr>
          <w:rFonts w:ascii="Calibri" w:hAnsi="Calibri"/>
          <w:b w:val="0"/>
          <w:color w:val="1A1E17"/>
          <w:sz w:val="22"/>
        </w:rPr>
        <w:t xml:space="preserve"> es la matriz de priorización — úsala para decidir qué se hace esta semana, este mes y este trimestre en lugar de intentarlo todo a la vez.</w:t>
      </w:r>
    </w:p>
    <w:p>
      <w:pPr>
        <w:pStyle w:val="ListNumber"/>
        <w:spacing w:after="40"/>
      </w:pPr>
      <w:r>
        <w:rPr>
          <w:rFonts w:ascii="Calibri" w:hAnsi="Calibri"/>
          <w:b/>
          <w:color w:val="1A1E17"/>
          <w:sz w:val="22"/>
        </w:rPr>
        <w:t>La Sección 9</w:t>
      </w:r>
      <w:r>
        <w:rPr>
          <w:rFonts w:ascii="Calibri" w:hAnsi="Calibri"/>
          <w:b w:val="0"/>
          <w:color w:val="1A1E17"/>
          <w:sz w:val="22"/>
        </w:rPr>
        <w:t xml:space="preserve"> es la checklist maestra imprimible, pensada para llevar a una reunión con la agencia.</w:t>
      </w: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1. Medición y Tracking — la base de todo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 xml:space="preserve">Sin esto, ninguna cifra de las siguientes secciones es confiable. Es lo primero que se corrige en cualquier traspaso o auditoría (así se hizo ya en </w:t>
      </w:r>
      <w:r>
        <w:rPr>
          <w:rFonts w:ascii="Calibri" w:hAnsi="Calibri"/>
          <w:i/>
          <w:color w:val="1A1E17"/>
          <w:sz w:val="22"/>
        </w:rPr>
        <w:t>Alcance Técnico — SEO</w:t>
      </w:r>
      <w:r>
        <w:rPr>
          <w:rFonts w:ascii="Calibri" w:hAnsi="Calibri"/>
          <w:b w:val="0"/>
          <w:color w:val="1A1E17"/>
          <w:sz w:val="22"/>
        </w:rPr>
        <w:t xml:space="preserve"> y en </w:t>
      </w:r>
      <w:r>
        <w:rPr>
          <w:rFonts w:ascii="Calibri" w:hAnsi="Calibri"/>
          <w:i/>
          <w:color w:val="1A1E17"/>
          <w:sz w:val="22"/>
        </w:rPr>
        <w:t>Alcance Técnico — Landing/Meta Ads</w:t>
      </w:r>
      <w:r>
        <w:rPr>
          <w:rFonts w:ascii="Calibri" w:hAnsi="Calibri"/>
          <w:b w:val="0"/>
          <w:color w:val="1A1E17"/>
          <w:sz w:val="22"/>
        </w:rPr>
        <w:t xml:space="preserve"> de este mismo repositorio).</w:t>
      </w:r>
    </w:p>
    <w:p>
      <w:pPr>
        <w:spacing w:after="160"/>
      </w:pPr>
      <w:r>
        <w:rPr>
          <w:rFonts w:ascii="Calibri" w:hAnsi="Calibri"/>
          <w:i/>
          <w:color w:val="55594C"/>
          <w:sz w:val="19"/>
        </w:rPr>
        <w:t>[Diagrama de flujo — disponible en la versión Markdown/GitHub de este documento]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Tarea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Cómo verificar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Recurso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Crítica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Un solo contenedor de Google Tag Manager (sin duplicados)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Ver código fuente de la home: debe aparecer una sola vez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GTM-XXXXXXX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1155CC"/>
                  <w:u w:val="single"/>
                  <w:rFonts w:ascii="Calibri"/>
                </w:rPr>
                <w:t>Ayuda de Google Tag Manager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Crítica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Meta Pixel instalado en todo el sitio + evento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Lead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>/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Purchase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configurado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Meta Events Manager → "Probar eventos"</w:t>
            </w:r>
          </w:p>
        </w:tc>
        <w:tc>
          <w:tcPr>
            <w:tcW w:type="dxa" w:w="2160"/>
          </w:tcPr>
          <w:p>
            <w:r/>
            <w:hyperlink r:id="rId10">
              <w:r>
                <w:rPr>
                  <w:color w:val="1155CC"/>
                  <w:u w:val="single"/>
                  <w:rFonts w:ascii="Calibri"/>
                </w:rPr>
                <w:t>Conversions API (Meta for Developers)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Crítica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Conversions API (server-side) activa, no solo el Pixel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En 2026, entre 20-35% de las conversiones que reporta Meta ya son modeladas por IA porque el tracking 1:1 post-iOS es incompleto; sin CAPI, se subestima el rendimiento real de las campañas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ídem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GA4 configurado con eventos de conversión (no solo "page_view")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GA4 → Informes → Interacción → Eventos</w:t>
            </w:r>
          </w:p>
        </w:tc>
        <w:tc>
          <w:tcPr>
            <w:tcW w:type="dxa" w:w="2160"/>
          </w:tcPr>
          <w:p>
            <w:r/>
            <w:hyperlink r:id="rId11">
              <w:r>
                <w:rPr>
                  <w:color w:val="1155CC"/>
                  <w:u w:val="single"/>
                  <w:rFonts w:ascii="Calibri"/>
                </w:rPr>
                <w:t>Google Analytics Academy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Search Console verificado y vinculado a GA4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Search Console → Configuración → Vinculaciones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1155CC"/>
                  <w:u w:val="single"/>
                  <w:rFonts w:ascii="Calibri"/>
                </w:rPr>
                <w:t>Search Console Help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UTMs estandarizados para toda campaña paga (naming convention único)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Revisar reportes: si hay 5 formas distintas de escribir la misma campaña, no hay convención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WhatsApp Business API — revisar el modelo de cobro vigente antes de automatizar mensajería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Desde el 1-jul-2025 el cobro pasó de por conversación a por plantilla; desde el 1-ago-2026 se cobra también por mensajes de Meta Business Agent</w:t>
            </w:r>
          </w:p>
        </w:tc>
        <w:tc>
          <w:tcPr>
            <w:tcW w:type="dxa" w:w="2160"/>
          </w:tcPr>
          <w:p>
            <w:r/>
            <w:hyperlink r:id="rId13">
              <w:r>
                <w:rPr>
                  <w:color w:val="1155CC"/>
                  <w:u w:val="single"/>
                  <w:rFonts w:ascii="Calibri"/>
                </w:rPr>
                <w:t>WhatsApp Business Platform — pricing</w:t>
              </w:r>
            </w:hyperlink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2. SEO — On-page, técnico, local y de autoridad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 xml:space="preserve">Metodología de referencia: la skill interna </w:t>
      </w:r>
      <w:r>
        <w:rPr>
          <w:rFonts w:ascii="Consolas" w:hAnsi="Consolas"/>
          <w:b w:val="0"/>
          <w:color w:val="1A1E17"/>
          <w:sz w:val="22"/>
        </w:rPr>
        <w:t>auditoria-seo</w:t>
      </w:r>
      <w:r>
        <w:rPr>
          <w:rFonts w:ascii="Calibri" w:hAnsi="Calibri"/>
          <w:b w:val="0"/>
          <w:color w:val="1A1E17"/>
          <w:sz w:val="22"/>
        </w:rPr>
        <w:t xml:space="preserve"> (8 categorías ponderadas: meta tags, headings, imágenes, enlaces, Open Graph, schema, técnico, contenido) más el enfoque de BigSEO (keyword research → arquitectura → auditoría técnica → implementación priorizada por retorno → autoridad).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Tarea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Cómo verificar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Recurso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Title (50-60 car.) y meta description (150-160 car.) únicos por página, con keyword objetivo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Screaming Frog / revisión manual del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&lt;head&gt;</w:t>
            </w:r>
          </w:p>
        </w:tc>
        <w:tc>
          <w:tcPr>
            <w:tcW w:type="dxa" w:w="2160"/>
          </w:tcPr>
          <w:p>
            <w:r/>
            <w:hyperlink r:id="rId14">
              <w:r>
                <w:rPr>
                  <w:color w:val="1155CC"/>
                  <w:u w:val="single"/>
                  <w:rFonts w:ascii="Calibri"/>
                </w:rPr>
                <w:t>Search Central — Cómo escribir buenos títulos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Un solo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&lt;h1&gt;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por página, jerarquía de encabezados sin saltos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Inspeccionar HTML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Core Web Vitals en verde (LCP, INP, CLS)</w:t>
            </w:r>
          </w:p>
        </w:tc>
        <w:tc>
          <w:tcPr>
            <w:tcW w:type="dxa" w:w="2160"/>
          </w:tcPr>
          <w:p>
            <w:r/>
            <w:hyperlink r:id="rId15">
              <w:r>
                <w:rPr>
                  <w:color w:val="1155CC"/>
                  <w:u w:val="single"/>
                  <w:rFonts w:ascii="Calibri"/>
                </w:rPr>
                <w:t>PageSpeed Insights</w:t>
              </w:r>
            </w:hyperlink>
          </w:p>
        </w:tc>
        <w:tc>
          <w:tcPr>
            <w:tcW w:type="dxa" w:w="2160"/>
          </w:tcPr>
          <w:p>
            <w:r/>
            <w:hyperlink r:id="rId16">
              <w:r>
                <w:rPr>
                  <w:color w:val="1155CC"/>
                  <w:u w:val="single"/>
                  <w:rFonts w:ascii="Calibri"/>
                </w:rPr>
                <w:t>Search Central — Core Web Vitals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Datos estructurados (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LocalBusiness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Service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FAQPage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Article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>) sin errores</w:t>
            </w:r>
          </w:p>
        </w:tc>
        <w:tc>
          <w:tcPr>
            <w:tcW w:type="dxa" w:w="2160"/>
          </w:tcPr>
          <w:p>
            <w:r/>
            <w:hyperlink r:id="rId17">
              <w:r>
                <w:rPr>
                  <w:color w:val="1155CC"/>
                  <w:u w:val="single"/>
                  <w:rFonts w:ascii="Calibri"/>
                </w:rPr>
                <w:t>Rich Results Test</w:t>
              </w:r>
            </w:hyperlink>
          </w:p>
        </w:tc>
        <w:tc>
          <w:tcPr>
            <w:tcW w:type="dxa" w:w="2160"/>
          </w:tcPr>
          <w:p>
            <w:r/>
            <w:hyperlink r:id="rId18">
              <w:r>
                <w:rPr>
                  <w:color w:val="1155CC"/>
                  <w:u w:val="single"/>
                  <w:rFonts w:ascii="Calibri"/>
                </w:rPr>
                <w:t>Search Central — Structured Data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Ficha de Google Business Profile reclamada, con fotos recientes y respuesta a reseñas (positivas y negativas)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Buscar el negocio en Google Maps</w:t>
            </w:r>
          </w:p>
        </w:tc>
        <w:tc>
          <w:tcPr>
            <w:tcW w:type="dxa" w:w="2160"/>
          </w:tcPr>
          <w:p>
            <w:r/>
            <w:hyperlink r:id="rId19">
              <w:r>
                <w:rPr>
                  <w:color w:val="1155CC"/>
                  <w:u w:val="single"/>
                  <w:rFonts w:ascii="Calibri"/>
                </w:rPr>
                <w:t>Ayuda de Google Business Profile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Sitemap.xml y robots.txt accesibles y correctos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color w:val="1A1E17"/>
                <w:sz w:val="21"/>
              </w:rPr>
              <w:t>tudominio.cl/sitemap.xml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y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/robots.txt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Enlazado interno: sin páginas huérfanas (sin enlaces entrantes)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Auditoría de enlaces internos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Perfil de backlinks sin señales de "SEO enlatado" (compra masiva de enlaces de baja calidad)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Revisar en Search Console → Enlaces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Nueva (2026)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Google Search Console → activar/desactivar el control granular de AI Overviews/AI Mode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según la estrategia de la marca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Search Console → Configuración</w:t>
            </w:r>
          </w:p>
        </w:tc>
        <w:tc>
          <w:tcPr>
            <w:tcW w:type="dxa" w:w="2160"/>
          </w:tcPr>
          <w:p>
            <w:r/>
            <w:hyperlink r:id="rId20">
              <w:r>
                <w:rPr>
                  <w:color w:val="1155CC"/>
                  <w:u w:val="single"/>
                  <w:rFonts w:ascii="Calibri"/>
                </w:rPr>
                <w:t>Blog Google — nuevos controles para sitios web</w:t>
              </w:r>
            </w:hyperlink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Contexto 2025-2026 que cambia las reglas: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E17"/>
          <w:sz w:val="22"/>
        </w:rPr>
        <w:t>Google confirmó 3 *core updates* en 2025 y 4 en lo que va de 2026 — el de mayo 2026 fue el más volátil registrado. Google insiste en el mismo criterio de siempre: contenido *"helpful, people-first"* con E-E-A-T; no hay penalización dirigida a un nicho, hay recálculo de relevancia. (</w:t>
      </w:r>
      <w:hyperlink r:id="rId21">
        <w:r>
          <w:rPr>
            <w:color w:val="1155CC"/>
            <w:u w:val="single"/>
            <w:rFonts w:ascii="Calibri"/>
          </w:rPr>
          <w:t>Search Central — Core Updates</w:t>
        </w:r>
      </w:hyperlink>
      <w:r>
        <w:rPr>
          <w:rFonts w:ascii="Calibri" w:hAnsi="Calibri"/>
          <w:b w:val="0"/>
          <w:color w:val="1A1E17"/>
          <w:sz w:val="22"/>
        </w:rPr>
        <w:t>)</w:t>
      </w:r>
    </w:p>
    <w:p>
      <w:pPr>
        <w:pStyle w:val="ListBullet"/>
        <w:spacing w:after="40"/>
      </w:pPr>
      <w:r>
        <w:rPr>
          <w:rFonts w:ascii="Calibri" w:hAnsi="Calibri"/>
          <w:b/>
          <w:color w:val="1A1E17"/>
          <w:sz w:val="22"/>
        </w:rPr>
        <w:t>AI Overviews ya aparece en ~48% de las búsquedas</w:t>
      </w:r>
      <w:r>
        <w:rPr>
          <w:rFonts w:ascii="Calibri" w:hAnsi="Calibri"/>
          <w:b w:val="0"/>
          <w:color w:val="1A1E17"/>
          <w:sz w:val="22"/>
        </w:rPr>
        <w:t xml:space="preserve"> y reduce el CTR orgánico entre 34% y 61% cuando se muestra. En AI Mode (búsqueda conversacional) el zero-click llega a 93%. Pero las páginas </w:t>
      </w:r>
      <w:r>
        <w:rPr>
          <w:rFonts w:ascii="Calibri" w:hAnsi="Calibri"/>
          <w:b/>
          <w:color w:val="1A1E17"/>
          <w:sz w:val="22"/>
        </w:rPr>
        <w:t>citadas</w:t>
      </w:r>
      <w:r>
        <w:rPr>
          <w:rFonts w:ascii="Calibri" w:hAnsi="Calibri"/>
          <w:b w:val="0"/>
          <w:color w:val="1A1E17"/>
          <w:sz w:val="22"/>
        </w:rPr>
        <w:t xml:space="preserve"> dentro de un AI Overview reciben ~120% más clics por impresión que las no citadas en la misma consulta — la meta ya no es solo "salir primero", es "ser la fuente que la IA cita". (</w:t>
      </w:r>
      <w:hyperlink r:id="rId22">
        <w:r>
          <w:rPr>
            <w:color w:val="1155CC"/>
            <w:u w:val="single"/>
            <w:rFonts w:ascii="Calibri"/>
          </w:rPr>
          <w:t>Search Central — AI Features</w:t>
        </w:r>
      </w:hyperlink>
      <w:r>
        <w:rPr>
          <w:rFonts w:ascii="Calibri" w:hAnsi="Calibri"/>
          <w:b w:val="0"/>
          <w:color w:val="1A1E17"/>
          <w:sz w:val="22"/>
        </w:rPr>
        <w:t>)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E17"/>
          <w:sz w:val="22"/>
        </w:rPr>
        <w:t>En junio 2025 Google retiró soporte a 7 tipos de datos estructurados (Book Actions, Course Info, Claim Review, Estimated Salary, Learning Video, Special Announcement, Vehicle Listing) — no afecta ranking, sí la apariencia visual en resultados.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E17"/>
          <w:sz w:val="22"/>
        </w:rPr>
        <w:t>Google Business Profile rediseñó su panel: ya no muestra las keywords de bajo volumen (11-100 impresiones), lo que complica medir búsquedas locales de nicho.</w:t>
      </w: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3. SEM / Publicidad paga — Google, Meta, TikTok, LinkedIn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 xml:space="preserve">Metodología de referencia: BigSEO trabaja las 4 plataformas con el mismo esqueleto (auditoría → segmentación por temperatura de tráfico → set-up → optimización continua), midiendo siempre CPA, ROAS, CPC y CTR — y aclarando que el objetivo final no son visitas sino </w:t>
      </w:r>
      <w:r>
        <w:rPr>
          <w:rFonts w:ascii="Calibri" w:hAnsi="Calibri"/>
          <w:b/>
          <w:color w:val="1A1E17"/>
          <w:sz w:val="22"/>
        </w:rPr>
        <w:t>leads cualificados y ventas</w:t>
      </w:r>
      <w:r>
        <w:rPr>
          <w:rFonts w:ascii="Calibri" w:hAnsi="Calibri"/>
          <w:b w:val="0"/>
          <w:color w:val="1A1E17"/>
          <w:sz w:val="22"/>
        </w:rPr>
        <w:t>.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Checklist por plataforma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Plataforma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Qué revisar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Recurso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Google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¿Performance Max sin feed usa Smart Bidding Exploration? Desde el 15-jun-2026 está disponible global y Google reporta +18-19% en conversiones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hyperlink r:id="rId23">
              <w:r>
                <w:rPr>
                  <w:color w:val="1155CC"/>
                  <w:u w:val="single"/>
                  <w:rFonts w:ascii="Calibri"/>
                </w:rPr>
                <w:t>Google Ads Help — Announcements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Google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Revisar el nuevo "Promotion Mode" (beta) para fechas peak y el cambio de optimización de targets en campañas limitadas por presupuesto (vigente desde 17-ago-2026)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hyperlink r:id="rId24">
              <w:r>
                <w:rPr>
                  <w:color w:val="1155CC"/>
                  <w:u w:val="single"/>
                  <w:rFonts w:ascii="Calibri"/>
                </w:rPr>
                <w:t>PPC Land — Promotion Mode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Meta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¿Advantage+ está activo? Es el modo por defecto desde feb-2025 para Ventas, App y Leads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hyperlink r:id="rId25">
              <w:r>
                <w:rPr>
                  <w:color w:val="1155CC"/>
                  <w:u w:val="single"/>
                  <w:rFonts w:ascii="Calibri"/>
                </w:rPr>
                <w:t>Meta Business Help Center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Meta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¿Se usa Advantage+ Creative (video generado desde imágenes, doblaje IA)? Reduce hasta 40% el costo de producción de creatividades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Meta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Coherencia Ad ↔ Landing (message match, oferta, CTA) — puntuar 0-100, cualquier cosa bajo 70 es un problema serio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Ver skill interna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auditoria-meta-ads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TikTok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¿La cuenta usa GMV Max? Desde jul-2025 es el único tipo de campaña soportado para vender vía TikTok Shop (se retiró la puja manual)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 (si venden producto)</w:t>
            </w:r>
          </w:p>
        </w:tc>
        <w:tc>
          <w:tcPr>
            <w:tcW w:type="dxa" w:w="2160"/>
          </w:tcPr>
          <w:p>
            <w:r/>
            <w:hyperlink r:id="rId26">
              <w:r>
                <w:rPr>
                  <w:color w:val="1155CC"/>
                  <w:u w:val="single"/>
                  <w:rFonts w:ascii="Calibri"/>
                </w:rPr>
                <w:t>TikTok Ads Manager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TikTok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Smart+ con auto-selección de creatividades y vista previa antes de publicar (desde ene-2026)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TikTok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Si se usa contenido generado/modificado significativamente con IA, debe declararse en el anuncio (política vigente)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Crítica (cumplimiento)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LinkedIn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¿Se probó LinkedIn Accelerate? Genera campaña completa (creatividades, audiencias, puja) a partir de una descripción del producto — útil para equipos sin especialista dedicado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hyperlink r:id="rId27">
              <w:r>
                <w:rPr>
                  <w:color w:val="1155CC"/>
                  <w:u w:val="single"/>
                  <w:rFonts w:ascii="Calibri"/>
                </w:rPr>
                <w:t>LinkedIn Accelerate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LinkedIn Ads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Segmentación "Career Journey" (señales de cambio de trabajo/ascenso reciente) — relevante si el público objetivo son tomadores de decisión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Baja/Media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</w:tbl>
    <w:p>
      <w:pPr>
        <w:spacing w:after="80"/>
      </w:pP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Benchmarks generales de referencia (si no hay datos propios del sector)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Métrica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Bueno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Excelente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CTR (link)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1.5-2%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2-3%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&gt;3%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CPC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US$0,50-1,50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&lt;US$0,50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&lt;US$0,30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Tasa de conversión landing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2-5%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5-10%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&gt;10%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ROAS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2-3x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3-5x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&gt;5x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4. Funnels comerciales — de la captación a la retención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 xml:space="preserve">Metodología de referencia: skill interna </w:t>
      </w:r>
      <w:r>
        <w:rPr>
          <w:rFonts w:ascii="Consolas" w:hAnsi="Consolas"/>
          <w:b w:val="0"/>
          <w:color w:val="1A1E17"/>
          <w:sz w:val="22"/>
        </w:rPr>
        <w:t>auditoria-negocio</w:t>
      </w:r>
      <w:r>
        <w:rPr>
          <w:rFonts w:ascii="Calibri" w:hAnsi="Calibri"/>
          <w:b w:val="0"/>
          <w:color w:val="1A1E17"/>
          <w:sz w:val="22"/>
        </w:rPr>
        <w:t xml:space="preserve"> (customer journey completo, pre y post-venta) + el enfoque de BigSEO Funnels (auditoría del embudo → lead magnets → automatización y lead scoring → copywriting → CRO/testing).</w:t>
      </w:r>
    </w:p>
    <w:p>
      <w:pPr>
        <w:spacing w:after="160"/>
      </w:pPr>
      <w:r>
        <w:rPr>
          <w:rFonts w:ascii="Calibri" w:hAnsi="Calibri"/>
          <w:i/>
          <w:color w:val="55594C"/>
          <w:sz w:val="19"/>
        </w:rPr>
        <w:t>[Diagrama de flujo — disponible en la versión Markdown/GitHub de este documento]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Tarea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Cómo verificar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Recurso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Formulario de captación simplificado para tráfico frío (2-3 campos máx.)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Contar campos del formulario principal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Un CTA principal, repetido 2-3 veces, con texto específico (no "Enviar")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Revisión visual de la landing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Prueba social visible (testimonios con nombre/foto/resultado, cifras de casos resueltos)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Revisión visual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Secuencia de nurturing por email para leads que no convierten en el primer contacto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Revisar automatización activa en el CRM/ESP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Flujo post-venta: onboarding, solicitud de reseña, comunicación de retención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Preguntar: "¿qué recibe un cliente después de comprar?" — si la respuesta es "nada", es un hallazgo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A/B testing activo en al menos un punto del funnel (no cambiar "a ojo")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El patrón más replicable de los casos de Metrix Digital: nunca cambian algo sin medirlo contra un control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Baja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CRM integrado con formularios y Ads (sin carga manual de leads)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Nota del estado del arte (Metrix Digital, 5 casos con cifras verificadas):</w:t>
      </w:r>
      <w:r>
        <w:rPr>
          <w:rFonts w:ascii="Calibri" w:hAnsi="Calibri"/>
          <w:b w:val="0"/>
          <w:color w:val="1A1E17"/>
          <w:sz w:val="22"/>
        </w:rPr>
        <w:t xml:space="preserve"> las intervenciones de mayor ROI no son rediseños completos, son cambios quirúrgicos y medidos: un sticky CTA en ficha de producto (+374% CTR, +234% conversión), indexación de URLs geolocalizadas (+85% clics orgánicos), optimización de metadata para AI Overview (+23% sesiones orgánicas). El patrón: </w:t>
      </w:r>
      <w:r>
        <w:rPr>
          <w:rFonts w:ascii="Calibri" w:hAnsi="Calibri"/>
          <w:b/>
          <w:color w:val="1A1E17"/>
          <w:sz w:val="22"/>
        </w:rPr>
        <w:t>fija una meta numérica antes de auditar, muestra el antes/después con cifra exacta, prioriza 1-2 cambios de alto impacto sobre un rediseño integral.</w:t>
      </w: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5. Contenido y redes sociales orgánicas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Checklist por plataforma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Plataforma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Qué cambió en 2025-2026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Qué hacer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Facebook/Instagram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Reels "same-day" (publicados el mismo día de una tendencia) reciben +25% más alcance vs. Q3 2025; alcance orgánico mediano de una Página sigue bajo el 2% de seguidores. Desde dic-2025, "Your Algorithm" en Instagram permite a los usuarios editar manualmente qué temas les prioriza el algoritmo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Publicar en el momento de la tendencia, no días después; diversificar temas para no depender de un solo ángulo que el usuario pueda "bajar"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TikTok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El umbral de finalización de video para viralizar subió de ~50% a ~70%; guardados y compartidos pesan más que los likes; el video se testea primero con los propios seguidores antes de expandirse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Priorizar hooks de los primeros 2 segundos y videos cortos con alta tasa de finalización sobre videos largos con más likes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TikTok Shop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Ventas de pymes en EEUU subieron 66% en 2025 (215.000+ pymes activas); 83% de compradores descubrió un producto nuevo ahí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Evaluar si el catálogo de productos/servicios tiene sentido en formato TikTok Shop, incluso para servicios (lead magnets, cursos)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LinkedIn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Rediseño del algoritmo (marzo 2026) con comprensión semántica tipo LLM: detecta mejor el "engagement bait" y prioriza autenticidad. Posts con documentos (carruseles PDF) logran ~40% de engagement vs. ~11% de otros formatos; los enlaces externos en el post penalizan el alcance (~60% menos)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Publicar el enlace en el primer comentario, no en el post; usar formato documento/carrusel para contenido educativo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LinkedIn (B2B)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6 de cada 10 compradores B2B descubren marcas vía contenido de creadores independientes, no de la cuenta corporativa; 3 de cada 4 decisores confían más en *thought leadership* que en publicidad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Activar perfiles personales del equipo (socios, abogados, consultores) como canal de distribución, no solo la página de empresa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Recurso oficial de formación:</w:t>
      </w:r>
      <w:r>
        <w:rPr>
          <w:rFonts w:ascii="Calibri" w:hAnsi="Calibri"/>
          <w:b w:val="0"/>
          <w:color w:val="1A1E17"/>
          <w:sz w:val="22"/>
        </w:rPr>
        <w:t xml:space="preserve"> </w:t>
      </w:r>
      <w:hyperlink r:id="rId28">
        <w:r>
          <w:rPr>
            <w:color w:val="1155CC"/>
            <w:u w:val="single"/>
            <w:rFonts w:ascii="Calibri"/>
          </w:rPr>
          <w:t>Meta Blueprint</w:t>
        </w:r>
      </w:hyperlink>
      <w:r>
        <w:rPr>
          <w:rFonts w:ascii="Calibri" w:hAnsi="Calibri"/>
          <w:b w:val="0"/>
          <w:color w:val="1A1E17"/>
          <w:sz w:val="22"/>
        </w:rPr>
        <w:t xml:space="preserve"> · </w:t>
      </w:r>
      <w:hyperlink r:id="rId29">
        <w:r>
          <w:rPr>
            <w:color w:val="1155CC"/>
            <w:u w:val="single"/>
            <w:rFonts w:ascii="Calibri"/>
          </w:rPr>
          <w:t>LinkedIn Marketing Labs</w:t>
        </w:r>
      </w:hyperlink>
      <w:r>
        <w:rPr>
          <w:rFonts w:ascii="Calibri" w:hAnsi="Calibri"/>
          <w:b w:val="0"/>
          <w:color w:val="1A1E17"/>
          <w:sz w:val="22"/>
        </w:rPr>
        <w:t xml:space="preserve"> · </w:t>
      </w:r>
      <w:hyperlink r:id="rId30">
        <w:r>
          <w:rPr>
            <w:color w:val="1155CC"/>
            <w:u w:val="single"/>
            <w:rFonts w:ascii="Calibri"/>
          </w:rPr>
          <w:t>Canal de YouTube de Google Search Central</w:t>
        </w:r>
      </w:hyperlink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6. AEO/GEO — visibilidad de marca en IA generativa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>Esta es la sección más nueva del estado del arte y la que menos pymes están auditando todavía. Yoast ya la empaquetó como producto separado (</w:t>
      </w:r>
      <w:r>
        <w:rPr>
          <w:rFonts w:ascii="Calibri" w:hAnsi="Calibri"/>
          <w:b/>
          <w:color w:val="1A1E17"/>
          <w:sz w:val="22"/>
        </w:rPr>
        <w:t>Yoast SEO AI+</w:t>
      </w:r>
      <w:r>
        <w:rPr>
          <w:rFonts w:ascii="Calibri" w:hAnsi="Calibri"/>
          <w:b w:val="0"/>
          <w:color w:val="1A1E17"/>
          <w:sz w:val="22"/>
        </w:rPr>
        <w:t>, US$358,80/año) porque detectaron la demanda.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Qué es y por qué importa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>Cuando alguien le pregunta a ChatGPT, Gemini, Claude o Perplexity "¿qué estudio jurídico me ayuda con deuda del SII en Concepción?", esa respuesta se genera citando (o no) fuentes. AEO/GEO es optimizar para aparecer citado ahí, no solo en el buscador.</w:t>
      </w:r>
    </w:p>
    <w:p>
      <w:pPr>
        <w:spacing w:before="160" w:after="120"/>
      </w:pPr>
      <w:r>
        <w:rPr>
          <w:rFonts w:ascii="Calibri" w:hAnsi="Calibri"/>
          <w:b/>
          <w:color w:val="2C3A63"/>
          <w:sz w:val="25"/>
        </w:rPr>
        <w:t>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Prioridad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Tarea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Cómo verificar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Recurso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Generar y publicar un archivo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llms.txt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— formato estándar para que los sistemas de IA "lean" el sitio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color w:val="1A1E17"/>
                <w:sz w:val="21"/>
              </w:rPr>
              <w:t>tudominio.cl/llms.txt</w:t>
            </w:r>
          </w:p>
        </w:tc>
        <w:tc>
          <w:tcPr>
            <w:tcW w:type="dxa" w:w="2160"/>
          </w:tcPr>
          <w:p>
            <w:r/>
            <w:hyperlink r:id="rId31">
              <w:r>
                <w:rPr>
                  <w:color w:val="1155CC"/>
                  <w:u w:val="single"/>
                  <w:rFonts w:ascii="Calibri"/>
                </w:rPr>
                <w:t>Yoast — sobre llms.txt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Contenido evergreen con intención informativa clara (preguntas frecuentes reales, respuestas directas antes del desarrollo) — es lo que Metrix Digital reporta que generó +23% de sesiones orgánicas vía IA en uno de sus casos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Revisar si los artículos del blog responden la pregunta en el primer párrafo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Monitorear menciones de marca en ChatGPT/Gemini/Claude/Perplexity (manual o vía herramienta)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Preguntar directamente a cada asistente "¿qué sabes de [marca]?" y registrar la respuesta cada mes</w:t>
            </w:r>
          </w:p>
        </w:tc>
        <w:tc>
          <w:tcPr>
            <w:tcW w:type="dxa" w:w="2160"/>
          </w:tcPr>
          <w:p>
            <w:r/>
            <w:hyperlink r:id="rId31">
              <w:r>
                <w:rPr>
                  <w:color w:val="1155CC"/>
                  <w:u w:val="single"/>
                  <w:rFonts w:ascii="Calibri"/>
                </w:rPr>
                <w:t>Yoast AI Brand Insights (versión gratuita de escaneo)</w:t>
              </w:r>
            </w:hyperlink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Datos estructurados completos (Sección 2) — siguen siendo la señal técnica más clara para que la IA entienda de qué trata el sitio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Rich Results Test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ídem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Baja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Decidir política de "Bot Blocker": ¿se permite que sistemas de IA entrenen con el contenido del sitio?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Revisar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robots.txt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/ configuración del CMS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—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7. Novedades regulatorias/plataforma a vigilar (no accionables hoy, pero con impacto)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Plataforma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Cambio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Por qué importa a una pyme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TikTok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El 22-ene-2026 cerró la venta de la operación en EEUU (Oracle/Silver Lake/MGX controlan 45%, ByteDance &lt;20%)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El riesgo regulatorio de depender de TikTok como canal de venta (TikTok Shop) bajó considerablemente — es más seguro invertir en la plataforma que hace 12 meses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WhatsApp Business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Cambio de cobro por conversación a cobro por plantilla (jul-2025) y suma de cobro por mensajes de Meta Business Agent (ago-2026)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Si se está automatizando atención por WhatsApp, revisar el costo real antes de escalar volumen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Google Search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Cuatro *core updates* solo en lo que va de 2026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La cadencia de cambios se aceleró — una auditoría SEO "de una vez al año" ya no alcanza; revisar tráfico orgánico mensualmente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8. Matriz de priorización — qué hacer primero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>Basado en el patrón más consistente del estado del arte (BigSEO y Metrix Digital coinciden): medir antes de intervenir, e intervenir con cambios quirúrgicos de alto impacto antes que con rediseños completos.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Esfuerzo bajo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Esfuerzo 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Impacto alto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🟢 </w:t>
            </w:r>
            <w:r>
              <w:rPr>
                <w:rFonts w:ascii="Calibri" w:hAnsi="Calibri"/>
                <w:b/>
                <w:color w:val="1A1E17"/>
                <w:sz w:val="21"/>
              </w:rPr>
              <w:t>Hacer ya: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consolidar tracking (Sección 1), reclamar/optimizar Google Business Profile, activar Advantage+/GMV Max si ya se pauta, simplificar formulario de captación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🟡 </w:t>
            </w:r>
            <w:r>
              <w:rPr>
                <w:rFonts w:ascii="Calibri" w:hAnsi="Calibri"/>
                <w:b/>
                <w:color w:val="1A1E17"/>
                <w:sz w:val="21"/>
              </w:rPr>
              <w:t>Planificar este trimestre: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Core Web Vitals, migración de datos estructurados, </w:t>
            </w:r>
            <w:r>
              <w:rPr>
                <w:rFonts w:ascii="Consolas" w:hAnsi="Consolas"/>
                <w:b w:val="0"/>
                <w:color w:val="1A1E17"/>
                <w:sz w:val="21"/>
              </w:rPr>
              <w:t>llms.txt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+ contenido evergreen AEO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1A1E17"/>
                <w:sz w:val="21"/>
              </w:rPr>
              <w:t>Impacto bajo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🔵 </w:t>
            </w:r>
            <w:r>
              <w:rPr>
                <w:rFonts w:ascii="Calibri" w:hAnsi="Calibri"/>
                <w:b/>
                <w:color w:val="1A1E17"/>
                <w:sz w:val="21"/>
              </w:rPr>
              <w:t>Delegar / hacer en paralelo: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ajustes de meta description, formato documento en LinkedIn, publicar enlace en comentarios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 xml:space="preserve">🔴 </w:t>
            </w:r>
            <w:r>
              <w:rPr>
                <w:rFonts w:ascii="Calibri" w:hAnsi="Calibri"/>
                <w:b/>
                <w:color w:val="1A1E17"/>
                <w:sz w:val="21"/>
              </w:rPr>
              <w:t>Evitar por ahora:</w:t>
            </w:r>
            <w:r>
              <w:rPr>
                <w:rFonts w:ascii="Calibri" w:hAnsi="Calibri"/>
                <w:b w:val="0"/>
                <w:color w:val="1A1E17"/>
                <w:sz w:val="21"/>
              </w:rPr>
              <w:t xml:space="preserve"> rediseño completo de la web sin datos que lo justifiquen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9. Checklist maestro imprimible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>*(Para llevar a la reunión de coordinación con la agencia o los profesionales a cargo de cada frente.)*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Tracking:</w:t>
      </w:r>
      <w:r>
        <w:rPr>
          <w:rFonts w:ascii="Calibri" w:hAnsi="Calibri"/>
          <w:b w:val="0"/>
          <w:color w:val="1A1E17"/>
          <w:sz w:val="22"/>
        </w:rPr>
        <w:t xml:space="preserve"> un solo GTM, Meta Pixel + CAPI, GA4 con eventos de conversión, Search Console vinculado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SEO técnico:</w:t>
      </w:r>
      <w:r>
        <w:rPr>
          <w:rFonts w:ascii="Calibri" w:hAnsi="Calibri"/>
          <w:b w:val="0"/>
          <w:color w:val="1A1E17"/>
          <w:sz w:val="22"/>
        </w:rPr>
        <w:t xml:space="preserve"> Core Web Vitals en verde, sitemap/robots.txt correctos, schema sin errores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SEO on-page:</w:t>
      </w:r>
      <w:r>
        <w:rPr>
          <w:rFonts w:ascii="Calibri" w:hAnsi="Calibri"/>
          <w:b w:val="0"/>
          <w:color w:val="1A1E17"/>
          <w:sz w:val="22"/>
        </w:rPr>
        <w:t xml:space="preserve"> title/meta description únicos, un H1 por página, alt en imágenes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SEO local:</w:t>
      </w:r>
      <w:r>
        <w:rPr>
          <w:rFonts w:ascii="Calibri" w:hAnsi="Calibri"/>
          <w:b w:val="0"/>
          <w:color w:val="1A1E17"/>
          <w:sz w:val="22"/>
        </w:rPr>
        <w:t xml:space="preserve"> Google Business Profile reclamado, con fotos y respuesta a reseñas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SEM:</w:t>
      </w:r>
      <w:r>
        <w:rPr>
          <w:rFonts w:ascii="Calibri" w:hAnsi="Calibri"/>
          <w:b w:val="0"/>
          <w:color w:val="1A1E17"/>
          <w:sz w:val="22"/>
        </w:rPr>
        <w:t xml:space="preserve"> Advantage+/Performance Max/Smart+ activados donde aplique, message match Ad↔Landing ≥70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Funnels:</w:t>
      </w:r>
      <w:r>
        <w:rPr>
          <w:rFonts w:ascii="Calibri" w:hAnsi="Calibri"/>
          <w:b w:val="0"/>
          <w:color w:val="1A1E17"/>
          <w:sz w:val="22"/>
        </w:rPr>
        <w:t xml:space="preserve"> formulario simplificado, CTA único y específico, prueba social visible, flujo post-venta definido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Redes orgánicas:</w:t>
      </w:r>
      <w:r>
        <w:rPr>
          <w:rFonts w:ascii="Calibri" w:hAnsi="Calibri"/>
          <w:b w:val="0"/>
          <w:color w:val="1A1E17"/>
          <w:sz w:val="22"/>
        </w:rPr>
        <w:t xml:space="preserve"> calendario de contenidos activo, formato documento/video priorizado, perfiles personales activados en LinkedIn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AEO:</w:t>
      </w:r>
      <w:r>
        <w:rPr>
          <w:rFonts w:ascii="Calibri" w:hAnsi="Calibri"/>
          <w:b w:val="0"/>
          <w:color w:val="1A1E17"/>
          <w:sz w:val="22"/>
        </w:rPr>
        <w:t xml:space="preserve"> </w:t>
      </w:r>
      <w:r>
        <w:rPr>
          <w:rFonts w:ascii="Consolas" w:hAnsi="Consolas"/>
          <w:b w:val="0"/>
          <w:color w:val="1A1E17"/>
          <w:sz w:val="22"/>
        </w:rPr>
        <w:t>llms.txt</w:t>
      </w:r>
      <w:r>
        <w:rPr>
          <w:rFonts w:ascii="Calibri" w:hAnsi="Calibri"/>
          <w:b w:val="0"/>
          <w:color w:val="1A1E17"/>
          <w:sz w:val="22"/>
        </w:rPr>
        <w:t xml:space="preserve"> publicado, contenido con respuestas directas, monitoreo mensual de menciones en IA</w:t>
      </w:r>
    </w:p>
    <w:p>
      <w:pPr>
        <w:pStyle w:val="ListBullet"/>
        <w:spacing w:after="40"/>
      </w:pPr>
      <w:r>
        <w:rPr>
          <w:rFonts w:ascii="Calibri" w:hAnsi="Calibri"/>
          <w:color w:val="1A1E17"/>
          <w:sz w:val="22"/>
        </w:rPr>
        <w:t xml:space="preserve">☐  </w:t>
      </w:r>
      <w:r>
        <w:rPr>
          <w:rFonts w:ascii="Calibri" w:hAnsi="Calibri"/>
          <w:b/>
          <w:color w:val="1A1E17"/>
          <w:sz w:val="22"/>
        </w:rPr>
        <w:t>Gobernanza:</w:t>
      </w:r>
      <w:r>
        <w:rPr>
          <w:rFonts w:ascii="Calibri" w:hAnsi="Calibri"/>
          <w:b w:val="0"/>
          <w:color w:val="1A1E17"/>
          <w:sz w:val="22"/>
        </w:rPr>
        <w:t xml:space="preserve"> reporte mensual con las métricas de la Sección 3 (CTR, CPC, ROAS, tasa de conversión) comparadas contra el mes anterior</w:t>
      </w: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10. Coordinación de profesionales</w:t>
      </w:r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>Roles típicos que intervienen en una modernización 360° y qué pedirle a cada uno como entregable verificable: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0D3C8"/>
          <w:left w:val="single" w:sz="4" w:color="D0D3C8"/>
          <w:bottom w:val="single" w:sz="4" w:color="D0D3C8"/>
          <w:right w:val="single" w:sz="4" w:color="D0D3C8"/>
          <w:insideH w:val="single" w:sz="4" w:color="D0D3C8"/>
          <w:insideV w:val="single" w:sz="4" w:color="D0D3C8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Qué debe entregar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color w:val="2C3A63"/>
                <w:sz w:val="21"/>
              </w:rPr>
              <w:t>Cómo se verifica (Sección de esta guía)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Desarrollador/a web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Tracking consolidado, Core Web Vitals en verde, schema implementado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Secciones 1 y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Auditoría técnica + on-page + estrategia de contenido informacional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Sección 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Growth / Paid Media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Estructura de campañas por plataforma, benchmarks propios vs. Sección 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Sección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CRO / Copywriter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Landing con message match, formulario simplificado, pruebas A/B documentadas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Sección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Community manager / Contenido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Calendario editorial, formatos priorizados por plataforma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Sección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Responsable de marca (interno)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Monitoreo mensual de menciones en IA, decisión de política Bot Blocker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A1E17"/>
                <w:sz w:val="21"/>
              </w:rPr>
              <w:t>Sección 6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Calibri" w:hAnsi="Calibri"/>
          <w:b/>
          <w:color w:val="2C3A63"/>
          <w:sz w:val="30"/>
        </w:rPr>
        <w:t>Fuentes consultadas</w:t>
      </w:r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Metodología base (skills internas):</w:t>
      </w:r>
      <w:r>
        <w:rPr>
          <w:rFonts w:ascii="Calibri" w:hAnsi="Calibri"/>
          <w:b w:val="0"/>
          <w:color w:val="1A1E17"/>
          <w:sz w:val="22"/>
        </w:rPr>
        <w:t xml:space="preserve"> </w:t>
      </w:r>
      <w:r>
        <w:rPr>
          <w:rFonts w:ascii="Consolas" w:hAnsi="Consolas"/>
          <w:b w:val="0"/>
          <w:color w:val="1A1E17"/>
          <w:sz w:val="22"/>
        </w:rPr>
        <w:t>auditoria-seo</w:t>
      </w:r>
      <w:r>
        <w:rPr>
          <w:rFonts w:ascii="Calibri" w:hAnsi="Calibri"/>
          <w:b w:val="0"/>
          <w:color w:val="1A1E17"/>
          <w:sz w:val="22"/>
        </w:rPr>
        <w:t xml:space="preserve">, </w:t>
      </w:r>
      <w:r>
        <w:rPr>
          <w:rFonts w:ascii="Consolas" w:hAnsi="Consolas"/>
          <w:b w:val="0"/>
          <w:color w:val="1A1E17"/>
          <w:sz w:val="22"/>
        </w:rPr>
        <w:t>auditoria-meta-ads</w:t>
      </w:r>
      <w:r>
        <w:rPr>
          <w:rFonts w:ascii="Calibri" w:hAnsi="Calibri"/>
          <w:b w:val="0"/>
          <w:color w:val="1A1E17"/>
          <w:sz w:val="22"/>
        </w:rPr>
        <w:t xml:space="preserve">, </w:t>
      </w:r>
      <w:r>
        <w:rPr>
          <w:rFonts w:ascii="Consolas" w:hAnsi="Consolas"/>
          <w:b w:val="0"/>
          <w:color w:val="1A1E17"/>
          <w:sz w:val="22"/>
        </w:rPr>
        <w:t>auditoria-negocio</w:t>
      </w:r>
      <w:r>
        <w:rPr>
          <w:rFonts w:ascii="Calibri" w:hAnsi="Calibri"/>
          <w:b w:val="0"/>
          <w:color w:val="1A1E17"/>
          <w:sz w:val="22"/>
        </w:rPr>
        <w:t xml:space="preserve"> (kits internos de auditoría).</w:t>
      </w:r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Agencias y estado del arte:</w:t>
      </w:r>
    </w:p>
    <w:p>
      <w:pPr>
        <w:pStyle w:val="ListBullet"/>
        <w:spacing w:after="40"/>
      </w:pPr>
      <w:hyperlink r:id="rId32">
        <w:r>
          <w:rPr>
            <w:color w:val="1155CC"/>
            <w:u w:val="single"/>
            <w:rFonts w:ascii="Calibri"/>
          </w:rPr>
          <w:t>BigSEO — Agencia SEM</w:t>
        </w:r>
      </w:hyperlink>
    </w:p>
    <w:p>
      <w:pPr>
        <w:pStyle w:val="ListBullet"/>
        <w:spacing w:after="40"/>
      </w:pPr>
      <w:hyperlink r:id="rId33">
        <w:r>
          <w:rPr>
            <w:color w:val="1155CC"/>
            <w:u w:val="single"/>
            <w:rFonts w:ascii="Calibri"/>
          </w:rPr>
          <w:t>BigSEO — Agencia SEO</w:t>
        </w:r>
      </w:hyperlink>
    </w:p>
    <w:p>
      <w:pPr>
        <w:pStyle w:val="ListBullet"/>
        <w:spacing w:after="40"/>
      </w:pPr>
      <w:hyperlink r:id="rId34">
        <w:r>
          <w:rPr>
            <w:color w:val="1155CC"/>
            <w:u w:val="single"/>
            <w:rFonts w:ascii="Calibri"/>
          </w:rPr>
          <w:t>BigSEO — Agencia Funnels</w:t>
        </w:r>
      </w:hyperlink>
    </w:p>
    <w:p>
      <w:pPr>
        <w:pStyle w:val="ListBullet"/>
        <w:spacing w:after="40"/>
      </w:pPr>
      <w:hyperlink r:id="rId31">
        <w:r>
          <w:rPr>
            <w:color w:val="1155CC"/>
            <w:u w:val="single"/>
            <w:rFonts w:ascii="Calibri"/>
          </w:rPr>
          <w:t>Yoast</w:t>
        </w:r>
      </w:hyperlink>
      <w:r>
        <w:rPr>
          <w:rFonts w:ascii="Calibri" w:hAnsi="Calibri"/>
          <w:b w:val="0"/>
          <w:color w:val="1A1E17"/>
          <w:sz w:val="22"/>
        </w:rPr>
        <w:t xml:space="preserve"> (Yoast SEO Premium, Yoast SEO AI+)</w:t>
      </w:r>
    </w:p>
    <w:p>
      <w:pPr>
        <w:pStyle w:val="ListBullet"/>
        <w:spacing w:after="40"/>
      </w:pPr>
      <w:hyperlink r:id="rId35">
        <w:r>
          <w:rPr>
            <w:color w:val="1155CC"/>
            <w:u w:val="single"/>
            <w:rFonts w:ascii="Calibri"/>
          </w:rPr>
          <w:t>Metrix Digital — Casos de Estudio</w:t>
        </w:r>
      </w:hyperlink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Google:</w:t>
      </w:r>
    </w:p>
    <w:p>
      <w:pPr>
        <w:pStyle w:val="ListBullet"/>
        <w:spacing w:after="40"/>
      </w:pPr>
      <w:hyperlink r:id="rId21">
        <w:r>
          <w:rPr>
            <w:color w:val="1155CC"/>
            <w:u w:val="single"/>
            <w:rFonts w:ascii="Calibri"/>
          </w:rPr>
          <w:t>Search Central — Core Updates</w:t>
        </w:r>
      </w:hyperlink>
    </w:p>
    <w:p>
      <w:pPr>
        <w:pStyle w:val="ListBullet"/>
        <w:spacing w:after="40"/>
      </w:pPr>
      <w:hyperlink r:id="rId22">
        <w:r>
          <w:rPr>
            <w:color w:val="1155CC"/>
            <w:u w:val="single"/>
            <w:rFonts w:ascii="Calibri"/>
          </w:rPr>
          <w:t>Search Central — AI Features and Your Website</w:t>
        </w:r>
      </w:hyperlink>
    </w:p>
    <w:p>
      <w:pPr>
        <w:pStyle w:val="ListBullet"/>
        <w:spacing w:after="40"/>
      </w:pPr>
      <w:hyperlink r:id="rId23">
        <w:r>
          <w:rPr>
            <w:color w:val="1155CC"/>
            <w:u w:val="single"/>
            <w:rFonts w:ascii="Calibri"/>
          </w:rPr>
          <w:t>Google Ads Help — Announcements</w:t>
        </w:r>
      </w:hyperlink>
    </w:p>
    <w:p>
      <w:pPr>
        <w:pStyle w:val="ListBullet"/>
        <w:spacing w:after="40"/>
      </w:pPr>
      <w:hyperlink r:id="rId20">
        <w:r>
          <w:rPr>
            <w:color w:val="1155CC"/>
            <w:u w:val="single"/>
            <w:rFonts w:ascii="Calibri"/>
          </w:rPr>
          <w:t>Blog Google — New controls for website owners</w:t>
        </w:r>
      </w:hyperlink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Meta:</w:t>
      </w:r>
    </w:p>
    <w:p>
      <w:pPr>
        <w:pStyle w:val="ListBullet"/>
        <w:spacing w:after="40"/>
      </w:pPr>
      <w:hyperlink r:id="rId10">
        <w:r>
          <w:rPr>
            <w:color w:val="1155CC"/>
            <w:u w:val="single"/>
            <w:rFonts w:ascii="Calibri"/>
          </w:rPr>
          <w:t>Meta for Developers — Conversions API</w:t>
        </w:r>
      </w:hyperlink>
    </w:p>
    <w:p>
      <w:pPr>
        <w:pStyle w:val="ListBullet"/>
        <w:spacing w:after="40"/>
      </w:pPr>
      <w:hyperlink r:id="rId13">
        <w:r>
          <w:rPr>
            <w:color w:val="1155CC"/>
            <w:u w:val="single"/>
            <w:rFonts w:ascii="Calibri"/>
          </w:rPr>
          <w:t>WhatsApp Business Platform — Pricing</w:t>
        </w:r>
      </w:hyperlink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TikTok:</w:t>
      </w:r>
    </w:p>
    <w:p>
      <w:pPr>
        <w:pStyle w:val="ListBullet"/>
        <w:spacing w:after="40"/>
      </w:pPr>
      <w:hyperlink r:id="rId36">
        <w:r>
          <w:rPr>
            <w:color w:val="1155CC"/>
            <w:u w:val="single"/>
            <w:rFonts w:ascii="Calibri"/>
          </w:rPr>
          <w:t>TikTok Newsroom — TikTok Shop discovery</w:t>
        </w:r>
      </w:hyperlink>
    </w:p>
    <w:p>
      <w:pPr>
        <w:pStyle w:val="ListBullet"/>
        <w:spacing w:after="40"/>
      </w:pPr>
      <w:hyperlink r:id="rId26">
        <w:r>
          <w:rPr>
            <w:color w:val="1155CC"/>
            <w:u w:val="single"/>
            <w:rFonts w:ascii="Calibri"/>
          </w:rPr>
          <w:t>TikTok Ads Manager — Learning Center</w:t>
        </w:r>
      </w:hyperlink>
    </w:p>
    <w:p>
      <w:pPr>
        <w:spacing w:after="120"/>
      </w:pPr>
      <w:r>
        <w:rPr>
          <w:rFonts w:ascii="Calibri" w:hAnsi="Calibri"/>
          <w:b/>
          <w:color w:val="1A1E17"/>
          <w:sz w:val="22"/>
        </w:rPr>
        <w:t>LinkedIn:</w:t>
      </w:r>
    </w:p>
    <w:p>
      <w:pPr>
        <w:pStyle w:val="ListBullet"/>
        <w:spacing w:after="40"/>
      </w:pPr>
      <w:hyperlink r:id="rId27">
        <w:r>
          <w:rPr>
            <w:color w:val="1155CC"/>
            <w:u w:val="single"/>
            <w:rFonts w:ascii="Calibri"/>
          </w:rPr>
          <w:t>LinkedIn Accelerate</w:t>
        </w:r>
      </w:hyperlink>
    </w:p>
    <w:p>
      <w:pPr>
        <w:pStyle w:val="ListBullet"/>
        <w:spacing w:after="40"/>
      </w:pPr>
      <w:hyperlink r:id="rId37">
        <w:r>
          <w:rPr>
            <w:color w:val="1155CC"/>
            <w:u w:val="single"/>
            <w:rFonts w:ascii="Calibri"/>
          </w:rPr>
          <w:t>LinkedIn Business — B2B Institute</w:t>
        </w:r>
      </w:hyperlink>
    </w:p>
    <w:p>
      <w:pPr>
        <w:spacing w:after="120"/>
      </w:pPr>
      <w:r>
        <w:rPr>
          <w:rFonts w:ascii="Calibri" w:hAnsi="Calibri"/>
          <w:b w:val="0"/>
          <w:color w:val="1A1E17"/>
          <w:sz w:val="22"/>
        </w:rPr>
        <w:t xml:space="preserve">*Documento generado con investigación asistida por IA (Claude); cifras y fechas verificadas contra las fuentes citadas al 18-ago-2026. Ver Sección "Actualización periódica" en la skill </w:t>
      </w:r>
      <w:r>
        <w:rPr>
          <w:rFonts w:ascii="Consolas" w:hAnsi="Consolas"/>
          <w:b w:val="0"/>
          <w:color w:val="1A1E17"/>
          <w:sz w:val="22"/>
        </w:rPr>
        <w:t>auditoria-360-mkt-digital</w:t>
      </w:r>
      <w:r>
        <w:rPr>
          <w:rFonts w:ascii="Calibri" w:hAnsi="Calibri"/>
          <w:b w:val="0"/>
          <w:color w:val="1A1E17"/>
          <w:sz w:val="22"/>
        </w:rPr>
        <w:t xml:space="preserve"> para el proceso de refresco.*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E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upport.google.com/tagmanager" TargetMode="External"/><Relationship Id="rId10" Type="http://schemas.openxmlformats.org/officeDocument/2006/relationships/hyperlink" Target="https://developers.facebook.com/docs/marketing-api/conversions-api" TargetMode="External"/><Relationship Id="rId11" Type="http://schemas.openxmlformats.org/officeDocument/2006/relationships/hyperlink" Target="https://analytics.google.com/analytics/academy/" TargetMode="External"/><Relationship Id="rId12" Type="http://schemas.openxmlformats.org/officeDocument/2006/relationships/hyperlink" Target="https://support.google.com/webmasters" TargetMode="External"/><Relationship Id="rId13" Type="http://schemas.openxmlformats.org/officeDocument/2006/relationships/hyperlink" Target="https://developers.facebook.com/documentation/business-messaging/whatsapp/pricing" TargetMode="External"/><Relationship Id="rId14" Type="http://schemas.openxmlformats.org/officeDocument/2006/relationships/hyperlink" Target="https://developers.google.com/search/docs/appearance/title-link" TargetMode="External"/><Relationship Id="rId15" Type="http://schemas.openxmlformats.org/officeDocument/2006/relationships/hyperlink" Target="https://pagespeed.web.dev/" TargetMode="External"/><Relationship Id="rId16" Type="http://schemas.openxmlformats.org/officeDocument/2006/relationships/hyperlink" Target="https://developers.google.com/search/docs/appearance/core-web-vitals" TargetMode="External"/><Relationship Id="rId17" Type="http://schemas.openxmlformats.org/officeDocument/2006/relationships/hyperlink" Target="https://search.google.com/test/rich-results" TargetMode="External"/><Relationship Id="rId18" Type="http://schemas.openxmlformats.org/officeDocument/2006/relationships/hyperlink" Target="https://developers.google.com/search/docs/appearance/structured-data/intro-structured-data" TargetMode="External"/><Relationship Id="rId19" Type="http://schemas.openxmlformats.org/officeDocument/2006/relationships/hyperlink" Target="https://support.google.com/business" TargetMode="External"/><Relationship Id="rId20" Type="http://schemas.openxmlformats.org/officeDocument/2006/relationships/hyperlink" Target="https://blog.google/products-and-platforms/products/search/new-controls-website-owners/" TargetMode="External"/><Relationship Id="rId21" Type="http://schemas.openxmlformats.org/officeDocument/2006/relationships/hyperlink" Target="https://developers.google.com/search/docs/appearance/core-updates" TargetMode="External"/><Relationship Id="rId22" Type="http://schemas.openxmlformats.org/officeDocument/2006/relationships/hyperlink" Target="https://developers.google.com/search/docs/appearance/ai-features" TargetMode="External"/><Relationship Id="rId23" Type="http://schemas.openxmlformats.org/officeDocument/2006/relationships/hyperlink" Target="https://support.google.com/google-ads/announcements/9048695" TargetMode="External"/><Relationship Id="rId24" Type="http://schemas.openxmlformats.org/officeDocument/2006/relationships/hyperlink" Target="https://ppc.land/google-ads-gets-promotion-mode-and-a-major-bidding-overhaul-this-august/" TargetMode="External"/><Relationship Id="rId25" Type="http://schemas.openxmlformats.org/officeDocument/2006/relationships/hyperlink" Target="https://www.facebook.com/business/help" TargetMode="External"/><Relationship Id="rId26" Type="http://schemas.openxmlformats.org/officeDocument/2006/relationships/hyperlink" Target="https://ads.tiktok.com/business/learning/home" TargetMode="External"/><Relationship Id="rId27" Type="http://schemas.openxmlformats.org/officeDocument/2006/relationships/hyperlink" Target="https://business.linkedin.com/advertise/ads/linkedin-accelerate" TargetMode="External"/><Relationship Id="rId28" Type="http://schemas.openxmlformats.org/officeDocument/2006/relationships/hyperlink" Target="https://www.facebook.com/business/learn" TargetMode="External"/><Relationship Id="rId29" Type="http://schemas.openxmlformats.org/officeDocument/2006/relationships/hyperlink" Target="https://business.linkedin.com/marketing-solutions/success/marketing-resources/linkedin-marketing-labs" TargetMode="External"/><Relationship Id="rId30" Type="http://schemas.openxmlformats.org/officeDocument/2006/relationships/hyperlink" Target="https://www.youtube.com/@googlesearchcentral" TargetMode="External"/><Relationship Id="rId31" Type="http://schemas.openxmlformats.org/officeDocument/2006/relationships/hyperlink" Target="https://yoast.com/" TargetMode="External"/><Relationship Id="rId32" Type="http://schemas.openxmlformats.org/officeDocument/2006/relationships/hyperlink" Target="https://bigseo.com/agencia-sem/" TargetMode="External"/><Relationship Id="rId33" Type="http://schemas.openxmlformats.org/officeDocument/2006/relationships/hyperlink" Target="https://bigseo.com/agencia-seo/" TargetMode="External"/><Relationship Id="rId34" Type="http://schemas.openxmlformats.org/officeDocument/2006/relationships/hyperlink" Target="https://bigseo.com/agencia-funnels/" TargetMode="External"/><Relationship Id="rId35" Type="http://schemas.openxmlformats.org/officeDocument/2006/relationships/hyperlink" Target="https://www.metrix.digital/casos-de-estudio/" TargetMode="External"/><Relationship Id="rId36" Type="http://schemas.openxmlformats.org/officeDocument/2006/relationships/hyperlink" Target="https://newsroom.tiktok.com/tiktok-shop-is-where-shoppers-come-to-discover?lang=en" TargetMode="External"/><Relationship Id="rId37" Type="http://schemas.openxmlformats.org/officeDocument/2006/relationships/hyperlink" Target="https://business.linkedin.com/advertise/resources/b2b-institute/b2b-research/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