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ESTRUCTURA DE TAREAS Y ASSETS — CLICKUP</w:t>
      </w:r>
    </w:p>
    <w:p>
      <w:r>
        <w:rPr>
          <w:b/>
        </w:rPr>
        <w:t>Paid Media &amp; Growth · Grupo Alcázar Limitada (DDCON) × Constanza Marion Zárate Roloff</w:t>
      </w:r>
    </w:p>
    <w:p>
      <w:r>
        <w:t>Desglose operativo de tareas/assets derivado del Contrato de Prestación de Servicios Profesionales de Marketing Digital, Paid Media y Growth (versión ajustada, 17 de agosto de 2026). Diseñado para crear directamente el Espacio, las Carpetas, las Listas y las Tareas en ClickUp — herramienta de gestión que el Cliente se obliga a proveer conforme a la Cláusula Quinta letra d) del contrato.</w:t>
      </w:r>
    </w:p>
    <w:p>
      <w:r>
        <w:rPr>
          <w:b/>
        </w:rPr>
        <w:t xml:space="preserve">Espacio ClickUp sugerido: </w:t>
      </w:r>
      <w:r>
        <w:t>DDCON — Paid Media &amp; Growth (Constanza Zárate)</w:t>
      </w:r>
    </w:p>
    <w:p>
      <w:pPr>
        <w:pStyle w:val="Heading2"/>
      </w:pPr>
      <w:r>
        <w:t>Cómo usar este documento</w:t>
      </w:r>
    </w:p>
    <w:p>
      <w:r>
        <w:t>1. Cada encabezado “Carpeta” = una Carpeta (Folder) dentro del Espacio ClickUp.</w:t>
      </w:r>
    </w:p>
    <w:p>
      <w:r>
        <w:t>2. Cada encabezado “Lista” = una Lista (List) dentro de esa Carpeta.</w:t>
      </w:r>
    </w:p>
    <w:p>
      <w:r>
        <w:t>3. Cada fila de la tabla = una Tarea (Task); “Plataforma / Tag” se sugiere como Tag de ClickUp y “Naturaleza” como Campo Personalizado (Custom Field) tipo etiqueta.</w:t>
      </w:r>
    </w:p>
    <w:p>
      <w:r>
        <w:t>4. Para carga masiva, usar el CSV adjunto (Tareas-ClickUp-Import.csv) con el importador de ClickUp, ajustando las columnas al asistente vigente al momento de la carga.</w:t>
      </w:r>
    </w:p>
    <w:p>
      <w:pPr>
        <w:pStyle w:val="Heading2"/>
      </w:pPr>
      <w:r>
        <w:t>Leyenda</w:t>
      </w:r>
    </w:p>
    <w:p>
      <w:r>
        <w:rPr>
          <w:b/>
        </w:rPr>
        <w:t xml:space="preserve">Responsable — </w:t>
      </w:r>
      <w:r>
        <w:t>Prestadora (Constanza Zárate) / Cliente (DDCON) / Compartido (ambas partes). Filas sombreadas por responsable para lectura rápida.</w:t>
      </w:r>
    </w:p>
    <w:p>
      <w:r>
        <w:rPr>
          <w:b/>
        </w:rPr>
        <w:t xml:space="preserve">OMP — </w:t>
      </w:r>
      <w:r>
        <w:t>Obligación Mínima Permanente — activa todos los meses (Cláusula Octava)</w:t>
      </w:r>
    </w:p>
    <w:p>
      <w:r>
        <w:rPr>
          <w:b/>
        </w:rPr>
        <w:t xml:space="preserve">CF — </w:t>
      </w:r>
      <w:r>
        <w:t>Capacidad Flexible — se redistribuye vía Plan Mensual (Cláusula Séptima)</w:t>
      </w:r>
    </w:p>
    <w:p>
      <w:r>
        <w:rPr>
          <w:b/>
        </w:rPr>
        <w:t xml:space="preserve">GR — </w:t>
      </w:r>
      <w:r>
        <w:t>Gobernanza / Reporte — planificación, trazabilidad y reportabilidad</w:t>
      </w:r>
    </w:p>
    <w:p>
      <w:r>
        <w:rPr>
          <w:b/>
        </w:rPr>
        <w:t xml:space="preserve">ON — </w:t>
      </w:r>
      <w:r>
        <w:t>Onboarding — puntual, fase inicial de puesta en marcha</w:t>
      </w:r>
    </w:p>
    <w:p>
      <w:r>
        <w:rPr>
          <w:b/>
        </w:rPr>
        <w:t xml:space="preserve">AL — </w:t>
      </w:r>
      <w:r>
        <w:t>Alerta temprana — por demanda, ante incidencia (Cláusula Decimoséptima)</w:t>
      </w:r>
    </w:p>
    <w:p>
      <w:r>
        <w:rPr>
          <w:b/>
        </w:rPr>
        <w:t xml:space="preserve">OFF — </w:t>
      </w:r>
      <w:r>
        <w:t>Offboarding — puntual, al término del contrato (Cláusula Trigésima Primera)</w:t>
      </w:r>
    </w:p>
    <w:p>
      <w:r>
        <w:rPr>
          <w:b/>
        </w:rPr>
        <w:t xml:space="preserve">SE — </w:t>
      </w:r>
      <w:r>
        <w:t>Servicio Extraordinario — fuera de capacidad, requiere aprobación previa (Cláusula Vigésima Cuarta)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5112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N° de tareas</w:t>
            </w:r>
          </w:p>
        </w:tc>
      </w:tr>
      <w:tr>
        <w:tc>
          <w:tcPr>
            <w:tcW w:type="dxa" w:w="5112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89</w:t>
            </w:r>
          </w:p>
        </w:tc>
      </w:tr>
      <w:tr>
        <w:tc>
          <w:tcPr>
            <w:tcW w:type="dxa" w:w="5112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112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5112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 (previa aprobación Cliente)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511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108</w:t>
            </w:r>
          </w:p>
        </w:tc>
      </w:tr>
    </w:tbl>
    <w:p>
      <w:r>
        <w:br w:type="page"/>
      </w:r>
    </w:p>
    <w:p>
      <w:pPr>
        <w:pStyle w:val="Heading2"/>
      </w:pPr>
      <w:r>
        <w:t>Carpeta — 1. Estrategia, Planificación y Gobernanza</w:t>
      </w:r>
    </w:p>
    <w:p>
      <w:pPr>
        <w:pStyle w:val="Heading3"/>
      </w:pPr>
      <w:r>
        <w:t>Lista — Plan de Acción y Planificación Mensual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Construir el Plan de Acción de Marketing y Growth (estructura inicial)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(≤15 días corridos desde inicio)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 / ClickUp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C5.a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y actualizar el Plan de Acción (objetivo, acción, canal, responsable, prioridad, horas, plazo, estado, KPI)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ClickUp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C5.b / C5.c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Proveer y mantener la cuenta ClickUp (suscripción exclusiva Grupo Alcázar)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(inicio) / recurrente (suscripción)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ClickUp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C5.d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Definir el Plan Mensual (objetivos, prioridades, distribución de la Capacidad Mensual)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 (primeros 3 días hábiles)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C6.a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Proponer distribución de respaldo si no hay acuerdo de Plan Mensual a tiempo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 (contingente)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C6.c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Reportabilidad y Reuniones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Elaborar el Reporte Mensual (8 secciones mínimas)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 (primeros 5 días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C14.a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Realizar la reunión de seguimiento mensual (≥45 minutos)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Meet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C14.b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Redactar y enviar la minuta de la reunión mensual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 (≤2 días hábiles post-reunión)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C14.b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Registrar la bitácora/trazabilidad de horas por proyecto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 (junto al Reporte)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ClickUp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C7.c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Construir y mantener el Dashboard automático multiplataforma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 (desde el mes 2)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C8.a.iv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Realizar la Revisión Trimestral (resultados, KPIs, redistribución)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Trimestral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C15.a / C15.b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Actualizar el Plan de Acción tras la Revisión Trimestral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Trimestral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 / ClickUp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C15.c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Reportar trimestralmente el estado de indexación y hallazgos técnicos SEO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Trimestral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 Console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C12.c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Prioridades del Diagnóstico (fase inicial)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Implementar y validar Pixel de Meta + API de Conversiones (conversión real, no solo vistas)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(fase inicial)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Pixel / CAPI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C4.c.i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Evaluar y proponer plan de consolidación de dominios y mejora de indexación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(1er trimestre)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técnico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C4.c.ii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Implementar la conexión entre Meta Ads y el CRM Pipedrive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(fase inicial)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Pipedrive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C4.c.iii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Configurar Google Tag Manager, Search Console y GA4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(fase inicial)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GTM / GA4 / GSC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C4.c.iv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Documentar formalmente los cambios técnicos de las configuraciones anteriores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(fase inicial)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C4.c.iv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Reactivar y sostener el calendario de producción de contenido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 / 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Contenido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C4.c.v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Reportar avance de cada prioridad diagnosticada (causa, imputabilidad, acción correctiva)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C4.d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Alertas e Incidencias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caída relevante de rendimiento de campañas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(≤24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Paid Media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tracking roto o pixeles sin disparar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(≤12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presupuesto en riesgo de desperdicio significativo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(≤24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Paid Media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C17.a.iii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suspensión o riesgo de suspensión de cuentas publicitarias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(≤12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Paid Media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C17.a.iv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problemas de dominio, hosting o certificado SSL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(≤24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caída de formularios o puntos de captación de leads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(≤12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Tracking / CRM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C17.a.vi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campañas activas sin conversiones (período anómalo)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(≤24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Paid Media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C17.a.vii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deterioro significativo y sostenido de métricas clave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(≤24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C17.a.viii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anomalías relevantes en los datos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(≤24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C17.a.ix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Monitorear y alertar: pérdida o riesgo de pérdida de accesos a Activos Digitales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 (≤12 h hábiles)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Accesos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C17.a.x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Servicios Extraordinarios y Facturación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Definir alcance, tiempos y condiciones de un Servicio Extraordinario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C24.c.i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Formalizar honorarios adicionales por escrito antes de ejecutar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C24.c.ii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Aprobar expresamente el Servicio Extraordinario antes de su ejecución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C24.c.iii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Emitir la boleta de honorarios mensual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Facturación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C29.b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Pagar la boleta dentro de 5 días hábiles desde su emisión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Facturación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C29.b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2. Paid Media</w:t>
      </w:r>
    </w:p>
    <w:p>
      <w:pPr>
        <w:pStyle w:val="Heading3"/>
      </w:pPr>
      <w:r>
        <w:t>Lista — Google 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Definir arquitectura de campañas y conjuntos de anuncios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Segmentar y definir audiencias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Investigar y seleccionar palabras clave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Desarrollar y probar creatividades / copy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Ejecutar pruebas A/B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Administrar presupuesto dentro de los límites aprobados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C8.a.ii / 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Configurar y revisar conversiones y atribución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Diseñar estrategias de remarketing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Controlar desperdicio de presupuesto y aplicar exclusiones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Realizar análisis competitivo básico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Trimestral / bajo demanda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Solicitar aprobación para incremento de presupuesto &gt;20% o nueva plataforma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Google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C23.b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Meta 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Definir arquitectura de campañas y conjuntos de anuncios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Segmentar y definir audiencias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Investigar y seleccionar palabras clave / intereses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Desarrollar y probar creatividades / copy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campaña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Ejecutar pruebas A/B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Administrar presupuesto dentro de los límites aprobados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C8.a.ii / 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Configurar y revisar conversiones y atribución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Diseñar estrategias de remarketing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Controlar desperdicio de presupuesto y aplicar exclusiones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Realizar análisis competitivo básico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Trimestral / bajo demanda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Solicitar aprobación para incremento de presupuesto &gt;20% o nueva plataforma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demanda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Ads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C23.b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TikTok Ads / LinkedIn Ads (condicional)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Activar gestión en TikTok Ads y/o LinkedIn Ads cuando se acuerde expresamente</w:t>
            </w:r>
          </w:p>
        </w:tc>
        <w:tc>
          <w:tcPr>
            <w:tcW w:type="dxa" w:w="158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Compartido</w:t>
            </w:r>
          </w:p>
        </w:tc>
        <w:tc>
          <w:tcPr>
            <w:tcW w:type="dxa" w:w="72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(activación)</w:t>
            </w:r>
          </w:p>
        </w:tc>
        <w:tc>
          <w:tcPr>
            <w:tcW w:type="dxa" w:w="1440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TikTok / LinkedIn Ads</w:t>
            </w:r>
          </w:p>
        </w:tc>
        <w:tc>
          <w:tcPr>
            <w:tcW w:type="dxa" w:w="864"/>
            <w:shd w:val="clear" w:color="auto" w:fill="E2EFDA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C3.b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3. Tracking, Analítica y CRM</w:t>
      </w:r>
    </w:p>
    <w:p>
      <w:pPr>
        <w:pStyle w:val="Heading3"/>
      </w:pPr>
      <w:r>
        <w:t>Lista — Meta Pixel y API de Conversiones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Pixel y CAPI activos, midiendo conversión real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Meta Pixel / CAPI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 / C10.a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Google Tag 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la configuración de Google Tag Manager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GTM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 / C10.a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GA4 y Search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la configuración de GA4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GA4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C10.a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Gestionar Search Console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 Console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C10.a / C12.a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UTMs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el sistema de UTMs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UTMs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C10.a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CRM Pipedrive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la integración Pipedrive ↔ mailing (tag de seguimiento)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Pipedrive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C8.a.iii / C10.a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Conectar datos de adquisición con las etapas del embudo comercial (cuando esté disponible)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Pipedrive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C10.c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Detectar, informar y corregir problemas de medición o tracking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 / por demanda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Tracking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C10.b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4. Email Marketing</w:t>
      </w:r>
    </w:p>
    <w:p>
      <w:pPr>
        <w:pStyle w:val="Heading3"/>
      </w:pPr>
      <w:r>
        <w:t>Lista — MailChimp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Contratar y proveer la cuenta MailChimp a la Prestadora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(inicio) / recurrente (suscripción)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Integrar MailChimp con el CRM Pipedrive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(fase inicial)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 / Pipedrive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C11.c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segmentación e higiene de las bases de datos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Diseñar y ejecutar automatizaciones y envíos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Planificar contenido, asuntos y llamados a la acción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Reportar aperturas, clicks, conversiones y bajas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Verificar opción de baja (opt-out) efectiva en cada envío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envío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Mantener mailing activo sobre las listas propias del Cliente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OMP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C8.a.iii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5. SEO</w:t>
      </w:r>
    </w:p>
    <w:p>
      <w:pPr>
        <w:pStyle w:val="Heading3"/>
      </w:pPr>
      <w:r>
        <w:t>Lista — On-page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Optimizar metadata (title, meta description)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on-page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Optimizar estructura de encabezados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on-page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Gestionar enlaces internos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on-page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Corregir errores técnicos identificables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on-page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Investigar palabras clave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on-page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Optimizar contenido existente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on-page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Off-page y Backlinks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Construir backlinks conforme al Plan de Acción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SEO off-page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SEO Técnico y fuera de capacidad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Reportar trimestralmente el estado de indexación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Trimestral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 Console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C12.c</w:t>
            </w:r>
          </w:p>
        </w:tc>
      </w:tr>
      <w:tr>
        <w:tc>
          <w:tcPr>
            <w:tcW w:type="dxa" w:w="432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Migraciones o rediseños estructurales del sitio</w:t>
            </w:r>
          </w:p>
        </w:tc>
        <w:tc>
          <w:tcPr>
            <w:tcW w:type="dxa" w:w="1584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 (previa aprobación Cliente)</w:t>
            </w:r>
          </w:p>
        </w:tc>
        <w:tc>
          <w:tcPr>
            <w:tcW w:type="dxa" w:w="72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Bajo aprobación previa</w:t>
            </w:r>
          </w:p>
        </w:tc>
        <w:tc>
          <w:tcPr>
            <w:tcW w:type="dxa" w:w="144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864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C12.b</w:t>
            </w:r>
          </w:p>
        </w:tc>
      </w:tr>
      <w:tr>
        <w:tc>
          <w:tcPr>
            <w:tcW w:type="dxa" w:w="432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Desarrollos que excedan la plataforma actual (WordPress / Elementor)</w:t>
            </w:r>
          </w:p>
        </w:tc>
        <w:tc>
          <w:tcPr>
            <w:tcW w:type="dxa" w:w="1584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 (previa aprobación Cliente)</w:t>
            </w:r>
          </w:p>
        </w:tc>
        <w:tc>
          <w:tcPr>
            <w:tcW w:type="dxa" w:w="72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Bajo aprobación previa</w:t>
            </w:r>
          </w:p>
        </w:tc>
        <w:tc>
          <w:tcPr>
            <w:tcW w:type="dxa" w:w="144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Web</w:t>
            </w:r>
          </w:p>
        </w:tc>
        <w:tc>
          <w:tcPr>
            <w:tcW w:type="dxa" w:w="864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C12.b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6. Contenido y Redes Sociales</w:t>
      </w:r>
    </w:p>
    <w:p>
      <w:pPr>
        <w:pStyle w:val="Heading3"/>
      </w:pPr>
      <w:r>
        <w:t>Lista — Video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Definir estrategia y calendario de contenidos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Contenido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Grabar el material base (producción)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pieza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Video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 / C13.b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Editar video (montaje y adaptación de formatos)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pieza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Video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 / C13.b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Publicar video en los canales correspondientes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pieza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Video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 / C13.b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Blog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Producir y/u optimizar artículos de blog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Blog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Redes Sociales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Gestionar calendario y publicación en redes sociales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RRSS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C3.b / C13.a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Google Business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Publicar en Google Business Profile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Mensual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GBP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Gestionar y responder reseñas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GBP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Optimizar la ficha de Google Business Profile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/ trimestral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GBP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7. Landing Pages</w:t>
      </w:r>
    </w:p>
    <w:p>
      <w:pPr>
        <w:pStyle w:val="Heading3"/>
      </w:pPr>
      <w:r>
        <w:t>Lista — Creación y soporte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Crear landing page (dentro de capacidad)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proyecto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Landing Pages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C3.b / C13.a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Propagar y dar soporte a landing pages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Continuo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Landing Pages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C3.b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Ajustar u optimizar landing existente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Por proyecto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Landing Pages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C13.a</w:t>
            </w:r>
          </w:p>
        </w:tc>
      </w:tr>
      <w:tr>
        <w:tc>
          <w:tcPr>
            <w:tcW w:type="dxa" w:w="432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Desarrollar landing page compleja (externalizable con terceros)</w:t>
            </w:r>
          </w:p>
        </w:tc>
        <w:tc>
          <w:tcPr>
            <w:tcW w:type="dxa" w:w="1584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 (previa aprobación Cliente)</w:t>
            </w:r>
          </w:p>
        </w:tc>
        <w:tc>
          <w:tcPr>
            <w:tcW w:type="dxa" w:w="72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Puntual, bajo aviso previo</w:t>
            </w:r>
          </w:p>
        </w:tc>
        <w:tc>
          <w:tcPr>
            <w:tcW w:type="dxa" w:w="1440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Landing Pages</w:t>
            </w:r>
          </w:p>
        </w:tc>
        <w:tc>
          <w:tcPr>
            <w:tcW w:type="dxa" w:w="864"/>
            <w:shd w:val="clear" w:color="auto" w:fill="EDEDED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C7.h / C22</w:t>
            </w:r>
          </w:p>
        </w:tc>
      </w:tr>
    </w:tbl>
    <w:p>
      <w:pPr>
        <w:spacing w:after="80"/>
      </w:pPr>
    </w:p>
    <w:p>
      <w:pPr>
        <w:pStyle w:val="Heading2"/>
      </w:pPr>
      <w:r>
        <w:t>Carpeta — 8. Activos Digitales, Accesos y Herramientas</w:t>
      </w:r>
    </w:p>
    <w:p>
      <w:pPr>
        <w:pStyle w:val="Heading3"/>
      </w:pPr>
      <w:r>
        <w:t>Lista — Onboarding de herramientas y accesos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Contratar y proveer la cuenta ClickUp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(inicio)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ClickUp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C5.d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Contratar y proveer la cuenta MailChimp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(inicio)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MailChimp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C11.c</w:t>
            </w:r>
          </w:p>
        </w:tc>
      </w:tr>
      <w:tr>
        <w:tc>
          <w:tcPr>
            <w:tcW w:type="dxa" w:w="43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Entregar accesos a Google Ads, Meta Business, GA4, GTM, Search Console, Pipedrive, dominio y hosting</w:t>
            </w:r>
          </w:p>
        </w:tc>
        <w:tc>
          <w:tcPr>
            <w:tcW w:type="dxa" w:w="158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Cliente</w:t>
            </w:r>
          </w:p>
        </w:tc>
        <w:tc>
          <w:tcPr>
            <w:tcW w:type="dxa" w:w="72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(inicio)</w:t>
            </w:r>
          </w:p>
        </w:tc>
        <w:tc>
          <w:tcPr>
            <w:tcW w:type="dxa" w:w="1440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Accesos</w:t>
            </w:r>
          </w:p>
        </w:tc>
        <w:tc>
          <w:tcPr>
            <w:tcW w:type="dxa" w:w="864"/>
            <w:shd w:val="clear" w:color="auto" w:fill="FCE4D6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C18.a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Configurar accesos con 2FA usando exclusivamente datos entregados por el Cliente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ON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(inicio)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Accesos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C19.a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Verificar titularidad y control administrador de cada Activo Digital a nombre del Cliente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GR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Verificación trimestral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Accesos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C18.a / C18.c</w:t>
            </w:r>
          </w:p>
        </w:tc>
      </w:tr>
    </w:tbl>
    <w:p>
      <w:pPr>
        <w:spacing w:after="80"/>
      </w:pPr>
    </w:p>
    <w:p>
      <w:pPr>
        <w:pStyle w:val="Heading3"/>
      </w:pPr>
      <w:r>
        <w:t>Lista — Offboarding (al término del contrato)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Tarea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Nat.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Recurrencia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Plataforma / Tag</w:t>
            </w:r>
          </w:p>
        </w:tc>
        <w:tc>
          <w:tcPr>
            <w:tcW w:type="dxa" w:w="1704"/>
            <w:shd w:val="clear" w:color="auto" w:fill="D9E1F2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Cláusula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Confirmar titularidad y revocar los accesos de la Prestadora y su equipo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 (≤5 días hábiles desde término)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Accesos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C31.a.i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Entregar archivos fuente, creatividades y documentación técnica/estratégica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C31.a.ii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Entregar estado actualizado de campañas activas y su configuración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Paid Media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C31.a.iii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Entregar copia de dashboards, reportes históricos y Plan de Acción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C31.a.iv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Entregar listado de proyectos en curso, pendientes y bloqueados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C31.a.v</w:t>
            </w:r>
          </w:p>
        </w:tc>
      </w:tr>
      <w:tr>
        <w:tc>
          <w:tcPr>
            <w:tcW w:type="dxa" w:w="43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Entregar recomendaciones de continuidad</w:t>
            </w:r>
          </w:p>
        </w:tc>
        <w:tc>
          <w:tcPr>
            <w:tcW w:type="dxa" w:w="158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Prestadora</w:t>
            </w:r>
          </w:p>
        </w:tc>
        <w:tc>
          <w:tcPr>
            <w:tcW w:type="dxa" w:w="72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OFF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Puntual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General</w:t>
            </w:r>
          </w:p>
        </w:tc>
        <w:tc>
          <w:tcPr>
            <w:tcW w:type="dxa" w:w="864"/>
            <w:shd w:val="clear" w:color="auto" w:fill="DCE6F1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C31.a.vi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2B3A5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3D4E6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Tareas ClickUp — Paid Media &amp; Growth</dc:title>
  <dc:subject/>
  <dc:creator>Estudio Jurídico Boutique - Defensor del Contribuyente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