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unito Sans" w:hAnsi="Nunito Sans"/>
          <w:b/>
          <w:color w:val="00B4C8"/>
          <w:sz w:val="22"/>
        </w:rPr>
        <w:t>DEFENSOR DEL CONTRIBUYENTE</w:t>
      </w:r>
    </w:p>
    <w:p>
      <w:r>
        <w:rPr>
          <w:rFonts w:ascii="Nunito Sans" w:hAnsi="Nunito Sans"/>
          <w:b/>
          <w:color w:val="FF7B00"/>
          <w:sz w:val="52"/>
        </w:rPr>
        <w:t>Plan de ajustes post-CAE y backlog ClickUp</w:t>
      </w:r>
    </w:p>
    <w:p>
      <w:r>
        <w:rPr>
          <w:rFonts w:ascii="Nunito Sans" w:hAnsi="Nunito Sans"/>
          <w:color w:val="1A3A5C"/>
          <w:sz w:val="28"/>
        </w:rPr>
        <w:t>Punto 1 — descuento del alcance CAE y tareas por responsable</w:t>
      </w:r>
    </w:p>
    <w:p>
      <w:r>
        <w:rPr>
          <w:rFonts w:ascii="Nunito Sans" w:hAnsi="Nunito Sans"/>
          <w:color w:val="4A5068"/>
          <w:sz w:val="20"/>
        </w:rPr>
        <w:t>18-08-2026  ·  Uso interno · Fuente única: Auditoría de cuenta Meta Ads, 17-08-2026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</w:tcPr>
          <w:p>
            <w:pPr>
              <w:spacing w:before="120" w:after="40"/>
            </w:pPr>
            <w:r>
              <w:rPr>
                <w:rFonts w:ascii="Nunito Sans" w:hAnsi="Nunito Sans"/>
                <w:b/>
                <w:color w:val="FF7B00"/>
                <w:sz w:val="21"/>
              </w:rPr>
              <w:t>Ajuste de alcance CAE</w:t>
            </w:r>
          </w:p>
          <w:p>
            <w:pPr>
              <w:spacing w:after="120"/>
            </w:pPr>
            <w:r>
              <w:rPr>
                <w:rFonts w:ascii="Nunito Sans" w:hAnsi="Nunito Sans"/>
                <w:color w:val="4A5068"/>
                <w:sz w:val="21"/>
              </w:rPr>
              <w:t>Las 3 campañas CAE (Estrategia Centralizada, Prescripción, Defensa) no se eliminan del informe: siguen siendo el mejor dato de eficiencia probado de la cuenta (costo por conversación 2-3x mejor que la campaña activa) y se mantienen como banco de aprendizaje y de audiencia. Se descuentan como palanca de alcance inmediato: su oferta y creativos citan condiciones de la deuda CAE vigentes hasta abril de 2026, hoy desactualizadas. Verificado contra la cuenta real vía Meta MCP (18-08-2026): las 3 campañas siguen PAUSED / delivery: off, sin errores de entrega ni rechazo de Meta — no es un bloqueo técnico de la plataforma, es una decisión de negocio pendiente de actualización de oferta por parte del Cliente-Estudio.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1. Registro de cambios sobre la Auditoría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Cambio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Nota de ajuste al inicio del informe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auditoria-cuenta-meta-ads.md / .html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Documentar que CAE no se elimina, pero se descuenta como palanca inmediata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Aclaración en "hallazgo más caro": el dato de eficiencia CAE es histórico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Sección "Los dos hallazgos que más cuestan"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Evitar lectura como recomendación de reactivación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"Reactivar las 3 campañas CAE" sale del checklist Alto; se reemplaza por "Pausar/reducir Diagnósticos Gratuitos"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Checklist priorizado (.md y .html)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La reactivación ya no es ejecutable sin actualizar oferta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4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Orden de prioridad del README, ítem 2 reescrito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README.md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La prioridad 2 pasa a ser refrescar el creativo activo, no reactivar CAE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2 tareas nuevas: actualizar oferta CAE vigente y evaluar relanzamiento como campaña nueva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Este documento, sección 3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Dar continuidad accionable sin perder el dato de eficiencia</w:t>
            </w:r>
          </w:p>
        </w:tc>
      </w:tr>
    </w:tbl>
    <w:p/>
    <w:p>
      <w:pPr>
        <w:spacing w:after="160"/>
      </w:pPr>
      <w:r>
        <w:rPr>
          <w:rFonts w:ascii="Nunito Sans" w:hAnsi="Nunito Sans"/>
          <w:b/>
          <w:color w:val="1A3A5C"/>
          <w:sz w:val="21"/>
        </w:rPr>
        <w:t xml:space="preserve">Lo que NO cambia: </w:t>
      </w:r>
      <w:r>
        <w:rPr>
          <w:rFonts w:ascii="Nunito Sans" w:hAnsi="Nunito Sans"/>
          <w:color w:val="4A5068"/>
          <w:sz w:val="21"/>
        </w:rPr>
        <w:t>Puntuación global (43/100), hallazgo de medición (Pixel solo con PageView), GTM duplicado, fatiga de "Video 22", coherencia oferta↔landing, audiencias lookalike inactivas y compliance del creativo con cita de tercero. Todos los demás hallazgos y su prioridad relativa se mantienen íntegros.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2. Regla de responsables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Agencia-prestador: ejecución técnica en Ads Manager, Meta Business Suite, GTM/Pixel, diseño y publicación de landing. Tiene o debe tener acceso administrador a la cuenta.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Cliente-Estudio: decisiones de negocio, oferta y condiciones legales/tributarias vigentes, aprobación de contenido, compliance de imagen/testimonios, credenciales de cuentas propias.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Cuando una tarea requiere a ambos, se lista una vez con responsable principal y una nota de quién aprueba o entrega el insumo.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3. Backlog para ClickUp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LISTA "AJUSTE CAE" (NUEVO, DERIVA DEL HALLAZGO #1 DE LA AUDITORÍA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Actualizar oferta y condiciones CAE vigentes (montos, plazos, programa) en el copy y en los 3 creativos CAE pausados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 definir por equipo legal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Insumo obligatorio antes de que Agencia pueda relanzar cualquier campaña con ángulo CAE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Relanzar ángulo CAE como campaña nueva (no reactivación) una vez aprobada la oferta actualizada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Alto (condicionado)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15-30 min en Ads Manager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Depende 100% de la tarea anterior. Nomenclatura nueva, no reutilizar naming de abril 2026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LISTA "IMPACTO ALTO" (AUDITORÍA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Pausar o reducir presupuesto de "Diagnósticos Gratuitos" mientras se refresca su creativo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Aprobación de Cliente-Estudio antes de tocar la única campaña activa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Configurar evento Lead/Contact en el Pixel (GTM o Conversions API)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2-4 horas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Bloqueante para medir cualquier resultado real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Refrescar o pausar "Video 22" y activar 2-3 creativos nuevos del banco de 70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Agencia (publica) / Cliente-Estudio (aprueba)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Meta diagnosticó "This ad is not spurring interest"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LISTA "IMPACTO MEDIO"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Resolver GTM duplicado (2 contenedores, cada uno cargado 2 veces)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Medio-alto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1-2 horas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Bloqueante ya identificado en el alcance técnico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Agregar variantes de imagen junto al video en el conjunto activo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20 min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Recomendación directa de Meta, +4 pts Opportunity Score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Unificar CTAs de la landing a un solo mensaje y simplificar formulario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1-2 horas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 aprueba el CTA final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Reactivar las 3 audiencias lookalike en un conjunto de prueba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Ya están construidas, sin costo de mantenerlas encendidas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LISTA "IMPACTO BAJO"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Corregir nomenclatura de campañas (fechas inconsistentes)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Orden y trazabilidad interna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Revisar compliance del creativo que cita a un tercero (@rfantuzzih)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Bajo (riesgo si se ignora)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 definir con equipo legal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Bloquea solo la reactivación de ese creativo específico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4. Resumen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Agencia-prestador: 8 tareas (1 condicionada al insumo de Cliente-Estudio).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Cliente-Estudio: 3 tareas (2 son insumo/bloqueante para tareas de Agencia).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Total: 11 tareas, 0 con responsable compartido o ambiguo.</w:t>
      </w:r>
    </w:p>
    <w:p/>
    <w:p>
      <w:pPr>
        <w:spacing w:before="480"/>
      </w:pPr>
      <w:r>
        <w:rPr>
          <w:rFonts w:ascii="Nunito Sans" w:hAnsi="Nunito Sans"/>
          <w:i/>
          <w:color w:val="4A5068"/>
          <w:sz w:val="17"/>
        </w:rPr>
        <w:t>Defensor del Contribuyente — Estudio Jurídico Boutique · Concepción, Chile · defensordelcontribuyente.cl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unito Sans" w:hAnsi="Nunito Sans"/>
      <w:color w:val="4A506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