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Auditoría Completa GA4 — Defensor del Contribuyente</w:t>
      </w:r>
    </w:p>
    <w:p>
      <w:r>
        <w:rPr>
          <w:b/>
        </w:rPr>
        <w:t xml:space="preserve">Fecha: </w:t>
      </w:r>
      <w:r>
        <w:t>18-08-2026</w:t>
        <w:br/>
      </w:r>
      <w:r>
        <w:rPr>
          <w:b/>
        </w:rPr>
        <w:t xml:space="preserve">Fuente: </w:t>
      </w:r>
      <w:r>
        <w:t>servidor MCP oficial de Google Analytics (googleanalytics/google-analytics-mcp), conectado manualmente vía protocolo MCP.</w:t>
        <w:br/>
      </w:r>
      <w:r>
        <w:rPr>
          <w:b/>
        </w:rPr>
        <w:t xml:space="preserve">Periodo de datos: </w:t>
      </w:r>
      <w:r>
        <w:t>últimos 30 días.</w:t>
      </w:r>
    </w:p>
    <w:p>
      <w:pPr>
        <w:pStyle w:val="Heading1"/>
      </w:pPr>
      <w:r>
        <w:t>Resumen ejecutivo</w:t>
      </w:r>
    </w:p>
    <w:p>
      <w:r>
        <w:t>La cuenta de Google Analytics "Defensor del Contribuyente" tiene dos propiedades GA4 separadas y sin relacionar entre sí — una por dominio principal, otra por el subdominio servicios. — y ninguna propiedad para diagnostico.defensordelcontribuyente.cl. Las dos propiedades existentes están vinculadas correctamente a la cuenta de Google Ads. El dominio principal mueve tráfico real (2013 sesiones/30d, dominado por Paid Search) con eventos de conversión ya configurados para 2 de 3 servicios principales; el subdominio servicios. prácticamente no registra actividad (12 sesiones/30d) ni tiene un solo evento personalizado configurado, pese a alojar páginas reales de campaña.</w:t>
      </w:r>
    </w:p>
    <w:p>
      <w:pPr>
        <w:pStyle w:val="Heading1"/>
      </w:pPr>
      <w:r>
        <w:t>Hallazgos críticos</w:t>
      </w:r>
    </w:p>
    <w:p>
      <w:r>
        <w:rPr>
          <w:b/>
          <w:color w:val="C00000"/>
        </w:rPr>
        <w:t>[CRÍTICO] Dos propiedades GA4 sin relacionar — sesiones fragmentadas por diseño</w:t>
      </w:r>
    </w:p>
    <w:p>
      <w:r>
        <w:t>properties/487864971 (defensordelcontribuyente.cl) y properties/484039052 (servicios.defensordelcontribuyente.cl). No existe rollup ni relación entre ambas — un usuario que cruza de un dominio al otro genera una sesión nueva en una propiedad distinta.</w:t>
      </w:r>
    </w:p>
    <w:p>
      <w:r>
        <w:rPr>
          <w:b/>
          <w:color w:val="C00000"/>
        </w:rPr>
        <w:t>[CRÍTICO] servicios.defensordelcontribuyente.cl no tiene ni un solo evento personalizado configurado</w:t>
      </w:r>
    </w:p>
    <w:p>
      <w:r>
        <w:t>Solo registra eventos automáticos de GA4. No hay form_start, form_submit ni click, pese a formularios reales confirmados en sus páginas de campaña.</w:t>
      </w:r>
    </w:p>
    <w:p>
      <w:r>
        <w:rPr>
          <w:b/>
          <w:color w:val="C55A00"/>
        </w:rPr>
        <w:t>[ALTO] Un evento de conversión configurado de forma inconsistente en el dominio principal</w:t>
      </w:r>
    </w:p>
    <w:p>
      <w:r>
        <w:t>form_submit_cobranza_fiscal (27 eventos, 27 conversiones) y form_submit_prescripcion (15/15) sí están marcados como conversión. form_submit_fiscalizacion_tributaria_cit (19 eventos, 0 conversiones) no lo está — 19 conversiones reales del mes no se están contando.</w:t>
      </w:r>
    </w:p>
    <w:p>
      <w:r>
        <w:rPr>
          <w:b/>
          <w:color w:val="8A6D00"/>
        </w:rPr>
        <w:t>[MEDIO] La propiedad servicios. tiene moneda USD (debería ser CLP) y categoría de industria sin especificar</w:t>
      </w:r>
    </w:p>
    <w:p>
      <w:r>
        <w:t>Configuración inconsistente respecto al dominio principal (CLP, categoría OTHER).</w:t>
      </w:r>
    </w:p>
    <w:p>
      <w:r>
        <w:rPr>
          <w:b/>
          <w:color w:val="8A6D00"/>
        </w:rPr>
        <w:t>[MEDIO] Ningún clic a WhatsApp o teléfono tiene un evento propio</w:t>
      </w:r>
    </w:p>
    <w:p>
      <w:r>
        <w:t>El evento genérico click (33 en 30 días) no distingue destino. La auditoría de 14 URL confirmó botones de WhatsApp en 8 de 14 páginas.</w:t>
      </w:r>
    </w:p>
    <w:p>
      <w:r>
        <w:rPr>
          <w:b/>
          <w:color w:val="333333"/>
        </w:rPr>
        <w:t>[INFO] Ya existe tráfico real proveniente de asistentes de IA</w:t>
      </w:r>
    </w:p>
    <w:p>
      <w:r>
        <w:t>El canal "AI Assistant" generó 9 sesiones en 30 días — coincide con el hallazgo Lighthouse de visibilidad IA (33/100).</w:t>
      </w:r>
    </w:p>
    <w:p>
      <w:pPr>
        <w:pStyle w:val="Heading1"/>
      </w:pPr>
      <w:r>
        <w:t>Propiedad: defensordelcontribuyente.cl</w:t>
      </w:r>
    </w:p>
    <w:p>
      <w:pPr>
        <w:pStyle w:val="IntenseQuote"/>
      </w:pPr>
      <w:r>
        <w:t>properties/487864971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Creada</w:t>
            </w:r>
          </w:p>
        </w:tc>
        <w:tc>
          <w:tcPr>
            <w:tcW w:type="dxa" w:w="4320"/>
          </w:tcPr>
          <w:p>
            <w:r>
              <w:t>2025-05-02</w:t>
            </w:r>
          </w:p>
        </w:tc>
      </w:tr>
      <w:tr>
        <w:tc>
          <w:tcPr>
            <w:tcW w:type="dxa" w:w="4320"/>
          </w:tcPr>
          <w:p>
            <w:r>
              <w:t>Zona horaria</w:t>
            </w:r>
          </w:p>
        </w:tc>
        <w:tc>
          <w:tcPr>
            <w:tcW w:type="dxa" w:w="4320"/>
          </w:tcPr>
          <w:p>
            <w:r>
              <w:t>America/Santiago</w:t>
            </w:r>
          </w:p>
        </w:tc>
      </w:tr>
      <w:tr>
        <w:tc>
          <w:tcPr>
            <w:tcW w:type="dxa" w:w="4320"/>
          </w:tcPr>
          <w:p>
            <w:r>
              <w:t>Moneda</w:t>
            </w:r>
          </w:p>
        </w:tc>
        <w:tc>
          <w:tcPr>
            <w:tcW w:type="dxa" w:w="4320"/>
          </w:tcPr>
          <w:p>
            <w:r>
              <w:t>CLP</w:t>
            </w:r>
          </w:p>
        </w:tc>
      </w:tr>
      <w:tr>
        <w:tc>
          <w:tcPr>
            <w:tcW w:type="dxa" w:w="4320"/>
          </w:tcPr>
          <w:p>
            <w:r>
              <w:t>Categoría de industria</w:t>
            </w:r>
          </w:p>
        </w:tc>
        <w:tc>
          <w:tcPr>
            <w:tcW w:type="dxa" w:w="4320"/>
          </w:tcPr>
          <w:p>
            <w:r>
              <w:t>OTHER</w:t>
            </w:r>
          </w:p>
        </w:tc>
      </w:tr>
      <w:tr>
        <w:tc>
          <w:tcPr>
            <w:tcW w:type="dxa" w:w="4320"/>
          </w:tcPr>
          <w:p>
            <w:r>
              <w:t>Nivel de servicio</w:t>
            </w:r>
          </w:p>
        </w:tc>
        <w:tc>
          <w:tcPr>
            <w:tcW w:type="dxa" w:w="4320"/>
          </w:tcPr>
          <w:p>
            <w:r>
              <w:t>GOOGLE_ANALYTICS_STANDARD</w:t>
            </w:r>
          </w:p>
        </w:tc>
      </w:tr>
      <w:tr>
        <w:tc>
          <w:tcPr>
            <w:tcW w:type="dxa" w:w="4320"/>
          </w:tcPr>
          <w:p>
            <w:r>
              <w:t>Vínculo Google Ads</w:t>
            </w:r>
          </w:p>
        </w:tc>
        <w:tc>
          <w:tcPr>
            <w:tcW w:type="dxa" w:w="4320"/>
          </w:tcPr>
          <w:p>
            <w:r>
              <w:t>Sí — customer_id 8985279729, creado 2025-05-05</w:t>
            </w:r>
          </w:p>
        </w:tc>
      </w:tr>
    </w:tbl>
    <w:p/>
    <w:p>
      <w:pPr>
        <w:pStyle w:val="IntenseQuote"/>
      </w:pPr>
      <w:r>
        <w:t>Tráfico por canal — últimos 30 días (total: 2013 sesiones)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Sesiones</w:t>
            </w:r>
          </w:p>
        </w:tc>
        <w:tc>
          <w:tcPr>
            <w:tcW w:type="dxa" w:w="1440"/>
          </w:tcPr>
          <w:p>
            <w:r>
              <w:t>Usuarios</w:t>
            </w:r>
          </w:p>
        </w:tc>
        <w:tc>
          <w:tcPr>
            <w:tcW w:type="dxa" w:w="1440"/>
          </w:tcPr>
          <w:p>
            <w:r>
              <w:t>Tasa interacción</w:t>
            </w:r>
          </w:p>
        </w:tc>
        <w:tc>
          <w:tcPr>
            <w:tcW w:type="dxa" w:w="1440"/>
          </w:tcPr>
          <w:p>
            <w:r>
              <w:t>Duración media (s)</w:t>
            </w:r>
          </w:p>
        </w:tc>
        <w:tc>
          <w:tcPr>
            <w:tcW w:type="dxa" w:w="1440"/>
          </w:tcPr>
          <w:p>
            <w:r>
              <w:t>Tasa rebote</w:t>
            </w:r>
          </w:p>
        </w:tc>
      </w:tr>
      <w:tr>
        <w:tc>
          <w:tcPr>
            <w:tcW w:type="dxa" w:w="1440"/>
          </w:tcPr>
          <w:p>
            <w:r>
              <w:t>Paid Search</w:t>
            </w:r>
          </w:p>
        </w:tc>
        <w:tc>
          <w:tcPr>
            <w:tcW w:type="dxa" w:w="1440"/>
          </w:tcPr>
          <w:p>
            <w:r>
              <w:t>1219</w:t>
            </w:r>
          </w:p>
        </w:tc>
        <w:tc>
          <w:tcPr>
            <w:tcW w:type="dxa" w:w="1440"/>
          </w:tcPr>
          <w:p>
            <w:r>
              <w:t>1082</w:t>
            </w:r>
          </w:p>
        </w:tc>
        <w:tc>
          <w:tcPr>
            <w:tcW w:type="dxa" w:w="1440"/>
          </w:tcPr>
          <w:p>
            <w:r>
              <w:t>54.6%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45.4%</w:t>
            </w:r>
          </w:p>
        </w:tc>
      </w:tr>
      <w:tr>
        <w:tc>
          <w:tcPr>
            <w:tcW w:type="dxa" w:w="1440"/>
          </w:tcPr>
          <w:p>
            <w:r>
              <w:t>Organic Search</w:t>
            </w:r>
          </w:p>
        </w:tc>
        <w:tc>
          <w:tcPr>
            <w:tcW w:type="dxa" w:w="1440"/>
          </w:tcPr>
          <w:p>
            <w:r>
              <w:t>533</w:t>
            </w:r>
          </w:p>
        </w:tc>
        <w:tc>
          <w:tcPr>
            <w:tcW w:type="dxa" w:w="1440"/>
          </w:tcPr>
          <w:p>
            <w:r>
              <w:t>458</w:t>
            </w:r>
          </w:p>
        </w:tc>
        <w:tc>
          <w:tcPr>
            <w:tcW w:type="dxa" w:w="1440"/>
          </w:tcPr>
          <w:p>
            <w:r>
              <w:t>57.6%</w:t>
            </w:r>
          </w:p>
        </w:tc>
        <w:tc>
          <w:tcPr>
            <w:tcW w:type="dxa" w:w="1440"/>
          </w:tcPr>
          <w:p>
            <w:r>
              <w:t>174</w:t>
            </w:r>
          </w:p>
        </w:tc>
        <w:tc>
          <w:tcPr>
            <w:tcW w:type="dxa" w:w="1440"/>
          </w:tcPr>
          <w:p>
            <w:r>
              <w:t>42.4%</w:t>
            </w:r>
          </w:p>
        </w:tc>
      </w:tr>
      <w:tr>
        <w:tc>
          <w:tcPr>
            <w:tcW w:type="dxa" w:w="1440"/>
          </w:tcPr>
          <w:p>
            <w:r>
              <w:t>Direct</w:t>
            </w:r>
          </w:p>
        </w:tc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162</w:t>
            </w:r>
          </w:p>
        </w:tc>
        <w:tc>
          <w:tcPr>
            <w:tcW w:type="dxa" w:w="1440"/>
          </w:tcPr>
          <w:p>
            <w:r>
              <w:t>28.1%</w:t>
            </w:r>
          </w:p>
        </w:tc>
        <w:tc>
          <w:tcPr>
            <w:tcW w:type="dxa" w:w="1440"/>
          </w:tcPr>
          <w:p>
            <w:r>
              <w:t>97</w:t>
            </w:r>
          </w:p>
        </w:tc>
        <w:tc>
          <w:tcPr>
            <w:tcW w:type="dxa" w:w="1440"/>
          </w:tcPr>
          <w:p>
            <w:r>
              <w:t>71.9%</w:t>
            </w:r>
          </w:p>
        </w:tc>
      </w:tr>
      <w:tr>
        <w:tc>
          <w:tcPr>
            <w:tcW w:type="dxa" w:w="1440"/>
          </w:tcPr>
          <w:p>
            <w:r>
              <w:t>Referral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54.2%</w:t>
            </w:r>
          </w:p>
        </w:tc>
        <w:tc>
          <w:tcPr>
            <w:tcW w:type="dxa" w:w="1440"/>
          </w:tcPr>
          <w:p>
            <w:r>
              <w:t>197</w:t>
            </w:r>
          </w:p>
        </w:tc>
        <w:tc>
          <w:tcPr>
            <w:tcW w:type="dxa" w:w="1440"/>
          </w:tcPr>
          <w:p>
            <w:r>
              <w:t>45.8%</w:t>
            </w:r>
          </w:p>
        </w:tc>
      </w:tr>
      <w:tr>
        <w:tc>
          <w:tcPr>
            <w:tcW w:type="dxa" w:w="1440"/>
          </w:tcPr>
          <w:p>
            <w:r>
              <w:t>Organic Social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77.8%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22.2%</w:t>
            </w:r>
          </w:p>
        </w:tc>
      </w:tr>
      <w:tr>
        <w:tc>
          <w:tcPr>
            <w:tcW w:type="dxa" w:w="1440"/>
          </w:tcPr>
          <w:p>
            <w:r>
              <w:t>AI Assistant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33.3%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66.7%</w:t>
            </w:r>
          </w:p>
        </w:tc>
      </w:tr>
      <w:tr>
        <w:tc>
          <w:tcPr>
            <w:tcW w:type="dxa" w:w="1440"/>
          </w:tcPr>
          <w:p>
            <w:r>
              <w:t>Cross-network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87.5%</w:t>
            </w:r>
          </w:p>
        </w:tc>
        <w:tc>
          <w:tcPr>
            <w:tcW w:type="dxa" w:w="1440"/>
          </w:tcPr>
          <w:p>
            <w:r>
              <w:t>93</w:t>
            </w:r>
          </w:p>
        </w:tc>
        <w:tc>
          <w:tcPr>
            <w:tcW w:type="dxa" w:w="1440"/>
          </w:tcPr>
          <w:p>
            <w:r>
              <w:t>12.5%</w:t>
            </w:r>
          </w:p>
        </w:tc>
      </w:tr>
      <w:tr>
        <w:tc>
          <w:tcPr>
            <w:tcW w:type="dxa" w:w="1440"/>
          </w:tcPr>
          <w:p>
            <w:r>
              <w:t>Display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80.0%</w:t>
            </w:r>
          </w:p>
        </w:tc>
        <w:tc>
          <w:tcPr>
            <w:tcW w:type="dxa" w:w="1440"/>
          </w:tcPr>
          <w:p>
            <w:r>
              <w:t>691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</w:tr>
      <w:tr>
        <w:tc>
          <w:tcPr>
            <w:tcW w:type="dxa" w:w="1440"/>
          </w:tcPr>
          <w:p>
            <w:r>
              <w:t>Organic Video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149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</w:tr>
    </w:tbl>
    <w:p/>
    <w:p>
      <w:pPr>
        <w:pStyle w:val="IntenseQuote"/>
      </w:pPr>
      <w:r>
        <w:t>Páginas más vistas — últimos 30 días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Página</w:t>
            </w:r>
          </w:p>
        </w:tc>
        <w:tc>
          <w:tcPr>
            <w:tcW w:type="dxa" w:w="2880"/>
          </w:tcPr>
          <w:p>
            <w:r>
              <w:t>Vistas</w:t>
            </w:r>
          </w:p>
        </w:tc>
        <w:tc>
          <w:tcPr>
            <w:tcW w:type="dxa" w:w="2880"/>
          </w:tcPr>
          <w:p>
            <w:r>
              <w:t>Sesiones</w:t>
            </w:r>
          </w:p>
        </w:tc>
      </w:tr>
      <w:tr>
        <w:tc>
          <w:tcPr>
            <w:tcW w:type="dxa" w:w="2880"/>
          </w:tcPr>
          <w:p>
            <w:r>
              <w:t>/prescripcion-tributaria/</w:t>
            </w:r>
          </w:p>
        </w:tc>
        <w:tc>
          <w:tcPr>
            <w:tcW w:type="dxa" w:w="2880"/>
          </w:tcPr>
          <w:p>
            <w:r>
              <w:t>445</w:t>
            </w:r>
          </w:p>
        </w:tc>
        <w:tc>
          <w:tcPr>
            <w:tcW w:type="dxa" w:w="2880"/>
          </w:tcPr>
          <w:p>
            <w:r>
              <w:t>410</w:t>
            </w:r>
          </w:p>
        </w:tc>
      </w:tr>
      <w:tr>
        <w:tc>
          <w:tcPr>
            <w:tcW w:type="dxa" w:w="2880"/>
          </w:tcPr>
          <w:p>
            <w:r>
              <w:t>/cobranza-fiscal/</w:t>
            </w:r>
          </w:p>
        </w:tc>
        <w:tc>
          <w:tcPr>
            <w:tcW w:type="dxa" w:w="2880"/>
          </w:tcPr>
          <w:p>
            <w:r>
              <w:t>413</w:t>
            </w:r>
          </w:p>
        </w:tc>
        <w:tc>
          <w:tcPr>
            <w:tcW w:type="dxa" w:w="2880"/>
          </w:tcPr>
          <w:p>
            <w:r>
              <w:t>382</w:t>
            </w:r>
          </w:p>
        </w:tc>
      </w:tr>
      <w:tr>
        <w:tc>
          <w:tcPr>
            <w:tcW w:type="dxa" w:w="2880"/>
          </w:tcPr>
          <w:p>
            <w:r>
              <w:t>/fiscalizacion-tributaria-citaciones-sii/</w:t>
            </w:r>
          </w:p>
        </w:tc>
        <w:tc>
          <w:tcPr>
            <w:tcW w:type="dxa" w:w="2880"/>
          </w:tcPr>
          <w:p>
            <w:r>
              <w:t>294</w:t>
            </w:r>
          </w:p>
        </w:tc>
        <w:tc>
          <w:tcPr>
            <w:tcW w:type="dxa" w:w="2880"/>
          </w:tcPr>
          <w:p>
            <w:r>
              <w:t>288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277</w:t>
            </w:r>
          </w:p>
        </w:tc>
        <w:tc>
          <w:tcPr>
            <w:tcW w:type="dxa" w:w="2880"/>
          </w:tcPr>
          <w:p>
            <w:r>
              <w:t>239</w:t>
            </w:r>
          </w:p>
        </w:tc>
      </w:tr>
      <w:tr>
        <w:tc>
          <w:tcPr>
            <w:tcW w:type="dxa" w:w="2880"/>
          </w:tcPr>
          <w:p>
            <w:r>
              <w:t>/blog/prescripcion-tributaria/</w:t>
            </w:r>
          </w:p>
        </w:tc>
        <w:tc>
          <w:tcPr>
            <w:tcW w:type="dxa" w:w="2880"/>
          </w:tcPr>
          <w:p>
            <w:r>
              <w:t>151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/blog/prescriben-deudas-fiscales-chile/</w:t>
            </w:r>
          </w:p>
        </w:tc>
        <w:tc>
          <w:tcPr>
            <w:tcW w:type="dxa" w:w="2880"/>
          </w:tcPr>
          <w:p>
            <w:r>
              <w:t>146</w:t>
            </w:r>
          </w:p>
        </w:tc>
        <w:tc>
          <w:tcPr>
            <w:tcW w:type="dxa" w:w="2880"/>
          </w:tcPr>
          <w:p>
            <w:r>
              <w:t>143</w:t>
            </w:r>
          </w:p>
        </w:tc>
      </w:tr>
      <w:tr>
        <w:tc>
          <w:tcPr>
            <w:tcW w:type="dxa" w:w="2880"/>
          </w:tcPr>
          <w:p>
            <w:r>
              <w:t>/contacto/</w:t>
            </w:r>
          </w:p>
        </w:tc>
        <w:tc>
          <w:tcPr>
            <w:tcW w:type="dxa" w:w="2880"/>
          </w:tcPr>
          <w:p>
            <w:r>
              <w:t>105</w:t>
            </w:r>
          </w:p>
        </w:tc>
        <w:tc>
          <w:tcPr>
            <w:tcW w:type="dxa" w:w="2880"/>
          </w:tcPr>
          <w:p>
            <w:r>
              <w:t>99</w:t>
            </w:r>
          </w:p>
        </w:tc>
      </w:tr>
      <w:tr>
        <w:tc>
          <w:tcPr>
            <w:tcW w:type="dxa" w:w="2880"/>
          </w:tcPr>
          <w:p>
            <w:r>
              <w:t>/blog/prescripcion-tributaria-art-200/</w:t>
            </w:r>
          </w:p>
        </w:tc>
        <w:tc>
          <w:tcPr>
            <w:tcW w:type="dxa" w:w="2880"/>
          </w:tcPr>
          <w:p>
            <w:r>
              <w:t>87</w:t>
            </w:r>
          </w:p>
        </w:tc>
        <w:tc>
          <w:tcPr>
            <w:tcW w:type="dxa" w:w="2880"/>
          </w:tcPr>
          <w:p>
            <w:r>
              <w:t>89</w:t>
            </w:r>
          </w:p>
        </w:tc>
      </w:tr>
      <w:tr>
        <w:tc>
          <w:tcPr>
            <w:tcW w:type="dxa" w:w="2880"/>
          </w:tcPr>
          <w:p>
            <w:r>
              <w:t>/equipo/</w:t>
            </w:r>
          </w:p>
        </w:tc>
        <w:tc>
          <w:tcPr>
            <w:tcW w:type="dxa" w:w="2880"/>
          </w:tcPr>
          <w:p>
            <w:r>
              <w:t>72</w:t>
            </w:r>
          </w:p>
        </w:tc>
        <w:tc>
          <w:tcPr>
            <w:tcW w:type="dxa" w:w="2880"/>
          </w:tcPr>
          <w:p>
            <w:r>
              <w:t>70</w:t>
            </w:r>
          </w:p>
        </w:tc>
      </w:tr>
      <w:tr>
        <w:tc>
          <w:tcPr>
            <w:tcW w:type="dxa" w:w="2880"/>
          </w:tcPr>
          <w:p>
            <w:r>
              <w:t>/blog/certificado-deuda-fiscal/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54</w:t>
            </w:r>
          </w:p>
        </w:tc>
      </w:tr>
      <w:tr>
        <w:tc>
          <w:tcPr>
            <w:tcW w:type="dxa" w:w="2880"/>
          </w:tcPr>
          <w:p>
            <w:r>
              <w:t>/servicios/</w:t>
            </w:r>
          </w:p>
        </w:tc>
        <w:tc>
          <w:tcPr>
            <w:tcW w:type="dxa" w:w="2880"/>
          </w:tcPr>
          <w:p>
            <w:r>
              <w:t>54</w:t>
            </w:r>
          </w:p>
        </w:tc>
        <w:tc>
          <w:tcPr>
            <w:tcW w:type="dxa" w:w="2880"/>
          </w:tcPr>
          <w:p>
            <w:r>
              <w:t>42</w:t>
            </w:r>
          </w:p>
        </w:tc>
      </w:tr>
      <w:tr>
        <w:tc>
          <w:tcPr>
            <w:tcW w:type="dxa" w:w="2880"/>
          </w:tcPr>
          <w:p>
            <w:r>
              <w:t>/casos-de-exito/</w:t>
            </w:r>
          </w:p>
        </w:tc>
        <w:tc>
          <w:tcPr>
            <w:tcW w:type="dxa" w:w="2880"/>
          </w:tcPr>
          <w:p>
            <w:r>
              <w:t>34</w:t>
            </w:r>
          </w:p>
        </w:tc>
        <w:tc>
          <w:tcPr>
            <w:tcW w:type="dxa" w:w="2880"/>
          </w:tcPr>
          <w:p>
            <w:r>
              <w:t>29</w:t>
            </w:r>
          </w:p>
        </w:tc>
      </w:tr>
      <w:tr>
        <w:tc>
          <w:tcPr>
            <w:tcW w:type="dxa" w:w="2880"/>
          </w:tcPr>
          <w:p>
            <w:r>
              <w:t>/servicio-tributario/concepcion/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/blog/abandono-del-procedimiento/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/blog/citacion-del-sii-como-defenderte/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</w:tbl>
    <w:p/>
    <w:p>
      <w:pPr>
        <w:pStyle w:val="IntenseQuote"/>
      </w:pPr>
      <w:r>
        <w:t>Eventos — últimos 30 días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Evento</w:t>
            </w:r>
          </w:p>
        </w:tc>
        <w:tc>
          <w:tcPr>
            <w:tcW w:type="dxa" w:w="2880"/>
          </w:tcPr>
          <w:p>
            <w:r>
              <w:t>Cantidad</w:t>
            </w:r>
          </w:p>
        </w:tc>
        <w:tc>
          <w:tcPr>
            <w:tcW w:type="dxa" w:w="2880"/>
          </w:tcPr>
          <w:p>
            <w:r>
              <w:t>Marcado como conversión</w:t>
            </w:r>
          </w:p>
        </w:tc>
      </w:tr>
      <w:tr>
        <w:tc>
          <w:tcPr>
            <w:tcW w:type="dxa" w:w="2880"/>
          </w:tcPr>
          <w:p>
            <w:r>
              <w:t>page_view</w:t>
            </w:r>
          </w:p>
        </w:tc>
        <w:tc>
          <w:tcPr>
            <w:tcW w:type="dxa" w:w="2880"/>
          </w:tcPr>
          <w:p>
            <w:r>
              <w:t>2519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session_start</w:t>
            </w:r>
          </w:p>
        </w:tc>
        <w:tc>
          <w:tcPr>
            <w:tcW w:type="dxa" w:w="2880"/>
          </w:tcPr>
          <w:p>
            <w:r>
              <w:t>2016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first_visit</w:t>
            </w:r>
          </w:p>
        </w:tc>
        <w:tc>
          <w:tcPr>
            <w:tcW w:type="dxa" w:w="2880"/>
          </w:tcPr>
          <w:p>
            <w:r>
              <w:t>1699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user_engagement</w:t>
            </w:r>
          </w:p>
        </w:tc>
        <w:tc>
          <w:tcPr>
            <w:tcW w:type="dxa" w:w="2880"/>
          </w:tcPr>
          <w:p>
            <w:r>
              <w:t>1492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scroll</w:t>
            </w:r>
          </w:p>
        </w:tc>
        <w:tc>
          <w:tcPr>
            <w:tcW w:type="dxa" w:w="2880"/>
          </w:tcPr>
          <w:p>
            <w:r>
              <w:t>605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form_start</w:t>
            </w:r>
          </w:p>
        </w:tc>
        <w:tc>
          <w:tcPr>
            <w:tcW w:type="dxa" w:w="2880"/>
          </w:tcPr>
          <w:p>
            <w:r>
              <w:t>141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click</w:t>
            </w:r>
          </w:p>
        </w:tc>
        <w:tc>
          <w:tcPr>
            <w:tcW w:type="dxa" w:w="2880"/>
          </w:tcPr>
          <w:p>
            <w:r>
              <w:t>33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form_submit_cobranza_fiscal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Sí (27)</w:t>
            </w:r>
          </w:p>
        </w:tc>
      </w:tr>
      <w:tr>
        <w:tc>
          <w:tcPr>
            <w:tcW w:type="dxa" w:w="2880"/>
          </w:tcPr>
          <w:p>
            <w:r>
              <w:t>form_submit_fiscalizacion_tributaria_cit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form_submit_prescripcion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Sí (15)</w:t>
            </w:r>
          </w:p>
        </w:tc>
      </w:tr>
      <w:tr>
        <w:tc>
          <w:tcPr>
            <w:tcW w:type="dxa" w:w="2880"/>
          </w:tcPr>
          <w:p>
            <w:r>
              <w:t>file_download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/>
    <w:p>
      <w:r>
        <w:t>Custom dimensions / metrics: ninguno configurado.</w:t>
      </w:r>
    </w:p>
    <w:p/>
    <w:p>
      <w:pPr>
        <w:pStyle w:val="Heading1"/>
      </w:pPr>
      <w:r>
        <w:t>Propiedad: servicios.defensordelcontribuyente.cl</w:t>
      </w:r>
    </w:p>
    <w:p>
      <w:pPr>
        <w:pStyle w:val="IntenseQuote"/>
      </w:pPr>
      <w:r>
        <w:t>properties/484039052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Creada</w:t>
            </w:r>
          </w:p>
        </w:tc>
        <w:tc>
          <w:tcPr>
            <w:tcW w:type="dxa" w:w="4320"/>
          </w:tcPr>
          <w:p>
            <w:r>
              <w:t>2025-04-01</w:t>
            </w:r>
          </w:p>
        </w:tc>
      </w:tr>
      <w:tr>
        <w:tc>
          <w:tcPr>
            <w:tcW w:type="dxa" w:w="4320"/>
          </w:tcPr>
          <w:p>
            <w:r>
              <w:t>Zona horaria</w:t>
            </w:r>
          </w:p>
        </w:tc>
        <w:tc>
          <w:tcPr>
            <w:tcW w:type="dxa" w:w="4320"/>
          </w:tcPr>
          <w:p>
            <w:r>
              <w:t>America/Santiago</w:t>
            </w:r>
          </w:p>
        </w:tc>
      </w:tr>
      <w:tr>
        <w:tc>
          <w:tcPr>
            <w:tcW w:type="dxa" w:w="4320"/>
          </w:tcPr>
          <w:p>
            <w:r>
              <w:t>Moneda</w:t>
            </w:r>
          </w:p>
        </w:tc>
        <w:tc>
          <w:tcPr>
            <w:tcW w:type="dxa" w:w="4320"/>
          </w:tcPr>
          <w:p>
            <w:r>
              <w:t>USD</w:t>
            </w:r>
          </w:p>
        </w:tc>
      </w:tr>
      <w:tr>
        <w:tc>
          <w:tcPr>
            <w:tcW w:type="dxa" w:w="4320"/>
          </w:tcPr>
          <w:p>
            <w:r>
              <w:t>Categoría de industria</w:t>
            </w:r>
          </w:p>
        </w:tc>
        <w:tc>
          <w:tcPr>
            <w:tcW w:type="dxa" w:w="4320"/>
          </w:tcPr>
          <w:p>
            <w:r>
              <w:t>INDUSTRY_CATEGORY_UNSPECIFIED</w:t>
            </w:r>
          </w:p>
        </w:tc>
      </w:tr>
      <w:tr>
        <w:tc>
          <w:tcPr>
            <w:tcW w:type="dxa" w:w="4320"/>
          </w:tcPr>
          <w:p>
            <w:r>
              <w:t>Nivel de servicio</w:t>
            </w:r>
          </w:p>
        </w:tc>
        <w:tc>
          <w:tcPr>
            <w:tcW w:type="dxa" w:w="4320"/>
          </w:tcPr>
          <w:p>
            <w:r>
              <w:t>GOOGLE_ANALYTICS_STANDARD</w:t>
            </w:r>
          </w:p>
        </w:tc>
      </w:tr>
      <w:tr>
        <w:tc>
          <w:tcPr>
            <w:tcW w:type="dxa" w:w="4320"/>
          </w:tcPr>
          <w:p>
            <w:r>
              <w:t>Vínculo Google Ads</w:t>
            </w:r>
          </w:p>
        </w:tc>
        <w:tc>
          <w:tcPr>
            <w:tcW w:type="dxa" w:w="4320"/>
          </w:tcPr>
          <w:p>
            <w:r>
              <w:t>Sí — customer_id 8985279729, creado 2025-05-07</w:t>
            </w:r>
          </w:p>
        </w:tc>
      </w:tr>
    </w:tbl>
    <w:p/>
    <w:p>
      <w:pPr>
        <w:pStyle w:val="IntenseQuote"/>
      </w:pPr>
      <w:r>
        <w:t>Tráfico por canal — últimos 30 días (total: 12 sesiones)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Sesiones</w:t>
            </w:r>
          </w:p>
        </w:tc>
        <w:tc>
          <w:tcPr>
            <w:tcW w:type="dxa" w:w="1440"/>
          </w:tcPr>
          <w:p>
            <w:r>
              <w:t>Usuarios</w:t>
            </w:r>
          </w:p>
        </w:tc>
        <w:tc>
          <w:tcPr>
            <w:tcW w:type="dxa" w:w="1440"/>
          </w:tcPr>
          <w:p>
            <w:r>
              <w:t>Tasa interacción</w:t>
            </w:r>
          </w:p>
        </w:tc>
        <w:tc>
          <w:tcPr>
            <w:tcW w:type="dxa" w:w="1440"/>
          </w:tcPr>
          <w:p>
            <w:r>
              <w:t>Duración media (s)</w:t>
            </w:r>
          </w:p>
        </w:tc>
        <w:tc>
          <w:tcPr>
            <w:tcW w:type="dxa" w:w="1440"/>
          </w:tcPr>
          <w:p>
            <w:r>
              <w:t>Tasa rebote</w:t>
            </w:r>
          </w:p>
        </w:tc>
      </w:tr>
      <w:tr>
        <w:tc>
          <w:tcPr>
            <w:tcW w:type="dxa" w:w="1440"/>
          </w:tcPr>
          <w:p>
            <w:r>
              <w:t>Direct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45.5%</w:t>
            </w:r>
          </w:p>
        </w:tc>
        <w:tc>
          <w:tcPr>
            <w:tcW w:type="dxa" w:w="1440"/>
          </w:tcPr>
          <w:p>
            <w:r>
              <w:t>259</w:t>
            </w:r>
          </w:p>
        </w:tc>
        <w:tc>
          <w:tcPr>
            <w:tcW w:type="dxa" w:w="1440"/>
          </w:tcPr>
          <w:p>
            <w:r>
              <w:t>54.5%</w:t>
            </w:r>
          </w:p>
        </w:tc>
      </w:tr>
      <w:tr>
        <w:tc>
          <w:tcPr>
            <w:tcW w:type="dxa" w:w="1440"/>
          </w:tcPr>
          <w:p>
            <w:r>
              <w:t>Paid Search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100.0%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</w:tr>
    </w:tbl>
    <w:p/>
    <w:p>
      <w:pPr>
        <w:pStyle w:val="IntenseQuote"/>
      </w:pPr>
      <w:r>
        <w:t>Páginas más vistas — últimos 30 días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Página</w:t>
            </w:r>
          </w:p>
        </w:tc>
        <w:tc>
          <w:tcPr>
            <w:tcW w:type="dxa" w:w="2880"/>
          </w:tcPr>
          <w:p>
            <w:r>
              <w:t>Vistas</w:t>
            </w:r>
          </w:p>
        </w:tc>
        <w:tc>
          <w:tcPr>
            <w:tcW w:type="dxa" w:w="2880"/>
          </w:tcPr>
          <w:p>
            <w:r>
              <w:t>Sesiones</w:t>
            </w:r>
          </w:p>
        </w:tc>
      </w:tr>
      <w:tr>
        <w:tc>
          <w:tcPr>
            <w:tcW w:type="dxa" w:w="2880"/>
          </w:tcPr>
          <w:p>
            <w:r>
              <w:t>/convenios-condonaciones/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/politica-privacidad/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/blog/ml-condonaciones-convenios/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/convenios-condonaciones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/acceso-df-77   fue cambiado el login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/blog/ml-deudas-fiscales-cobranza-tesoreria/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/faq-convenios-condonaciones/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/ml-agenda-ddcon/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/blog/perdonazo-tributario-2022/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/ml-abogado-tributario/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/ml-cobranza-fiscal/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/perdonazo-tributario/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/terminos-y-condiciones/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IntenseQuote"/>
      </w:pPr>
      <w:r>
        <w:t>Eventos — últimos 30 días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Evento</w:t>
            </w:r>
          </w:p>
        </w:tc>
        <w:tc>
          <w:tcPr>
            <w:tcW w:type="dxa" w:w="2880"/>
          </w:tcPr>
          <w:p>
            <w:r>
              <w:t>Cantidad</w:t>
            </w:r>
          </w:p>
        </w:tc>
        <w:tc>
          <w:tcPr>
            <w:tcW w:type="dxa" w:w="2880"/>
          </w:tcPr>
          <w:p>
            <w:r>
              <w:t>Marcado como conversión</w:t>
            </w:r>
          </w:p>
        </w:tc>
      </w:tr>
      <w:tr>
        <w:tc>
          <w:tcPr>
            <w:tcW w:type="dxa" w:w="2880"/>
          </w:tcPr>
          <w:p>
            <w:r>
              <w:t>page_view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user_engagement</w:t>
            </w:r>
          </w:p>
        </w:tc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scroll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session_start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first_visit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/>
    <w:p>
      <w:r>
        <w:t>Custom dimensions / metrics: ninguno configurado.</w:t>
      </w:r>
    </w:p>
    <w:p/>
    <w:p>
      <w:pPr>
        <w:pStyle w:val="Heading1"/>
      </w:pPr>
      <w:r>
        <w:t>Priorización de acciones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Prioridad</w:t>
            </w:r>
          </w:p>
        </w:tc>
        <w:tc>
          <w:tcPr>
            <w:tcW w:type="dxa" w:w="2880"/>
          </w:tcPr>
          <w:p>
            <w:r>
              <w:t>Acción</w:t>
            </w:r>
          </w:p>
        </w:tc>
        <w:tc>
          <w:tcPr>
            <w:tcW w:type="dxa" w:w="2880"/>
          </w:tcPr>
          <w:p>
            <w:r>
              <w:t>Por qué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Marcar form_submit_fiscalizacion_tributaria_cit como evento clave/conversión en GA4</w:t>
            </w:r>
          </w:p>
        </w:tc>
        <w:tc>
          <w:tcPr>
            <w:tcW w:type="dxa" w:w="2880"/>
          </w:tcPr>
          <w:p>
            <w:r>
              <w:t>19 conversiones reales del último mes no se están contando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Instrumentar GTM + GA4 en diagnostico.defensordelcontribuyente.cl</w:t>
            </w:r>
          </w:p>
        </w:tc>
        <w:tc>
          <w:tcPr>
            <w:tcW w:type="dxa" w:w="2880"/>
          </w:tcPr>
          <w:p>
            <w:r>
              <w:t>No existe propiedad GA4 para este subdominio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Instrumentar eventos form_start/form_submit/click en servicios.defensordelcontribuyente.cl</w:t>
            </w:r>
          </w:p>
        </w:tc>
        <w:tc>
          <w:tcPr>
            <w:tcW w:type="dxa" w:w="2880"/>
          </w:tcPr>
          <w:p>
            <w:r>
              <w:t>Sus formularios de campaña no generan ningún evento medible hoy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Corregir moneda de la propiedad servicios. (USD -&gt; CLP) y definir categoria de industria</w:t>
            </w:r>
          </w:p>
        </w:tc>
        <w:tc>
          <w:tcPr>
            <w:tcW w:type="dxa" w:w="2880"/>
          </w:tcPr>
          <w:p>
            <w:r>
              <w:t>Configuracion inconsistente con el resto de la cuenta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Instrumentar eventos distintos para clics a WhatsApp y a telefono</w:t>
            </w:r>
          </w:p>
        </w:tc>
        <w:tc>
          <w:tcPr>
            <w:tcW w:type="dxa" w:w="2880"/>
          </w:tcPr>
          <w:p>
            <w:r>
              <w:t>Hoy solo existe un evento generico click sin desglose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Definir si servicios. debe seguir siendo propiedad separada o consolidarse</w:t>
            </w:r>
          </w:p>
        </w:tc>
        <w:tc>
          <w:tcPr>
            <w:tcW w:type="dxa" w:w="2880"/>
          </w:tcPr>
          <w:p>
            <w:r>
              <w:t>12 sesiones/30 dias y cero eventos personalizados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Investigar la caida de 141 form_start a 61 form_submit totales (57% abandono)</w:t>
            </w:r>
          </w:p>
        </w:tc>
        <w:tc>
          <w:tcPr>
            <w:tcW w:type="dxa" w:w="2880"/>
          </w:tcPr>
          <w:p>
            <w:r>
              <w:t>Posible friccion de formulario en el dominio principal</w:t>
            </w:r>
          </w:p>
        </w:tc>
      </w:tr>
    </w:tbl>
    <w:p/>
    <w:p>
      <w:pPr>
        <w:pStyle w:val="Heading1"/>
      </w:pPr>
      <w:r>
        <w:t>Metodología y limitaciones</w:t>
      </w:r>
    </w:p>
    <w:p>
      <w:pPr>
        <w:pStyle w:val="ListBullet"/>
      </w:pPr>
      <w:r>
        <w:t>Datos obtenidos en vivo via el servidor MCP oficial googleanalytics/google-analytics-mcp (Apache 2.0, Google), autenticado con Application Default Credentials del proyecto doppler-dddcon.</w:t>
      </w:r>
    </w:p>
    <w:p>
      <w:pPr>
        <w:pStyle w:val="ListBullet"/>
      </w:pPr>
      <w:r>
        <w:t>La sesion interactiva de Claude Code no logro cargar el servidor MCP recien registrado; se conecto manualmente hablando el protocolo MCP (JSON-RPC sobre stdio) directamente contra el proceso pipx run analytics-mcp.</w:t>
      </w:r>
    </w:p>
    <w:p>
      <w:pPr>
        <w:pStyle w:val="ListBullet"/>
      </w:pPr>
      <w:r>
        <w:t>Periodo de datos: ultimos 30 dias (zona horaria de cada propiedad, America/Santiago).</w:t>
      </w:r>
    </w:p>
    <w:p>
      <w:pPr>
        <w:pStyle w:val="ListBullet"/>
      </w:pPr>
      <w:r>
        <w:t>El reporte especializado de conversiones no acepto eventName como dimension en esta version del servidor; se sustituyo por un reporte estandar equivalente.</w:t>
      </w:r>
    </w:p>
    <w:p>
      <w:pPr>
        <w:pStyle w:val="ListBullet"/>
      </w:pPr>
      <w:r>
        <w:t>No se audito diagnostico.defensordelcontribuyente.cl porque no existe una propiedad GA4 asociada a ese subdominio.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