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ClickUp — Consolidación y Auditoría GA4</w:t>
      </w:r>
    </w:p>
    <w:p>
      <w:r>
        <w:rPr>
          <w:b/>
        </w:rPr>
        <w:t xml:space="preserve">Fecha: </w:t>
      </w:r>
      <w:r>
        <w:t>18-08-2026</w:t>
        <w:br/>
      </w:r>
      <w:r>
        <w:rPr>
          <w:b/>
        </w:rPr>
        <w:t xml:space="preserve">Estado: </w:t>
      </w:r>
      <w:r>
        <w:t>Pre-auditoría — basado en hallazgos ya confirmados de auditorías previas (tracking, WordPress, 14 URL de campañas).</w:t>
        <w:br/>
      </w:r>
      <w:r>
        <w:rPr>
          <w:b/>
        </w:rPr>
        <w:t xml:space="preserve">Formato: </w:t>
      </w:r>
      <w:r>
        <w:t>tareas listas para crear como cards en ClickUp, uno por fila.</w:t>
      </w:r>
    </w:p>
    <w:p>
      <w:r>
        <w:rPr>
          <w:i/>
        </w:rPr>
        <w:t>Nota de estado: el servidor MCP oficial de Google Analytics (googleanalytics/google-analytics-mcp) quedó instalado y con credenciales reales configuradas en esta sesión de trabajo, pero requiere un reinicio de la sesión de Claude Code para cargar. Este backlog se armó con lo que ya está confirmado por auditorías anteriores. Apenas se ejecute la auditoría en vivo, este documento se complementa con datos reales de tráfico, conversión y calidad de eventos — no reemplaza esa auditoría, la prepara.</w:t>
      </w:r>
    </w:p>
    <w:p>
      <w:pPr>
        <w:pStyle w:val="Heading1"/>
      </w:pPr>
      <w:r>
        <w:t>1. Consolidación de tracking (bloqueante para medir cualquier resultado)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Tarea / Activo</w:t>
            </w:r>
          </w:p>
        </w:tc>
        <w:tc>
          <w:tcPr>
            <w:tcW w:type="dxa" w:w="1234"/>
          </w:tcPr>
          <w:p>
            <w:r>
              <w:t>Tipo</w:t>
            </w:r>
          </w:p>
        </w:tc>
        <w:tc>
          <w:tcPr>
            <w:tcW w:type="dxa" w:w="1234"/>
          </w:tcPr>
          <w:p>
            <w:r>
              <w:t>Responsable</w:t>
            </w:r>
          </w:p>
        </w:tc>
        <w:tc>
          <w:tcPr>
            <w:tcW w:type="dxa" w:w="1234"/>
          </w:tcPr>
          <w:p>
            <w:r>
              <w:t>Impacto</w:t>
            </w:r>
          </w:p>
        </w:tc>
        <w:tc>
          <w:tcPr>
            <w:tcW w:type="dxa" w:w="1234"/>
          </w:tcPr>
          <w:p>
            <w:r>
              <w:t>Tiempo estimado</w:t>
            </w:r>
          </w:p>
        </w:tc>
        <w:tc>
          <w:tcPr>
            <w:tcW w:type="dxa" w:w="1234"/>
          </w:tcPr>
          <w:p>
            <w:r>
              <w:t>Notas / criterios de aceptación</w:t>
            </w:r>
          </w:p>
        </w:tc>
      </w:tr>
      <w:tr>
        <w:tc>
          <w:tcPr>
            <w:tcW w:type="dxa" w:w="1234"/>
          </w:tcPr>
          <w:p>
            <w:r>
              <w:t>G1</w:t>
            </w:r>
          </w:p>
        </w:tc>
        <w:tc>
          <w:tcPr>
            <w:tcW w:type="dxa" w:w="1234"/>
          </w:tcPr>
          <w:p>
            <w:r>
              <w:t>Instalar Google Tag Manager + tag de configuración GA4 en diagnostico.defensordelcontribuyente.cl</w:t>
            </w:r>
          </w:p>
        </w:tc>
        <w:tc>
          <w:tcPr>
            <w:tcW w:type="dxa" w:w="1234"/>
          </w:tcPr>
          <w:p>
            <w:r>
              <w:t>Tarea</w:t>
            </w:r>
          </w:p>
        </w:tc>
        <w:tc>
          <w:tcPr>
            <w:tcW w:type="dxa" w:w="1234"/>
          </w:tcPr>
          <w:p>
            <w:r>
              <w:t>Agencia-prestador</w:t>
            </w:r>
          </w:p>
        </w:tc>
        <w:tc>
          <w:tcPr>
            <w:tcW w:type="dxa" w:w="1234"/>
          </w:tcPr>
          <w:p>
            <w:r>
              <w:t>Alto</w:t>
            </w:r>
          </w:p>
        </w:tc>
        <w:tc>
          <w:tcPr>
            <w:tcW w:type="dxa" w:w="1234"/>
          </w:tcPr>
          <w:p>
            <w:r>
              <w:t>1-2 horas</w:t>
            </w:r>
          </w:p>
        </w:tc>
        <w:tc>
          <w:tcPr>
            <w:tcW w:type="dxa" w:w="1234"/>
          </w:tcPr>
          <w:p>
            <w:r>
              <w:t>Confirmado: 0 contenedores GTM en esta herramienta. Es el formulario de mayor intención del ecosistema y hoy no genera ni un evento en GA4</w:t>
            </w:r>
          </w:p>
        </w:tc>
      </w:tr>
      <w:tr>
        <w:tc>
          <w:tcPr>
            <w:tcW w:type="dxa" w:w="1234"/>
          </w:tcPr>
          <w:p>
            <w:r>
              <w:t>G2</w:t>
            </w:r>
          </w:p>
        </w:tc>
        <w:tc>
          <w:tcPr>
            <w:tcW w:type="dxa" w:w="1234"/>
          </w:tcPr>
          <w:p>
            <w:r>
              <w:t>Eliminar uno de los dos contenedores GTM duplicados (GTM-N7BQZZW / GTM-MQC692WV) en las 8 URL del dominio principal</w:t>
            </w:r>
          </w:p>
        </w:tc>
        <w:tc>
          <w:tcPr>
            <w:tcW w:type="dxa" w:w="1234"/>
          </w:tcPr>
          <w:p>
            <w:r>
              <w:t>Tarea</w:t>
            </w:r>
          </w:p>
        </w:tc>
        <w:tc>
          <w:tcPr>
            <w:tcW w:type="dxa" w:w="1234"/>
          </w:tcPr>
          <w:p>
            <w:r>
              <w:t>Agencia-prestador</w:t>
            </w:r>
          </w:p>
        </w:tc>
        <w:tc>
          <w:tcPr>
            <w:tcW w:type="dxa" w:w="1234"/>
          </w:tcPr>
          <w:p>
            <w:r>
              <w:t>Alto</w:t>
            </w:r>
          </w:p>
        </w:tc>
        <w:tc>
          <w:tcPr>
            <w:tcW w:type="dxa" w:w="1234"/>
          </w:tcPr>
          <w:p>
            <w:r>
              <w:t>1-2 horas</w:t>
            </w:r>
          </w:p>
        </w:tc>
        <w:tc>
          <w:tcPr>
            <w:tcW w:type="dxa" w:w="1234"/>
          </w:tcPr>
          <w:p>
            <w:r>
              <w:t>Confirmado en la auditoría de 14 URL. Mientras ambos estén activos, cualquier evento de GA4 disparado desde GTM puede estar duplicándose</w:t>
            </w:r>
          </w:p>
        </w:tc>
      </w:tr>
      <w:tr>
        <w:tc>
          <w:tcPr>
            <w:tcW w:type="dxa" w:w="1234"/>
          </w:tcPr>
          <w:p>
            <w:r>
              <w:t>G3 🔒</w:t>
            </w:r>
          </w:p>
        </w:tc>
        <w:tc>
          <w:tcPr>
            <w:tcW w:type="dxa" w:w="1234"/>
          </w:tcPr>
          <w:p>
            <w:r>
              <w:t>Verificar, tras G2, que el tag de configuración GA4 no quede disparando dos veces por página</w:t>
            </w:r>
          </w:p>
        </w:tc>
        <w:tc>
          <w:tcPr>
            <w:tcW w:type="dxa" w:w="1234"/>
          </w:tcPr>
          <w:p>
            <w:r>
              <w:t>Tarea</w:t>
            </w:r>
          </w:p>
        </w:tc>
        <w:tc>
          <w:tcPr>
            <w:tcW w:type="dxa" w:w="1234"/>
          </w:tcPr>
          <w:p>
            <w:r>
              <w:t>Agencia-prestador</w:t>
            </w:r>
          </w:p>
        </w:tc>
        <w:tc>
          <w:tcPr>
            <w:tcW w:type="dxa" w:w="1234"/>
          </w:tcPr>
          <w:p>
            <w:r>
              <w:t>Alto</w:t>
            </w:r>
          </w:p>
        </w:tc>
        <w:tc>
          <w:tcPr>
            <w:tcW w:type="dxa" w:w="1234"/>
          </w:tcPr>
          <w:p>
            <w:r>
              <w:t>30 min</w:t>
            </w:r>
          </w:p>
        </w:tc>
        <w:tc>
          <w:tcPr>
            <w:tcW w:type="dxa" w:w="1234"/>
          </w:tcPr>
          <w:p>
            <w:r>
              <w:t>Criterio de aceptación: en DebugView, un page_view por carga de página, no dos</w:t>
            </w:r>
          </w:p>
        </w:tc>
      </w:tr>
      <w:tr>
        <w:tc>
          <w:tcPr>
            <w:tcW w:type="dxa" w:w="1234"/>
          </w:tcPr>
          <w:p>
            <w:r>
              <w:t>G4</w:t>
            </w:r>
          </w:p>
        </w:tc>
        <w:tc>
          <w:tcPr>
            <w:tcW w:type="dxa" w:w="1234"/>
          </w:tcPr>
          <w:p>
            <w:r>
              <w:t>Confirmar cuántos Measurement ID de GA4 (G-XXXXXXX) están en uso hoy y en qué subdominios</w:t>
            </w:r>
          </w:p>
        </w:tc>
        <w:tc>
          <w:tcPr>
            <w:tcW w:type="dxa" w:w="1234"/>
          </w:tcPr>
          <w:p>
            <w:r>
              <w:t>Tarea</w:t>
            </w:r>
          </w:p>
        </w:tc>
        <w:tc>
          <w:tcPr>
            <w:tcW w:type="dxa" w:w="1234"/>
          </w:tcPr>
          <w:p>
            <w:r>
              <w:t>Agencia-prestador</w:t>
            </w:r>
          </w:p>
        </w:tc>
        <w:tc>
          <w:tcPr>
            <w:tcW w:type="dxa" w:w="1234"/>
          </w:tcPr>
          <w:p>
            <w:r>
              <w:t>Alto</w:t>
            </w:r>
          </w:p>
        </w:tc>
        <w:tc>
          <w:tcPr>
            <w:tcW w:type="dxa" w:w="1234"/>
          </w:tcPr>
          <w:p>
            <w:r>
              <w:t>1 hora</w:t>
            </w:r>
          </w:p>
        </w:tc>
        <w:tc>
          <w:tcPr>
            <w:tcW w:type="dxa" w:w="1234"/>
          </w:tcPr>
          <w:p>
            <w:r>
              <w:t>Tres instalaciones WordPress independientes — riesgo de config GA4 sin coordinar</w:t>
            </w:r>
          </w:p>
        </w:tc>
      </w:tr>
      <w:tr>
        <w:tc>
          <w:tcPr>
            <w:tcW w:type="dxa" w:w="1234"/>
          </w:tcPr>
          <w:p>
            <w:r>
              <w:t>G5</w:t>
            </w:r>
          </w:p>
        </w:tc>
        <w:tc>
          <w:tcPr>
            <w:tcW w:type="dxa" w:w="1234"/>
          </w:tcPr>
          <w:p>
            <w:r>
              <w:t>Configurar cross-domain measurement entre defensordelcontribuyente.cl, servicios. y diagnostico.</w:t>
            </w:r>
          </w:p>
        </w:tc>
        <w:tc>
          <w:tcPr>
            <w:tcW w:type="dxa" w:w="1234"/>
          </w:tcPr>
          <w:p>
            <w:r>
              <w:t>Tarea</w:t>
            </w:r>
          </w:p>
        </w:tc>
        <w:tc>
          <w:tcPr>
            <w:tcW w:type="dxa" w:w="1234"/>
          </w:tcPr>
          <w:p>
            <w:r>
              <w:t>Agencia-prestador</w:t>
            </w:r>
          </w:p>
        </w:tc>
        <w:tc>
          <w:tcPr>
            <w:tcW w:type="dxa" w:w="1234"/>
          </w:tcPr>
          <w:p>
            <w:r>
              <w:t>Alto</w:t>
            </w:r>
          </w:p>
        </w:tc>
        <w:tc>
          <w:tcPr>
            <w:tcW w:type="dxa" w:w="1234"/>
          </w:tcPr>
          <w:p>
            <w:r>
              <w:t>2-3 horas</w:t>
            </w:r>
          </w:p>
        </w:tc>
        <w:tc>
          <w:tcPr>
            <w:tcW w:type="dxa" w:w="1234"/>
          </w:tcPr>
          <w:p>
            <w:r>
              <w:t>Sin esto, cruzar de subdominio cuenta como sesión nueva y se pierde el recorrido real hasta la conversión</w:t>
            </w:r>
          </w:p>
        </w:tc>
      </w:tr>
    </w:tbl>
    <w:p/>
    <w:p>
      <w:pPr>
        <w:pStyle w:val="Heading1"/>
      </w:pPr>
      <w:r>
        <w:t>2. Eventos de conversión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Tarea / Activo</w:t>
            </w:r>
          </w:p>
        </w:tc>
        <w:tc>
          <w:tcPr>
            <w:tcW w:type="dxa" w:w="1234"/>
          </w:tcPr>
          <w:p>
            <w:r>
              <w:t>Tipo</w:t>
            </w:r>
          </w:p>
        </w:tc>
        <w:tc>
          <w:tcPr>
            <w:tcW w:type="dxa" w:w="1234"/>
          </w:tcPr>
          <w:p>
            <w:r>
              <w:t>Responsable</w:t>
            </w:r>
          </w:p>
        </w:tc>
        <w:tc>
          <w:tcPr>
            <w:tcW w:type="dxa" w:w="1234"/>
          </w:tcPr>
          <w:p>
            <w:r>
              <w:t>Impacto</w:t>
            </w:r>
          </w:p>
        </w:tc>
        <w:tc>
          <w:tcPr>
            <w:tcW w:type="dxa" w:w="1234"/>
          </w:tcPr>
          <w:p>
            <w:r>
              <w:t>Tiempo estimado</w:t>
            </w:r>
          </w:p>
        </w:tc>
        <w:tc>
          <w:tcPr>
            <w:tcW w:type="dxa" w:w="1234"/>
          </w:tcPr>
          <w:p>
            <w:r>
              <w:t>Notas / criterios de aceptación</w:t>
            </w:r>
          </w:p>
        </w:tc>
      </w:tr>
      <w:tr>
        <w:tc>
          <w:tcPr>
            <w:tcW w:type="dxa" w:w="1234"/>
          </w:tcPr>
          <w:p>
            <w:r>
              <w:t>G6</w:t>
            </w:r>
          </w:p>
        </w:tc>
        <w:tc>
          <w:tcPr>
            <w:tcW w:type="dxa" w:w="1234"/>
          </w:tcPr>
          <w:p>
            <w:r>
              <w:t>Marcar como conversión en GA4 el envío de formulario en páginas de servicio, FAQ y diagnóstico</w:t>
            </w:r>
          </w:p>
        </w:tc>
        <w:tc>
          <w:tcPr>
            <w:tcW w:type="dxa" w:w="1234"/>
          </w:tcPr>
          <w:p>
            <w:r>
              <w:t>Tarea</w:t>
            </w:r>
          </w:p>
        </w:tc>
        <w:tc>
          <w:tcPr>
            <w:tcW w:type="dxa" w:w="1234"/>
          </w:tcPr>
          <w:p>
            <w:r>
              <w:t>Agencia-prestador</w:t>
            </w:r>
          </w:p>
        </w:tc>
        <w:tc>
          <w:tcPr>
            <w:tcW w:type="dxa" w:w="1234"/>
          </w:tcPr>
          <w:p>
            <w:r>
              <w:t>Alto</w:t>
            </w:r>
          </w:p>
        </w:tc>
        <w:tc>
          <w:tcPr>
            <w:tcW w:type="dxa" w:w="1234"/>
          </w:tcPr>
          <w:p>
            <w:r>
              <w:t>1-2 horas</w:t>
            </w:r>
          </w:p>
        </w:tc>
        <w:tc>
          <w:tcPr>
            <w:tcW w:type="dxa" w:w="1234"/>
          </w:tcPr>
          <w:p>
            <w:r>
              <w:t>Depende de G1 para diagnostico.</w:t>
            </w:r>
          </w:p>
        </w:tc>
      </w:tr>
      <w:tr>
        <w:tc>
          <w:tcPr>
            <w:tcW w:type="dxa" w:w="1234"/>
          </w:tcPr>
          <w:p>
            <w:r>
              <w:t>G7</w:t>
            </w:r>
          </w:p>
        </w:tc>
        <w:tc>
          <w:tcPr>
            <w:tcW w:type="dxa" w:w="1234"/>
          </w:tcPr>
          <w:p>
            <w:r>
              <w:t>Marcar como conversión los clics a WhatsApp (8 de 14 URL auditadas) y a teléfono</w:t>
            </w:r>
          </w:p>
        </w:tc>
        <w:tc>
          <w:tcPr>
            <w:tcW w:type="dxa" w:w="1234"/>
          </w:tcPr>
          <w:p>
            <w:r>
              <w:t>Tarea</w:t>
            </w:r>
          </w:p>
        </w:tc>
        <w:tc>
          <w:tcPr>
            <w:tcW w:type="dxa" w:w="1234"/>
          </w:tcPr>
          <w:p>
            <w:r>
              <w:t>Agencia-prestador</w:t>
            </w:r>
          </w:p>
        </w:tc>
        <w:tc>
          <w:tcPr>
            <w:tcW w:type="dxa" w:w="1234"/>
          </w:tcPr>
          <w:p>
            <w:r>
              <w:t>Alto</w:t>
            </w:r>
          </w:p>
        </w:tc>
        <w:tc>
          <w:tcPr>
            <w:tcW w:type="dxa" w:w="1234"/>
          </w:tcPr>
          <w:p>
            <w:r>
              <w:t>1 hora</w:t>
            </w:r>
          </w:p>
        </w:tc>
        <w:tc>
          <w:tcPr>
            <w:tcW w:type="dxa" w:w="1234"/>
          </w:tcPr>
          <w:p>
            <w:r>
              <w:t>Confirmar que el clic dispara un evento medible, no solo un enlace sin tracking</w:t>
            </w:r>
          </w:p>
        </w:tc>
      </w:tr>
      <w:tr>
        <w:tc>
          <w:tcPr>
            <w:tcW w:type="dxa" w:w="1234"/>
          </w:tcPr>
          <w:p>
            <w:r>
              <w:t>G8</w:t>
            </w:r>
          </w:p>
        </w:tc>
        <w:tc>
          <w:tcPr>
            <w:tcW w:type="dxa" w:w="1234"/>
          </w:tcPr>
          <w:p>
            <w:r>
              <w:t>Definir junto al equipo qué cuenta como "lead calificado"</w:t>
            </w:r>
          </w:p>
        </w:tc>
        <w:tc>
          <w:tcPr>
            <w:tcW w:type="dxa" w:w="1234"/>
          </w:tcPr>
          <w:p>
            <w:r>
              <w:t>Tarea</w:t>
            </w:r>
          </w:p>
        </w:tc>
        <w:tc>
          <w:tcPr>
            <w:tcW w:type="dxa" w:w="1234"/>
          </w:tcPr>
          <w:p>
            <w:r>
              <w:t>Cliente-Estudio</w:t>
            </w:r>
          </w:p>
        </w:tc>
        <w:tc>
          <w:tcPr>
            <w:tcW w:type="dxa" w:w="1234"/>
          </w:tcPr>
          <w:p>
            <w:r>
              <w:t>Alto</w:t>
            </w:r>
          </w:p>
        </w:tc>
        <w:tc>
          <w:tcPr>
            <w:tcW w:type="dxa" w:w="1234"/>
          </w:tcPr>
          <w:p>
            <w:r>
              <w:t>1 reunión (1 hora)</w:t>
            </w:r>
          </w:p>
        </w:tc>
        <w:tc>
          <w:tcPr>
            <w:tcW w:type="dxa" w:w="1234"/>
          </w:tcPr>
          <w:p>
            <w:r>
              <w:t>Insumo obligatorio para G9</w:t>
            </w:r>
          </w:p>
        </w:tc>
      </w:tr>
      <w:tr>
        <w:tc>
          <w:tcPr>
            <w:tcW w:type="dxa" w:w="1234"/>
          </w:tcPr>
          <w:p>
            <w:r>
              <w:t>G9</w:t>
            </w:r>
          </w:p>
        </w:tc>
        <w:tc>
          <w:tcPr>
            <w:tcW w:type="dxa" w:w="1234"/>
          </w:tcPr>
          <w:p>
            <w:r>
              <w:t>Configurar el evento de "lead calificado" (G8) como conversión clave en GA4</w:t>
            </w:r>
          </w:p>
        </w:tc>
        <w:tc>
          <w:tcPr>
            <w:tcW w:type="dxa" w:w="1234"/>
          </w:tcPr>
          <w:p>
            <w:r>
              <w:t>Tarea</w:t>
            </w:r>
          </w:p>
        </w:tc>
        <w:tc>
          <w:tcPr>
            <w:tcW w:type="dxa" w:w="1234"/>
          </w:tcPr>
          <w:p>
            <w:r>
              <w:t>Agencia-prestador</w:t>
            </w:r>
          </w:p>
        </w:tc>
        <w:tc>
          <w:tcPr>
            <w:tcW w:type="dxa" w:w="1234"/>
          </w:tcPr>
          <w:p>
            <w:r>
              <w:t>Alto</w:t>
            </w:r>
          </w:p>
        </w:tc>
        <w:tc>
          <w:tcPr>
            <w:tcW w:type="dxa" w:w="1234"/>
          </w:tcPr>
          <w:p>
            <w:r>
              <w:t>1-2 horas</w:t>
            </w:r>
          </w:p>
        </w:tc>
        <w:tc>
          <w:tcPr>
            <w:tcW w:type="dxa" w:w="1234"/>
          </w:tcPr>
          <w:p>
            <w:r>
              <w:t>Depende de G8</w:t>
            </w:r>
          </w:p>
        </w:tc>
      </w:tr>
    </w:tbl>
    <w:p/>
    <w:p>
      <w:pPr>
        <w:pStyle w:val="Heading1"/>
      </w:pPr>
      <w:r>
        <w:t>3. Vinculación con Google Ads y otras herramientas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Tarea / Activo</w:t>
            </w:r>
          </w:p>
        </w:tc>
        <w:tc>
          <w:tcPr>
            <w:tcW w:type="dxa" w:w="1234"/>
          </w:tcPr>
          <w:p>
            <w:r>
              <w:t>Tipo</w:t>
            </w:r>
          </w:p>
        </w:tc>
        <w:tc>
          <w:tcPr>
            <w:tcW w:type="dxa" w:w="1234"/>
          </w:tcPr>
          <w:p>
            <w:r>
              <w:t>Responsable</w:t>
            </w:r>
          </w:p>
        </w:tc>
        <w:tc>
          <w:tcPr>
            <w:tcW w:type="dxa" w:w="1234"/>
          </w:tcPr>
          <w:p>
            <w:r>
              <w:t>Impacto</w:t>
            </w:r>
          </w:p>
        </w:tc>
        <w:tc>
          <w:tcPr>
            <w:tcW w:type="dxa" w:w="1234"/>
          </w:tcPr>
          <w:p>
            <w:r>
              <w:t>Tiempo estimado</w:t>
            </w:r>
          </w:p>
        </w:tc>
        <w:tc>
          <w:tcPr>
            <w:tcW w:type="dxa" w:w="1234"/>
          </w:tcPr>
          <w:p>
            <w:r>
              <w:t>Notas / criterios de aceptación</w:t>
            </w:r>
          </w:p>
        </w:tc>
      </w:tr>
      <w:tr>
        <w:tc>
          <w:tcPr>
            <w:tcW w:type="dxa" w:w="1234"/>
          </w:tcPr>
          <w:p>
            <w:r>
              <w:t>G10</w:t>
            </w:r>
          </w:p>
        </w:tc>
        <w:tc>
          <w:tcPr>
            <w:tcW w:type="dxa" w:w="1234"/>
          </w:tcPr>
          <w:p>
            <w:r>
              <w:t>Vincular la propiedad GA4 con la cuenta de Google Ads (AW-593050363)</w:t>
            </w:r>
          </w:p>
        </w:tc>
        <w:tc>
          <w:tcPr>
            <w:tcW w:type="dxa" w:w="1234"/>
          </w:tcPr>
          <w:p>
            <w:r>
              <w:t>Tarea</w:t>
            </w:r>
          </w:p>
        </w:tc>
        <w:tc>
          <w:tcPr>
            <w:tcW w:type="dxa" w:w="1234"/>
          </w:tcPr>
          <w:p>
            <w:r>
              <w:t>Agencia-prestador</w:t>
            </w:r>
          </w:p>
        </w:tc>
        <w:tc>
          <w:tcPr>
            <w:tcW w:type="dxa" w:w="1234"/>
          </w:tcPr>
          <w:p>
            <w:r>
              <w:t>Alto</w:t>
            </w:r>
          </w:p>
        </w:tc>
        <w:tc>
          <w:tcPr>
            <w:tcW w:type="dxa" w:w="1234"/>
          </w:tcPr>
          <w:p>
            <w:r>
              <w:t>30 min</w:t>
            </w:r>
          </w:p>
        </w:tc>
        <w:tc>
          <w:tcPr>
            <w:tcW w:type="dxa" w:w="1234"/>
          </w:tcPr>
          <w:p>
            <w:r>
              <w:t>Habilita que conversiones reales de GA4 alimenten la optimización de campañas</w:t>
            </w:r>
          </w:p>
        </w:tc>
      </w:tr>
      <w:tr>
        <w:tc>
          <w:tcPr>
            <w:tcW w:type="dxa" w:w="1234"/>
          </w:tcPr>
          <w:p>
            <w:r>
              <w:t>G11</w:t>
            </w:r>
          </w:p>
        </w:tc>
        <w:tc>
          <w:tcPr>
            <w:tcW w:type="dxa" w:w="1234"/>
          </w:tcPr>
          <w:p>
            <w:r>
              <w:t>Importar como conversión de Google Ads los eventos definidos en G6/G7/G9</w:t>
            </w:r>
          </w:p>
        </w:tc>
        <w:tc>
          <w:tcPr>
            <w:tcW w:type="dxa" w:w="1234"/>
          </w:tcPr>
          <w:p>
            <w:r>
              <w:t>Tarea</w:t>
            </w:r>
          </w:p>
        </w:tc>
        <w:tc>
          <w:tcPr>
            <w:tcW w:type="dxa" w:w="1234"/>
          </w:tcPr>
          <w:p>
            <w:r>
              <w:t>Agencia-prestador</w:t>
            </w:r>
          </w:p>
        </w:tc>
        <w:tc>
          <w:tcPr>
            <w:tcW w:type="dxa" w:w="1234"/>
          </w:tcPr>
          <w:p>
            <w:r>
              <w:t>Alto</w:t>
            </w:r>
          </w:p>
        </w:tc>
        <w:tc>
          <w:tcPr>
            <w:tcW w:type="dxa" w:w="1234"/>
          </w:tcPr>
          <w:p>
            <w:r>
              <w:t>1 hora</w:t>
            </w:r>
          </w:p>
        </w:tc>
        <w:tc>
          <w:tcPr>
            <w:tcW w:type="dxa" w:w="1234"/>
          </w:tcPr>
          <w:p>
            <w:r>
              <w:t>Depende de G10</w:t>
            </w:r>
          </w:p>
        </w:tc>
      </w:tr>
      <w:tr>
        <w:tc>
          <w:tcPr>
            <w:tcW w:type="dxa" w:w="1234"/>
          </w:tcPr>
          <w:p>
            <w:r>
              <w:t>G12</w:t>
            </w:r>
          </w:p>
        </w:tc>
        <w:tc>
          <w:tcPr>
            <w:tcW w:type="dxa" w:w="1234"/>
          </w:tcPr>
          <w:p>
            <w:r>
              <w:t>Evaluar instalación de Meta Pixel y vincular sus eventos con los mismos hitos de GA4</w:t>
            </w:r>
          </w:p>
        </w:tc>
        <w:tc>
          <w:tcPr>
            <w:tcW w:type="dxa" w:w="1234"/>
          </w:tcPr>
          <w:p>
            <w:r>
              <w:t>Tarea</w:t>
            </w:r>
          </w:p>
        </w:tc>
        <w:tc>
          <w:tcPr>
            <w:tcW w:type="dxa" w:w="1234"/>
          </w:tcPr>
          <w:p>
            <w:r>
              <w:t>Cliente-Estudio decide · Agencia implementa</w:t>
            </w:r>
          </w:p>
        </w:tc>
        <w:tc>
          <w:tcPr>
            <w:tcW w:type="dxa" w:w="1234"/>
          </w:tcPr>
          <w:p>
            <w:r>
              <w:t>Alto</w:t>
            </w:r>
          </w:p>
        </w:tc>
        <w:tc>
          <w:tcPr>
            <w:tcW w:type="dxa" w:w="1234"/>
          </w:tcPr>
          <w:p>
            <w:r>
              <w:t>2-3 horas</w:t>
            </w:r>
          </w:p>
        </w:tc>
        <w:tc>
          <w:tcPr>
            <w:tcW w:type="dxa" w:w="1234"/>
          </w:tcPr>
          <w:p>
            <w:r>
              <w:t>Meta Pixel ausente en las 14 URL auditadas. Bloqueante si se piensa pautar en Meta</w:t>
            </w:r>
          </w:p>
        </w:tc>
      </w:tr>
    </w:tbl>
    <w:p/>
    <w:p>
      <w:pPr>
        <w:pStyle w:val="Heading1"/>
      </w:pPr>
      <w:r>
        <w:t>4. Calidad de datos y medición mejorada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Tarea / Activo</w:t>
            </w:r>
          </w:p>
        </w:tc>
        <w:tc>
          <w:tcPr>
            <w:tcW w:type="dxa" w:w="1234"/>
          </w:tcPr>
          <w:p>
            <w:r>
              <w:t>Tipo</w:t>
            </w:r>
          </w:p>
        </w:tc>
        <w:tc>
          <w:tcPr>
            <w:tcW w:type="dxa" w:w="1234"/>
          </w:tcPr>
          <w:p>
            <w:r>
              <w:t>Responsable</w:t>
            </w:r>
          </w:p>
        </w:tc>
        <w:tc>
          <w:tcPr>
            <w:tcW w:type="dxa" w:w="1234"/>
          </w:tcPr>
          <w:p>
            <w:r>
              <w:t>Impacto</w:t>
            </w:r>
          </w:p>
        </w:tc>
        <w:tc>
          <w:tcPr>
            <w:tcW w:type="dxa" w:w="1234"/>
          </w:tcPr>
          <w:p>
            <w:r>
              <w:t>Tiempo estimado</w:t>
            </w:r>
          </w:p>
        </w:tc>
        <w:tc>
          <w:tcPr>
            <w:tcW w:type="dxa" w:w="1234"/>
          </w:tcPr>
          <w:p>
            <w:r>
              <w:t>Notas / criterios de aceptación</w:t>
            </w:r>
          </w:p>
        </w:tc>
      </w:tr>
      <w:tr>
        <w:tc>
          <w:tcPr>
            <w:tcW w:type="dxa" w:w="1234"/>
          </w:tcPr>
          <w:p>
            <w:r>
              <w:t>G13</w:t>
            </w:r>
          </w:p>
        </w:tc>
        <w:tc>
          <w:tcPr>
            <w:tcW w:type="dxa" w:w="1234"/>
          </w:tcPr>
          <w:p>
            <w:r>
              <w:t>Revisar Enhanced Measurement (scroll, clics salientes, descargas, búsqueda en el sitio)</w:t>
            </w:r>
          </w:p>
        </w:tc>
        <w:tc>
          <w:tcPr>
            <w:tcW w:type="dxa" w:w="1234"/>
          </w:tcPr>
          <w:p>
            <w:r>
              <w:t>Tarea</w:t>
            </w:r>
          </w:p>
        </w:tc>
        <w:tc>
          <w:tcPr>
            <w:tcW w:type="dxa" w:w="1234"/>
          </w:tcPr>
          <w:p>
            <w:r>
              <w:t>Agencia-prestador</w:t>
            </w:r>
          </w:p>
        </w:tc>
        <w:tc>
          <w:tcPr>
            <w:tcW w:type="dxa" w:w="1234"/>
          </w:tcPr>
          <w:p>
            <w:r>
              <w:t>Medio</w:t>
            </w:r>
          </w:p>
        </w:tc>
        <w:tc>
          <w:tcPr>
            <w:tcW w:type="dxa" w:w="1234"/>
          </w:tcPr>
          <w:p>
            <w:r>
              <w:t>1 hora</w:t>
            </w:r>
          </w:p>
        </w:tc>
        <w:tc>
          <w:tcPr>
            <w:tcW w:type="dxa" w:w="1234"/>
          </w:tcPr>
          <w:p>
            <w:r>
              <w:t>Estándar de GA4, verificar que no quede desactivado</w:t>
            </w:r>
          </w:p>
        </w:tc>
      </w:tr>
      <w:tr>
        <w:tc>
          <w:tcPr>
            <w:tcW w:type="dxa" w:w="1234"/>
          </w:tcPr>
          <w:p>
            <w:r>
              <w:t>G14</w:t>
            </w:r>
          </w:p>
        </w:tc>
        <w:tc>
          <w:tcPr>
            <w:tcW w:type="dxa" w:w="1234"/>
          </w:tcPr>
          <w:p>
            <w:r>
              <w:t>Excluir tráfico interno (equipo del Estudio y agencia) de los reportes de GA4</w:t>
            </w:r>
          </w:p>
        </w:tc>
        <w:tc>
          <w:tcPr>
            <w:tcW w:type="dxa" w:w="1234"/>
          </w:tcPr>
          <w:p>
            <w:r>
              <w:t>Tarea</w:t>
            </w:r>
          </w:p>
        </w:tc>
        <w:tc>
          <w:tcPr>
            <w:tcW w:type="dxa" w:w="1234"/>
          </w:tcPr>
          <w:p>
            <w:r>
              <w:t>Agencia-prestador</w:t>
            </w:r>
          </w:p>
        </w:tc>
        <w:tc>
          <w:tcPr>
            <w:tcW w:type="dxa" w:w="1234"/>
          </w:tcPr>
          <w:p>
            <w:r>
              <w:t>Medio</w:t>
            </w:r>
          </w:p>
        </w:tc>
        <w:tc>
          <w:tcPr>
            <w:tcW w:type="dxa" w:w="1234"/>
          </w:tcPr>
          <w:p>
            <w:r>
              <w:t>30 min</w:t>
            </w:r>
          </w:p>
        </w:tc>
        <w:tc>
          <w:tcPr>
            <w:tcW w:type="dxa" w:w="1234"/>
          </w:tcPr>
          <w:p>
            <w:r>
              <w:t>Evita que pruebas internas infle métricas</w:t>
            </w:r>
          </w:p>
        </w:tc>
      </w:tr>
      <w:tr>
        <w:tc>
          <w:tcPr>
            <w:tcW w:type="dxa" w:w="1234"/>
          </w:tcPr>
          <w:p>
            <w:r>
              <w:t>G15</w:t>
            </w:r>
          </w:p>
        </w:tc>
        <w:tc>
          <w:tcPr>
            <w:tcW w:type="dxa" w:w="1234"/>
          </w:tcPr>
          <w:p>
            <w:r>
              <w:t>Configurar retención de datos y accesos de usuario en la propiedad GA4</w:t>
            </w:r>
          </w:p>
        </w:tc>
        <w:tc>
          <w:tcPr>
            <w:tcW w:type="dxa" w:w="1234"/>
          </w:tcPr>
          <w:p>
            <w:r>
              <w:t>Tarea</w:t>
            </w:r>
          </w:p>
        </w:tc>
        <w:tc>
          <w:tcPr>
            <w:tcW w:type="dxa" w:w="1234"/>
          </w:tcPr>
          <w:p>
            <w:r>
              <w:t>Cliente-Estudio define accesos · Agencia configura</w:t>
            </w:r>
          </w:p>
        </w:tc>
        <w:tc>
          <w:tcPr>
            <w:tcW w:type="dxa" w:w="1234"/>
          </w:tcPr>
          <w:p>
            <w:r>
              <w:t>Bajo</w:t>
            </w:r>
          </w:p>
        </w:tc>
        <w:tc>
          <w:tcPr>
            <w:tcW w:type="dxa" w:w="1234"/>
          </w:tcPr>
          <w:p>
            <w:r>
              <w:t>1 hora</w:t>
            </w:r>
          </w:p>
        </w:tc>
        <w:tc>
          <w:tcPr>
            <w:tcW w:type="dxa" w:w="1234"/>
          </w:tcPr>
          <w:p>
            <w:r>
              <w:t>Alinear con quién administra la cuenta tras el traspaso</w:t>
            </w:r>
          </w:p>
        </w:tc>
      </w:tr>
    </w:tbl>
    <w:p/>
    <w:p>
      <w:pPr>
        <w:pStyle w:val="Heading1"/>
      </w:pPr>
      <w:r>
        <w:t>5. Auditoría en vivo (pendiente de reinicio de sesión)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Tarea / Activo</w:t>
            </w:r>
          </w:p>
        </w:tc>
        <w:tc>
          <w:tcPr>
            <w:tcW w:type="dxa" w:w="1234"/>
          </w:tcPr>
          <w:p>
            <w:r>
              <w:t>Tipo</w:t>
            </w:r>
          </w:p>
        </w:tc>
        <w:tc>
          <w:tcPr>
            <w:tcW w:type="dxa" w:w="1234"/>
          </w:tcPr>
          <w:p>
            <w:r>
              <w:t>Responsable</w:t>
            </w:r>
          </w:p>
        </w:tc>
        <w:tc>
          <w:tcPr>
            <w:tcW w:type="dxa" w:w="1234"/>
          </w:tcPr>
          <w:p>
            <w:r>
              <w:t>Impacto</w:t>
            </w:r>
          </w:p>
        </w:tc>
        <w:tc>
          <w:tcPr>
            <w:tcW w:type="dxa" w:w="1234"/>
          </w:tcPr>
          <w:p>
            <w:r>
              <w:t>Tiempo estimado</w:t>
            </w:r>
          </w:p>
        </w:tc>
        <w:tc>
          <w:tcPr>
            <w:tcW w:type="dxa" w:w="1234"/>
          </w:tcPr>
          <w:p>
            <w:r>
              <w:t>Notas / criterios de aceptación</w:t>
            </w:r>
          </w:p>
        </w:tc>
      </w:tr>
      <w:tr>
        <w:tc>
          <w:tcPr>
            <w:tcW w:type="dxa" w:w="1234"/>
          </w:tcPr>
          <w:p>
            <w:r>
              <w:t>G16</w:t>
            </w:r>
          </w:p>
        </w:tc>
        <w:tc>
          <w:tcPr>
            <w:tcW w:type="dxa" w:w="1234"/>
          </w:tcPr>
          <w:p>
            <w:r>
              <w:t>Ejecutar auditoría GA4 en vivo con datos reales (tráfico, conversiones, embudos, tiempo real) vía MCP oficial</w:t>
            </w:r>
          </w:p>
        </w:tc>
        <w:tc>
          <w:tcPr>
            <w:tcW w:type="dxa" w:w="1234"/>
          </w:tcPr>
          <w:p>
            <w:r>
              <w:t>Tarea</w:t>
            </w:r>
          </w:p>
        </w:tc>
        <w:tc>
          <w:tcPr>
            <w:tcW w:type="dxa" w:w="1234"/>
          </w:tcPr>
          <w:p>
            <w:r>
              <w:t>Cliente-Estudio (vía Claude Code)</w:t>
            </w:r>
          </w:p>
        </w:tc>
        <w:tc>
          <w:tcPr>
            <w:tcW w:type="dxa" w:w="1234"/>
          </w:tcPr>
          <w:p>
            <w:r>
              <w:t>Alto</w:t>
            </w:r>
          </w:p>
        </w:tc>
        <w:tc>
          <w:tcPr>
            <w:tcW w:type="dxa" w:w="1234"/>
          </w:tcPr>
          <w:p>
            <w:r>
              <w:t>10-15 min</w:t>
            </w:r>
          </w:p>
        </w:tc>
        <w:tc>
          <w:tcPr>
            <w:tcW w:type="dxa" w:w="1234"/>
          </w:tcPr>
          <w:p>
            <w:r>
              <w:t>Requiere reiniciar la sesión de Claude Code para cargar el servidor analytics-mcp ya configurado</w:t>
            </w:r>
          </w:p>
        </w:tc>
      </w:tr>
    </w:tbl>
    <w:p/>
    <w:p>
      <w:pPr>
        <w:pStyle w:val="Heading1"/>
      </w:pPr>
      <w:r>
        <w:t>Resumen para ClickUp</w:t>
      </w:r>
    </w:p>
    <w:p>
      <w:pPr>
        <w:pStyle w:val="ListBullet"/>
      </w:pPr>
      <w:r>
        <w:t>16 tareas (G1-G16): 10 de Agencia-prestador, 3 conjuntas (Cliente-Estudio define/aprueba, Agencia implementa), 2 de Cliente-Estudio, 1 de ejecución directa vía Claude Code.</w:t>
      </w:r>
    </w:p>
    <w:p>
      <w:pPr>
        <w:pStyle w:val="ListBullet"/>
      </w:pPr>
      <w:r>
        <w:t>Prioridad de secuencia sugerida: 1 (tracking) -&gt; 2 (conversiones) -&gt; 3 (vinculacion Ads/Meta) -&gt; 4 (calidad de datos).</w:t>
      </w:r>
    </w:p>
    <w:p>
      <w:pPr>
        <w:pStyle w:val="ListBullet"/>
      </w:pPr>
      <w:r>
        <w:t>La seccion 5 puede correr en paralelo apenas se reinicie la sesion, no bloquea el resto.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