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Backlog ClickUp — Auditoría Técnica WordPress</w:t>
      </w:r>
    </w:p>
    <w:p>
      <w:r>
        <w:t>14 tareas (WP-01 a WP-14), derivadas de la Auditoría Técnica WordPress (DOC-19) y su correlación con las auditorías SEO/Landing ya vigentes (`consolidado/correlacion-wordpress-marketing-360.md`). Versión estructurada lista para importar en `backlog-clickup-wordpress.csv`.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Importancia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Esfuerzo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 de</w:t>
            </w:r>
          </w:p>
        </w:tc>
      </w:tr>
      <w:tr>
        <w:tc>
          <w:tcPr>
            <w:tcW w:type="dxa" w:w="1234"/>
          </w:tcPr>
          <w:p>
            <w:r>
              <w:t>WP-01</w:t>
            </w:r>
          </w:p>
        </w:tc>
        <w:tc>
          <w:tcPr>
            <w:tcW w:type="dxa" w:w="1234"/>
          </w:tcPr>
          <w:p>
            <w:r>
              <w:t>Confirmar y documentar el mecanismo de respaldo real vigente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Responsable técnico (Cliente)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WP-02</w:t>
            </w:r>
          </w:p>
        </w:tc>
        <w:tc>
          <w:tcPr>
            <w:tcW w:type="dxa" w:w="1234"/>
          </w:tcPr>
          <w:p>
            <w:r>
              <w:t>Renovar la licencia de Code Snippets Pro o migrar snippets críticos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Responsable técnico (Cliente)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WP-03</w:t>
            </w:r>
          </w:p>
        </w:tc>
        <w:tc>
          <w:tcPr>
            <w:tcW w:type="dxa" w:w="1234"/>
          </w:tcPr>
          <w:p>
            <w:r>
              <w:t>Identificar el drop-in no reconocido en el listado de plugins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Desarrollador web (Prestador)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WP-04</w:t>
            </w:r>
          </w:p>
        </w:tc>
        <w:tc>
          <w:tcPr>
            <w:tcW w:type="dxa" w:w="1234"/>
          </w:tcPr>
          <w:p>
            <w:r>
              <w:t>Corregir el título Yoast SEO incorrecto en el post id=9097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Especialista SEO (Prestador)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WP-05</w:t>
            </w:r>
          </w:p>
        </w:tc>
        <w:tc>
          <w:tcPr>
            <w:tcW w:type="dxa" w:w="1234"/>
          </w:tcPr>
          <w:p>
            <w:r>
              <w:t>Consolidar los 3 posts publicados sobre "Auditoría Tributaria del SII"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Especialista SEO (Prestador)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WP-06</w:t>
            </w:r>
          </w:p>
        </w:tc>
        <w:tc>
          <w:tcPr>
            <w:tcW w:type="dxa" w:w="1234"/>
          </w:tcPr>
          <w:p>
            <w:r>
              <w:t>Consolidar los 4 posts publicados sobre "Prescripción Tributaria"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Especialista SEO (Prestador)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WP-07</w:t>
            </w:r>
          </w:p>
        </w:tc>
        <w:tc>
          <w:tcPr>
            <w:tcW w:type="dxa" w:w="1234"/>
          </w:tcPr>
          <w:p>
            <w:r>
              <w:t>Purgar los posts duplicados en papelera y el borrador de prueba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Redactor o equipo de contenidos (Prestador)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WP-08</w:t>
            </w:r>
          </w:p>
        </w:tc>
        <w:tc>
          <w:tcPr>
            <w:tcW w:type="dxa" w:w="1234"/>
          </w:tcPr>
          <w:p>
            <w:r>
              <w:t>Revisar y resolver los 13 problemas detectados por Wordfence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Responsable técnico (Cliente)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WP-09</w:t>
            </w:r>
          </w:p>
        </w:tc>
        <w:tc>
          <w:tcPr>
            <w:tcW w:type="dxa" w:w="1234"/>
          </w:tcPr>
          <w:p>
            <w:r>
              <w:t>Evaluar el solapamiento entre Wordfence e Imunify Security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Desarrollador web (Prestador)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WP-10</w:t>
            </w:r>
          </w:p>
        </w:tc>
        <w:tc>
          <w:tcPr>
            <w:tcW w:type="dxa" w:w="1234"/>
          </w:tcPr>
          <w:p>
            <w:r>
              <w:t>Ubicar y consolidar los contenedores GTM inyectados en el sitio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Especialista GA4/GTM (Prestador)</w:t>
            </w:r>
          </w:p>
        </w:tc>
        <w:tc>
          <w:tcPr>
            <w:tcW w:type="dxa" w:w="1234"/>
          </w:tcPr>
          <w:p>
            <w:r>
              <w:t>WP-01</w:t>
            </w:r>
          </w:p>
        </w:tc>
      </w:tr>
      <w:tr>
        <w:tc>
          <w:tcPr>
            <w:tcW w:type="dxa" w:w="1234"/>
          </w:tcPr>
          <w:p>
            <w:r>
              <w:t>WP-11</w:t>
            </w:r>
          </w:p>
        </w:tc>
        <w:tc>
          <w:tcPr>
            <w:tcW w:type="dxa" w:w="1234"/>
          </w:tcPr>
          <w:p>
            <w:r>
              <w:t>Confirmar el mecanismo de inyección para instalar el Meta Pixel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Especialista GA4/GTM (Prestador)</w:t>
            </w:r>
          </w:p>
        </w:tc>
        <w:tc>
          <w:tcPr>
            <w:tcW w:type="dxa" w:w="1234"/>
          </w:tcPr>
          <w:p>
            <w:r>
              <w:t>WP-10</w:t>
            </w:r>
          </w:p>
        </w:tc>
      </w:tr>
      <w:tr>
        <w:tc>
          <w:tcPr>
            <w:tcW w:type="dxa" w:w="1234"/>
          </w:tcPr>
          <w:p>
            <w:r>
              <w:t>WP-12</w:t>
            </w:r>
          </w:p>
        </w:tc>
        <w:tc>
          <w:tcPr>
            <w:tcW w:type="dxa" w:w="1234"/>
          </w:tcPr>
          <w:p>
            <w:r>
              <w:t>Actualizar Elementor y Elementor Pro en staging tras validar compatibilidad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Desarrollador web (Prestador)</w:t>
            </w:r>
          </w:p>
        </w:tc>
        <w:tc>
          <w:tcPr>
            <w:tcW w:type="dxa" w:w="1234"/>
          </w:tcPr>
          <w:p>
            <w:r>
              <w:t>WP-01</w:t>
            </w:r>
          </w:p>
        </w:tc>
      </w:tr>
      <w:tr>
        <w:tc>
          <w:tcPr>
            <w:tcW w:type="dxa" w:w="1234"/>
          </w:tcPr>
          <w:p>
            <w:r>
              <w:t>WP-13</w:t>
            </w:r>
          </w:p>
        </w:tc>
        <w:tc>
          <w:tcPr>
            <w:tcW w:type="dxa" w:w="1234"/>
          </w:tcPr>
          <w:p>
            <w:r>
              <w:t>Actualizar WordPress core a la versión estable más reciente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Alto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Desarrollador web (Prestador)</w:t>
            </w:r>
          </w:p>
        </w:tc>
        <w:tc>
          <w:tcPr>
            <w:tcW w:type="dxa" w:w="1234"/>
          </w:tcPr>
          <w:p>
            <w:r>
              <w:t>WP-01;WP-12</w:t>
            </w:r>
          </w:p>
        </w:tc>
      </w:tr>
      <w:tr>
        <w:tc>
          <w:tcPr>
            <w:tcW w:type="dxa" w:w="1234"/>
          </w:tcPr>
          <w:p>
            <w:r>
              <w:t>WP-14</w:t>
            </w:r>
          </w:p>
        </w:tc>
        <w:tc>
          <w:tcPr>
            <w:tcW w:type="dxa" w:w="1234"/>
          </w:tcPr>
          <w:p>
            <w:r>
              <w:t>Habilitar actualizaciones automáticas en los plugins de seguridad</w:t>
            </w:r>
          </w:p>
        </w:tc>
        <w:tc>
          <w:tcPr>
            <w:tcW w:type="dxa" w:w="1234"/>
          </w:tcPr>
          <w:p>
            <w:r>
              <w:t>Media</w:t>
            </w:r>
          </w:p>
        </w:tc>
        <w:tc>
          <w:tcPr>
            <w:tcW w:type="dxa" w:w="1234"/>
          </w:tcPr>
          <w:p>
            <w:r>
              <w:t>Medio</w:t>
            </w:r>
          </w:p>
        </w:tc>
        <w:tc>
          <w:tcPr>
            <w:tcW w:type="dxa" w:w="1234"/>
          </w:tcPr>
          <w:p>
            <w:r>
              <w:t>Bajo</w:t>
            </w:r>
          </w:p>
        </w:tc>
        <w:tc>
          <w:tcPr>
            <w:tcW w:type="dxa" w:w="1234"/>
          </w:tcPr>
          <w:p>
            <w:r>
              <w:t>Responsable técnico (Cliente)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