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2C3A63"/>
          <w:sz w:val="44"/>
        </w:rPr>
        <w:t>Auditoría Consolidada de Marketing 360° — Defensor del Contribuyente</w:t>
      </w:r>
    </w:p>
    <w:p>
      <w:pPr>
        <w:spacing w:before="280" w:after="120"/>
      </w:pPr>
      <w:r>
        <w:rPr>
          <w:rFonts w:ascii="Calibri" w:hAnsi="Calibri"/>
          <w:b/>
          <w:i w:val="0"/>
          <w:color w:val="2C3A63"/>
          <w:sz w:val="30"/>
        </w:rPr>
        <w:t>1. Portada</w:t>
      </w:r>
    </w:p>
    <w:p>
      <w:pPr>
        <w:pStyle w:val="ListBullet"/>
      </w:pPr>
      <w:r>
        <w:rPr>
          <w:rFonts w:ascii="Calibri" w:hAnsi="Calibri"/>
          <w:b/>
          <w:i w:val="0"/>
          <w:color w:val="1A1E17"/>
          <w:sz w:val="22"/>
        </w:rPr>
        <w:t>Empresa/cliente:</w:t>
      </w:r>
      <w:r>
        <w:rPr>
          <w:rFonts w:ascii="Calibri" w:hAnsi="Calibri"/>
          <w:b w:val="0"/>
          <w:i w:val="0"/>
          <w:color w:val="1A1E17"/>
          <w:sz w:val="22"/>
        </w:rPr>
        <w:t xml:space="preserve"> Estudio Jurídico Boutique — Defensor del Contribuyente (DDCON), Concepción.</w:t>
      </w:r>
    </w:p>
    <w:p>
      <w:pPr>
        <w:pStyle w:val="ListBullet"/>
      </w:pPr>
      <w:r>
        <w:rPr>
          <w:rFonts w:ascii="Calibri" w:hAnsi="Calibri"/>
          <w:b/>
          <w:i w:val="0"/>
          <w:color w:val="1A1E17"/>
          <w:sz w:val="22"/>
        </w:rPr>
        <w:t>Fecha de emisión:</w:t>
      </w:r>
      <w:r>
        <w:rPr>
          <w:rFonts w:ascii="Calibri" w:hAnsi="Calibri"/>
          <w:b w:val="0"/>
          <w:i w:val="0"/>
          <w:color w:val="1A1E17"/>
          <w:sz w:val="22"/>
        </w:rPr>
        <w:t xml:space="preserve"> 19 de agosto de 2026.</w:t>
      </w:r>
    </w:p>
    <w:p>
      <w:pPr>
        <w:pStyle w:val="ListBullet"/>
      </w:pPr>
      <w:r>
        <w:rPr>
          <w:rFonts w:ascii="Calibri" w:hAnsi="Calibri"/>
          <w:b/>
          <w:i w:val="0"/>
          <w:color w:val="1A1E17"/>
          <w:sz w:val="22"/>
        </w:rPr>
        <w:t>Carpetas analizadas:</w:t>
      </w:r>
      <w:r>
        <w:rPr>
          <w:rFonts w:ascii="Calibri" w:hAnsi="Calibri"/>
          <w:b w:val="0"/>
          <w:i w:val="0"/>
          <w:color w:val="1A1E17"/>
          <w:sz w:val="22"/>
        </w:rPr>
        <w:t xml:space="preserve"> </w:t>
      </w:r>
      <w:r>
        <w:rPr>
          <w:rFonts w:ascii="Consolas" w:hAnsi="Consolas"/>
          <w:b w:val="0"/>
          <w:i w:val="0"/>
          <w:color w:val="1A1E17"/>
          <w:sz w:val="21"/>
        </w:rPr>
        <w:t>Downloads/Auditoria Total MKT/Auditoria Total Cliente</w:t>
      </w:r>
      <w:r>
        <w:rPr>
          <w:rFonts w:ascii="Calibri" w:hAnsi="Calibri"/>
          <w:b w:val="0"/>
          <w:i w:val="0"/>
          <w:color w:val="1A1E17"/>
          <w:sz w:val="22"/>
        </w:rPr>
        <w:t xml:space="preserve"> (14 documentos PDF), </w:t>
      </w:r>
      <w:r>
        <w:rPr>
          <w:rFonts w:ascii="Consolas" w:hAnsi="Consolas"/>
          <w:b w:val="0"/>
          <w:i w:val="0"/>
          <w:color w:val="1A1E17"/>
          <w:sz w:val="21"/>
        </w:rPr>
        <w:t>Downloads/Auditoria Total MKT/Informe 360 agencia</w:t>
      </w:r>
      <w:r>
        <w:rPr>
          <w:rFonts w:ascii="Calibri" w:hAnsi="Calibri"/>
          <w:b w:val="0"/>
          <w:i w:val="0"/>
          <w:color w:val="1A1E17"/>
          <w:sz w:val="22"/>
        </w:rPr>
        <w:t xml:space="preserve">, repositorio </w:t>
      </w:r>
      <w:r>
        <w:rPr>
          <w:rFonts w:ascii="Consolas" w:hAnsi="Consolas"/>
          <w:b w:val="0"/>
          <w:i w:val="0"/>
          <w:color w:val="1A1E17"/>
          <w:sz w:val="21"/>
        </w:rPr>
        <w:t>auditorias-internas</w:t>
      </w:r>
      <w:r>
        <w:rPr>
          <w:rFonts w:ascii="Calibri" w:hAnsi="Calibri"/>
          <w:b w:val="0"/>
          <w:i w:val="0"/>
          <w:color w:val="1A1E17"/>
          <w:sz w:val="22"/>
        </w:rPr>
        <w:t xml:space="preserve"> (fuente versionada de las mismas auditorías Claude Code, en Markdown).</w:t>
      </w:r>
    </w:p>
    <w:p>
      <w:pPr>
        <w:pStyle w:val="ListBullet"/>
      </w:pPr>
      <w:r>
        <w:rPr>
          <w:rFonts w:ascii="Calibri" w:hAnsi="Calibri"/>
          <w:b/>
          <w:i w:val="0"/>
          <w:color w:val="1A1E17"/>
          <w:sz w:val="22"/>
        </w:rPr>
        <w:t>Periodos comprendidos:</w:t>
      </w:r>
      <w:r>
        <w:rPr>
          <w:rFonts w:ascii="Calibri" w:hAnsi="Calibri"/>
          <w:b w:val="0"/>
          <w:i w:val="0"/>
          <w:color w:val="1A1E17"/>
          <w:sz w:val="22"/>
        </w:rPr>
        <w:t xml:space="preserve"> documentos técnicos Claude Code: 28-05-2026 y 17/19-08-2026. Informe 360 agencia: histórico jun-2023–jul-2026, con foco en abr–jul 2026 (Google Ads) y "últimos 30 días" para tráfico orgánico reciente. Emitido agosto 2026.</w:t>
      </w:r>
    </w:p>
    <w:p>
      <w:pPr>
        <w:pStyle w:val="ListBullet"/>
      </w:pPr>
      <w:r>
        <w:rPr>
          <w:rFonts w:ascii="Calibri" w:hAnsi="Calibri"/>
          <w:b/>
          <w:i w:val="0"/>
          <w:color w:val="1A1E17"/>
          <w:sz w:val="22"/>
        </w:rPr>
        <w:t>Documentos procesados:</w:t>
      </w:r>
      <w:r>
        <w:rPr>
          <w:rFonts w:ascii="Calibri" w:hAnsi="Calibri"/>
          <w:b w:val="0"/>
          <w:i w:val="0"/>
          <w:color w:val="1A1E17"/>
          <w:sz w:val="22"/>
        </w:rPr>
        <w:t xml:space="preserve"> 16 (ver inventario, sección 4).</w:t>
      </w:r>
    </w:p>
    <w:p>
      <w:pPr>
        <w:pStyle w:val="ListBullet"/>
      </w:pPr>
      <w:r>
        <w:rPr>
          <w:rFonts w:ascii="Calibri" w:hAnsi="Calibri"/>
          <w:b/>
          <w:i w:val="0"/>
          <w:color w:val="1A1E17"/>
          <w:sz w:val="22"/>
        </w:rPr>
        <w:t>Documentos no procesados:</w:t>
      </w:r>
      <w:r>
        <w:rPr>
          <w:rFonts w:ascii="Calibri" w:hAnsi="Calibri"/>
          <w:b w:val="0"/>
          <w:i w:val="0"/>
          <w:color w:val="1A1E17"/>
          <w:sz w:val="22"/>
        </w:rPr>
        <w:t xml:space="preserve"> 0 archivos ilegibles. 2 documentos (</w:t>
      </w:r>
      <w:r>
        <w:rPr>
          <w:rFonts w:ascii="Consolas" w:hAnsi="Consolas"/>
          <w:b w:val="0"/>
          <w:i w:val="0"/>
          <w:color w:val="1A1E17"/>
          <w:sz w:val="21"/>
        </w:rPr>
        <w:t>Guiones-y-Configuracion-7-Temas</w:t>
      </w:r>
      <w:r>
        <w:rPr>
          <w:rFonts w:ascii="Calibri" w:hAnsi="Calibri"/>
          <w:b w:val="0"/>
          <w:i w:val="0"/>
          <w:color w:val="1A1E17"/>
          <w:sz w:val="22"/>
        </w:rPr>
        <w:t xml:space="preserve">, </w:t>
      </w:r>
      <w:r>
        <w:rPr>
          <w:rFonts w:ascii="Consolas" w:hAnsi="Consolas"/>
          <w:b w:val="0"/>
          <w:i w:val="0"/>
          <w:color w:val="1A1E17"/>
          <w:sz w:val="21"/>
        </w:rPr>
        <w:t>Estructura-Tareas-ClickUp</w:t>
      </w:r>
      <w:r>
        <w:rPr>
          <w:rFonts w:ascii="Calibri" w:hAnsi="Calibri"/>
          <w:b w:val="0"/>
          <w:i w:val="0"/>
          <w:color w:val="1A1E17"/>
          <w:sz w:val="22"/>
        </w:rPr>
        <w:t>) se registraron en el inventario y se usaron como contexto pero no se extrajeron línea por línea al detalle de cifras — son activos operativos (guiones de anuncios, desglose contractual), no auditorías con hallazgos a contrastar; ver limitaciones en Anexos.</w:t>
      </w:r>
    </w:p>
    <w:p>
      <w:pPr>
        <w:pStyle w:val="ListBullet"/>
      </w:pPr>
      <w:r>
        <w:rPr>
          <w:rFonts w:ascii="Calibri" w:hAnsi="Calibri"/>
          <w:b/>
          <w:i w:val="0"/>
          <w:color w:val="1A1E17"/>
          <w:sz w:val="22"/>
        </w:rPr>
        <w:t>Versión del reporte:</w:t>
      </w:r>
      <w:r>
        <w:rPr>
          <w:rFonts w:ascii="Calibri" w:hAnsi="Calibri"/>
          <w:b w:val="0"/>
          <w:i w:val="0"/>
          <w:color w:val="1A1E17"/>
          <w:sz w:val="22"/>
        </w:rPr>
        <w:t xml:space="preserve"> v1.0.</w:t>
      </w:r>
    </w:p>
    <w:p>
      <w:pPr>
        <w:spacing w:before="280" w:after="120"/>
      </w:pPr>
      <w:r>
        <w:rPr>
          <w:rFonts w:ascii="Calibri" w:hAnsi="Calibri"/>
          <w:b/>
          <w:i w:val="0"/>
          <w:color w:val="2C3A63"/>
          <w:sz w:val="30"/>
        </w:rPr>
        <w:t>2. Resumen ejecutivo</w:t>
      </w:r>
    </w:p>
    <w:p>
      <w:r>
        <w:rPr>
          <w:rFonts w:ascii="Calibri" w:hAnsi="Calibri"/>
          <w:b w:val="0"/>
          <w:i w:val="0"/>
          <w:color w:val="1A1E17"/>
          <w:sz w:val="22"/>
        </w:rPr>
        <w:t xml:space="preserve">Las auditorías Claude Code y el Informe 360 de la agencia </w:t>
      </w:r>
      <w:r>
        <w:rPr>
          <w:rFonts w:ascii="Calibri" w:hAnsi="Calibri"/>
          <w:b/>
          <w:i w:val="0"/>
          <w:color w:val="1A1E17"/>
          <w:sz w:val="22"/>
        </w:rPr>
        <w:t>no compiten por el mismo terreno — se complementan casi sin superponerse</w:t>
      </w:r>
      <w:r>
        <w:rPr>
          <w:rFonts w:ascii="Calibri" w:hAnsi="Calibri"/>
          <w:b w:val="0"/>
          <w:i w:val="0"/>
          <w:color w:val="1A1E17"/>
          <w:sz w:val="22"/>
        </w:rPr>
        <w:t>, y donde sí se superponen, se confirman mutuamente. Claude Code auditó profundidad técnica de plataforma (código fuente, GTM, Pixel, GA4 evento por evento, Lighthouse por URL, políticas de Meta 2026) con datos en vivo vía MCP de Meta y GA4. La agencia auditó el embudo de negocio completo (Pipedrive/CRM, tasa de cierre real, Google Ads a nivel de keyword y término de búsqueda, panorama competitivo) con acceso a sistemas que Claude Code no tenía — de hecho, la propia auditoría Claude Code (DOC-12) señala como bloqueante P0 la falta de upgrade del developer token de Google Ads, lo que explica por qué el lado Claude Code nunca llegó a auditar campañas de Google Ads en profundidad.</w:t>
      </w:r>
    </w:p>
    <w:p>
      <w:r>
        <w:rPr>
          <w:rFonts w:ascii="Calibri" w:hAnsi="Calibri"/>
          <w:b/>
          <w:i w:val="0"/>
          <w:color w:val="1A1E17"/>
          <w:sz w:val="22"/>
        </w:rPr>
        <w:t>Coincidencias fuertes (validación cruzada, dos fuentes independientes, mismo hallazgo):</w:t>
      </w:r>
      <w:r>
        <w:rPr>
          <w:rFonts w:ascii="Calibri" w:hAnsi="Calibri"/>
          <w:b w:val="0"/>
          <w:i w:val="0"/>
          <w:color w:val="1A1E17"/>
          <w:sz w:val="22"/>
        </w:rPr>
        <w:t xml:space="preserve"> el Pixel de Meta solo mide </w:t>
      </w:r>
      <w:r>
        <w:rPr>
          <w:rFonts w:ascii="Consolas" w:hAnsi="Consolas"/>
          <w:b w:val="0"/>
          <w:i w:val="0"/>
          <w:color w:val="1A1E17"/>
          <w:sz w:val="21"/>
        </w:rPr>
        <w:t>PageView</w:t>
      </w:r>
      <w:r>
        <w:rPr>
          <w:rFonts w:ascii="Calibri" w:hAnsi="Calibri"/>
          <w:b w:val="0"/>
          <w:i w:val="0"/>
          <w:color w:val="1A1E17"/>
          <w:sz w:val="22"/>
        </w:rPr>
        <w:t xml:space="preserve"> y no tiene evento de Lead/Contacto (DOC-03 y DOC-16, cifras de gasto y resultados casi idénticas); la medición está fragmentada en propiedades/dominios sin relación entre sí (GA4 dividido en 2 propiedades sin rollup — DOC-04 — coincide con "Analytics dividido en dos propiedades" de DOC-16); la Conversions API de Meta está incompleta (DOC-08 y DOC-16).</w:t>
      </w:r>
    </w:p>
    <w:p>
      <w:r>
        <w:rPr>
          <w:rFonts w:ascii="Calibri" w:hAnsi="Calibri"/>
          <w:b/>
          <w:i w:val="0"/>
          <w:color w:val="1A1E17"/>
          <w:sz w:val="22"/>
        </w:rPr>
        <w:t>Omisión más relevante de la agencia:</w:t>
      </w:r>
      <w:r>
        <w:rPr>
          <w:rFonts w:ascii="Calibri" w:hAnsi="Calibri"/>
          <w:b w:val="0"/>
          <w:i w:val="0"/>
          <w:color w:val="1A1E17"/>
          <w:sz w:val="22"/>
        </w:rPr>
        <w:t xml:space="preserve"> el hallazgo técnico más grave y accionable de todo el corpus — que el pixel </w:t>
      </w:r>
      <w:r>
        <w:rPr>
          <w:rFonts w:ascii="Consolas" w:hAnsi="Consolas"/>
          <w:b w:val="0"/>
          <w:i w:val="0"/>
          <w:color w:val="1A1E17"/>
          <w:sz w:val="21"/>
        </w:rPr>
        <w:t>524558258682248</w:t>
      </w:r>
      <w:r>
        <w:rPr>
          <w:rFonts w:ascii="Calibri" w:hAnsi="Calibri"/>
          <w:b w:val="0"/>
          <w:i w:val="0"/>
          <w:color w:val="1A1E17"/>
          <w:sz w:val="22"/>
        </w:rPr>
        <w:t xml:space="preserve"> está activo y funcionando pero </w:t>
      </w:r>
      <w:r>
        <w:rPr>
          <w:rFonts w:ascii="Calibri" w:hAnsi="Calibri"/>
          <w:b/>
          <w:i w:val="0"/>
          <w:color w:val="1A1E17"/>
          <w:sz w:val="22"/>
        </w:rPr>
        <w:t>solo</w:t>
      </w:r>
      <w:r>
        <w:rPr>
          <w:rFonts w:ascii="Calibri" w:hAnsi="Calibri"/>
          <w:b w:val="0"/>
          <w:i w:val="0"/>
          <w:color w:val="1A1E17"/>
          <w:sz w:val="22"/>
        </w:rPr>
        <w:t xml:space="preserve"> mide </w:t>
      </w:r>
      <w:r>
        <w:rPr>
          <w:rFonts w:ascii="Consolas" w:hAnsi="Consolas"/>
          <w:b w:val="0"/>
          <w:i w:val="0"/>
          <w:color w:val="1A1E17"/>
          <w:sz w:val="21"/>
        </w:rPr>
        <w:t>PageView</w:t>
      </w:r>
      <w:r>
        <w:rPr>
          <w:rFonts w:ascii="Calibri" w:hAnsi="Calibri"/>
          <w:b w:val="0"/>
          <w:i w:val="0"/>
          <w:color w:val="1A1E17"/>
          <w:sz w:val="22"/>
        </w:rPr>
        <w:t xml:space="preserve">, con el detalle de que la única campaña activa optimiza por </w:t>
      </w:r>
      <w:r>
        <w:rPr>
          <w:rFonts w:ascii="Consolas" w:hAnsi="Consolas"/>
          <w:b w:val="0"/>
          <w:i w:val="0"/>
          <w:color w:val="1A1E17"/>
          <w:sz w:val="21"/>
        </w:rPr>
        <w:t>onsite_conversion.messaging_deep_conversation</w:t>
      </w:r>
      <w:r>
        <w:rPr>
          <w:rFonts w:ascii="Calibri" w:hAnsi="Calibri"/>
          <w:b w:val="0"/>
          <w:i w:val="0"/>
          <w:color w:val="1A1E17"/>
          <w:sz w:val="22"/>
        </w:rPr>
        <w:t xml:space="preserve"> — el Informe 360 lo describe en términos generales pero sin la profundidad técnica ni la solución específica (CTWA + CAPI vía </w:t>
      </w:r>
      <w:r>
        <w:rPr>
          <w:rFonts w:ascii="Consolas" w:hAnsi="Consolas"/>
          <w:b w:val="0"/>
          <w:i w:val="0"/>
          <w:color w:val="1A1E17"/>
          <w:sz w:val="21"/>
        </w:rPr>
        <w:t>ctwa_clid</w:t>
      </w:r>
      <w:r>
        <w:rPr>
          <w:rFonts w:ascii="Calibri" w:hAnsi="Calibri"/>
          <w:b w:val="0"/>
          <w:i w:val="0"/>
          <w:color w:val="1A1E17"/>
          <w:sz w:val="22"/>
        </w:rPr>
        <w:t>) que sí aporta DOC-08.</w:t>
      </w:r>
    </w:p>
    <w:p>
      <w:r>
        <w:rPr>
          <w:rFonts w:ascii="Calibri" w:hAnsi="Calibri"/>
          <w:b/>
          <w:i w:val="0"/>
          <w:color w:val="1A1E17"/>
          <w:sz w:val="22"/>
        </w:rPr>
        <w:t>Omisión más relevante de Claude Code:</w:t>
      </w:r>
      <w:r>
        <w:rPr>
          <w:rFonts w:ascii="Calibri" w:hAnsi="Calibri"/>
          <w:b w:val="0"/>
          <w:i w:val="0"/>
          <w:color w:val="1A1E17"/>
          <w:sz w:val="22"/>
        </w:rPr>
        <w:t xml:space="preserve"> el hallazgo central del Informe 360 — que la tasa de cierre real de lead a cliente es 2,3% (135 de 5.950 tratos) y es pareja entre todos los canales — no tiene ningún equivalente en el corpus Claude Code, porque ninguna auditoría Claude Code tuvo acceso a Pipedrive. Es la brecha más importante de todo el diagnóstico técnico: sin este dato, arreglar tracking y campañas (foco casi total de las auditorías Claude Code) deja sin resolver la mayor parte del problema real de crecimiento, tal como advierte el propio Informe 360.</w:t>
      </w:r>
    </w:p>
    <w:p>
      <w:r>
        <w:rPr>
          <w:rFonts w:ascii="Calibri" w:hAnsi="Calibri"/>
          <w:b/>
          <w:i w:val="0"/>
          <w:color w:val="1A1E17"/>
          <w:sz w:val="22"/>
        </w:rPr>
        <w:t>Contradicción real detectada (cifras):</w:t>
      </w:r>
      <w:r>
        <w:rPr>
          <w:rFonts w:ascii="Calibri" w:hAnsi="Calibri"/>
          <w:b w:val="0"/>
          <w:i w:val="0"/>
          <w:color w:val="1A1E17"/>
          <w:sz w:val="22"/>
        </w:rPr>
        <w:t xml:space="preserve"> el gasto y resultados de la campaña "Diagnósticos Gratuitos" no coinciden exactamente entre ambas fuentes ($5.338.077 / 4.858 resultados / $1.099 por resultado en DOC-03, vs. $5.070.552 / 4.655 resultados / $1.089 en DOC-16) — ver sección 10, clasificada como diferencia temporal de captura, no como error, porque el resto de las 5 campañas CAE coinciden en cifra exacta entre ambas fuentes.</w:t>
      </w:r>
    </w:p>
    <w:p>
      <w:r>
        <w:rPr>
          <w:rFonts w:ascii="Calibri" w:hAnsi="Calibri"/>
          <w:b/>
          <w:i w:val="0"/>
          <w:color w:val="1A1E17"/>
          <w:sz w:val="22"/>
        </w:rPr>
        <w:t>Calidad del Informe 360:</w:t>
      </w:r>
      <w:r>
        <w:rPr>
          <w:rFonts w:ascii="Calibri" w:hAnsi="Calibri"/>
          <w:b w:val="0"/>
          <w:i w:val="0"/>
          <w:color w:val="1A1E17"/>
          <w:sz w:val="22"/>
        </w:rPr>
        <w:t xml:space="preserve"> sólido y honesto — incluye correcciones explícitas hechas en conversación con el cliente ("ajuste de estrategia" en 3 puntos), reconoce con transparencia cuando un dato de Pipedrive no es confiable, y prioriza según lo que el propio cliente definió, no según un framework genérico. Su debilidad es de profundidad técnica de plataforma (no llega al nivel de evento GA4, código fuente o Lighthouse).</w:t>
      </w:r>
    </w:p>
    <w:p>
      <w:r>
        <w:rPr>
          <w:rFonts w:ascii="Calibri" w:hAnsi="Calibri"/>
          <w:b/>
          <w:i w:val="0"/>
          <w:color w:val="1A1E17"/>
          <w:sz w:val="22"/>
        </w:rPr>
        <w:t>Calidad de las auditorías Claude Code:</w:t>
      </w:r>
      <w:r>
        <w:rPr>
          <w:rFonts w:ascii="Calibri" w:hAnsi="Calibri"/>
          <w:b w:val="0"/>
          <w:i w:val="0"/>
          <w:color w:val="1A1E17"/>
          <w:sz w:val="22"/>
        </w:rPr>
        <w:t xml:space="preserve"> exhaustivas a nivel técnico y con datos en vivo verificables, con buena disciplina de trazabilidad (ajustes documentados con fecha, ej. el descuento del alcance CAE). Su límite es de negocio: sin Pipedrive ni Google Ads a nivel cuenta, no pueden pronunciarse sobre si arreglar la medición efectivamente va a mover el resultado comercial.</w:t>
      </w:r>
    </w:p>
    <w:p>
      <w:r>
        <w:rPr>
          <w:rFonts w:ascii="Calibri" w:hAnsi="Calibri"/>
          <w:b/>
          <w:i w:val="0"/>
          <w:color w:val="1A1E17"/>
          <w:sz w:val="22"/>
        </w:rPr>
        <w:t>Prioridades inmediatas (consolidadas, ver sección 11):</w:t>
      </w:r>
      <w:r>
        <w:rPr>
          <w:rFonts w:ascii="Calibri" w:hAnsi="Calibri"/>
          <w:b w:val="0"/>
          <w:i w:val="0"/>
          <w:color w:val="1A1E17"/>
          <w:sz w:val="22"/>
        </w:rPr>
        <w:t xml:space="preserve"> (1) cerrar el circuito de medición de Meta (Pixel + CAPI + CTWA) — coincidencia total entre ambas fuentes; (2) resolver el acceso bloqueado a Google Ads (developer token) para poder auditar y corregir el objetivo de conversión roto que reporta la agencia; (3) ordenar Pipedrive hacia adelante (no hacia atrás, según el propio cliente) para poder medir tasa de cierre real por canal.</w:t>
      </w:r>
    </w:p>
    <w:p>
      <w:r>
        <w:rPr>
          <w:rFonts w:ascii="Calibri" w:hAnsi="Calibri"/>
          <w:b/>
          <w:i w:val="0"/>
          <w:color w:val="1A1E17"/>
          <w:sz w:val="22"/>
        </w:rPr>
        <w:t>Recomendación general 2026:</w:t>
      </w:r>
      <w:r>
        <w:rPr>
          <w:rFonts w:ascii="Calibri" w:hAnsi="Calibri"/>
          <w:b w:val="0"/>
          <w:i w:val="0"/>
          <w:color w:val="1A1E17"/>
          <w:sz w:val="22"/>
        </w:rPr>
        <w:t xml:space="preserve"> no iniciar producción de contenido ni campañas nuevas de gran escala hasta cerrar el circuito de medición extremo a extremo (Pixel/CAPI de Meta + objetivo de conversión de Google Ads + Pipedrive) — ambas fuentes, por caminos distintos, llegan a la misma conclusión: hoy nadie puede saber con certeza qué campaña o pieza de contenido realmente genera un cliente.</w:t>
      </w:r>
    </w:p>
    <w:p>
      <w:pPr>
        <w:spacing w:before="280" w:after="120"/>
      </w:pPr>
      <w:r>
        <w:rPr>
          <w:rFonts w:ascii="Calibri" w:hAnsi="Calibri"/>
          <w:b/>
          <w:i w:val="0"/>
          <w:color w:val="2C3A63"/>
          <w:sz w:val="30"/>
        </w:rPr>
        <w:t>3. Metodología</w:t>
      </w:r>
    </w:p>
    <w:p>
      <w:pPr>
        <w:pStyle w:val="ListBullet"/>
      </w:pPr>
      <w:r>
        <w:rPr>
          <w:rFonts w:ascii="Calibri" w:hAnsi="Calibri"/>
          <w:b/>
          <w:i w:val="0"/>
          <w:color w:val="1A1E17"/>
          <w:sz w:val="22"/>
        </w:rPr>
        <w:t>Fuentes analizadas:</w:t>
      </w:r>
      <w:r>
        <w:rPr>
          <w:rFonts w:ascii="Calibri" w:hAnsi="Calibri"/>
          <w:b w:val="0"/>
          <w:i w:val="0"/>
          <w:color w:val="1A1E17"/>
          <w:sz w:val="22"/>
        </w:rPr>
        <w:t xml:space="preserve"> 9 auditorías/documentos Claude Code en Markdown (repositorio </w:t>
      </w:r>
      <w:r>
        <w:rPr>
          <w:rFonts w:ascii="Consolas" w:hAnsi="Consolas"/>
          <w:b w:val="0"/>
          <w:i w:val="0"/>
          <w:color w:val="1A1E17"/>
          <w:sz w:val="21"/>
        </w:rPr>
        <w:t>auditorias-internas</w:t>
      </w:r>
      <w:r>
        <w:rPr>
          <w:rFonts w:ascii="Calibri" w:hAnsi="Calibri"/>
          <w:b w:val="0"/>
          <w:i w:val="0"/>
          <w:color w:val="1A1E17"/>
          <w:sz w:val="22"/>
        </w:rPr>
        <w:t>), 5 documentos Claude Code solo disponibles en PDF (extraídos a texto para este análisis), 1 Informe 360 de la agencia (PDF, extraído a texto), 1 exportación de herramienta externa (SEO Public, palabras clave).</w:t>
      </w:r>
    </w:p>
    <w:p>
      <w:pPr>
        <w:pStyle w:val="ListBullet"/>
      </w:pPr>
      <w:r>
        <w:rPr>
          <w:rFonts w:ascii="Calibri" w:hAnsi="Calibri"/>
          <w:b/>
          <w:i w:val="0"/>
          <w:color w:val="1A1E17"/>
          <w:sz w:val="22"/>
        </w:rPr>
        <w:t>Criterios de comparación:</w:t>
      </w:r>
      <w:r>
        <w:rPr>
          <w:rFonts w:ascii="Calibri" w:hAnsi="Calibri"/>
          <w:b w:val="0"/>
          <w:i w:val="0"/>
          <w:color w:val="1A1E17"/>
          <w:sz w:val="22"/>
        </w:rPr>
        <w:t xml:space="preserve"> las 25 dimensiones y las 10 explicaciones razonables de </w:t>
      </w:r>
      <w:r>
        <w:rPr>
          <w:rFonts w:ascii="Consolas" w:hAnsi="Consolas"/>
          <w:b w:val="0"/>
          <w:i w:val="0"/>
          <w:color w:val="1A1E17"/>
          <w:sz w:val="21"/>
        </w:rPr>
        <w:t>references/metodologia-comparacion.md</w:t>
      </w:r>
      <w:r>
        <w:rPr>
          <w:rFonts w:ascii="Calibri" w:hAnsi="Calibri"/>
          <w:b w:val="0"/>
          <w:i w:val="0"/>
          <w:color w:val="1A1E17"/>
          <w:sz w:val="22"/>
        </w:rPr>
        <w:t xml:space="preserve"> de la skill </w:t>
      </w:r>
      <w:r>
        <w:rPr>
          <w:rFonts w:ascii="Consolas" w:hAnsi="Consolas"/>
          <w:b w:val="0"/>
          <w:i w:val="0"/>
          <w:color w:val="1A1E17"/>
          <w:sz w:val="21"/>
        </w:rPr>
        <w:t>auditoria-consolidada-marketing-360</w:t>
      </w:r>
      <w:r>
        <w:rPr>
          <w:rFonts w:ascii="Calibri" w:hAnsi="Calibri"/>
          <w:b w:val="0"/>
          <w:i w:val="0"/>
          <w:color w:val="1A1E17"/>
          <w:sz w:val="22"/>
        </w:rPr>
        <w:t>.</w:t>
      </w:r>
    </w:p>
    <w:p>
      <w:pPr>
        <w:pStyle w:val="ListBullet"/>
      </w:pPr>
      <w:r>
        <w:rPr>
          <w:rFonts w:ascii="Calibri" w:hAnsi="Calibri"/>
          <w:b/>
          <w:i w:val="0"/>
          <w:color w:val="1A1E17"/>
          <w:sz w:val="22"/>
        </w:rPr>
        <w:t>Tratamiento de diferencias temporales:</w:t>
      </w:r>
      <w:r>
        <w:rPr>
          <w:rFonts w:ascii="Calibri" w:hAnsi="Calibri"/>
          <w:b w:val="0"/>
          <w:i w:val="0"/>
          <w:color w:val="1A1E17"/>
          <w:sz w:val="22"/>
        </w:rPr>
        <w:t xml:space="preserve"> cuando dos fuentes reportan la misma campaña/métrica con cifras cercanas pero no idénticas, y una fuente documenta una fecha de captura posterior a la otra, se clasifica como diferencia temporal si la dirección del cambio es consistente con el tiempo transcurrido (más gasto/resultados en la captura más reciente).</w:t>
      </w:r>
    </w:p>
    <w:p>
      <w:pPr>
        <w:pStyle w:val="ListBullet"/>
      </w:pPr>
      <w:r>
        <w:rPr>
          <w:rFonts w:ascii="Calibri" w:hAnsi="Calibri"/>
          <w:b/>
          <w:i w:val="0"/>
          <w:color w:val="1A1E17"/>
          <w:sz w:val="22"/>
        </w:rPr>
        <w:t>Tratamiento de cifras:</w:t>
      </w:r>
      <w:r>
        <w:rPr>
          <w:rFonts w:ascii="Calibri" w:hAnsi="Calibri"/>
          <w:b w:val="0"/>
          <w:i w:val="0"/>
          <w:color w:val="1A1E17"/>
          <w:sz w:val="22"/>
        </w:rPr>
        <w:t xml:space="preserve"> toda cifra específica se contrastó contra su fuente original citada en el propio documento; cuando dos documentos reportan la misma cifra de forma idéntica se trató como corroboración cruzada fuerte.</w:t>
      </w:r>
    </w:p>
    <w:p>
      <w:pPr>
        <w:pStyle w:val="ListBullet"/>
      </w:pPr>
      <w:r>
        <w:rPr>
          <w:rFonts w:ascii="Calibri" w:hAnsi="Calibri"/>
          <w:b/>
          <w:i w:val="0"/>
          <w:color w:val="1A1E17"/>
          <w:sz w:val="22"/>
        </w:rPr>
        <w:t>Escala de importancia:</w:t>
      </w:r>
      <w:r>
        <w:rPr>
          <w:rFonts w:ascii="Calibri" w:hAnsi="Calibri"/>
          <w:b w:val="0"/>
          <w:i w:val="0"/>
          <w:color w:val="1A1E17"/>
          <w:sz w:val="22"/>
        </w:rPr>
        <w:t xml:space="preserve"> alta/media/baja según </w:t>
      </w:r>
      <w:r>
        <w:rPr>
          <w:rFonts w:ascii="Consolas" w:hAnsi="Consolas"/>
          <w:b w:val="0"/>
          <w:i w:val="0"/>
          <w:color w:val="1A1E17"/>
          <w:sz w:val="21"/>
        </w:rPr>
        <w:t>references/criterios-priorizacion.md</w:t>
      </w:r>
      <w:r>
        <w:rPr>
          <w:rFonts w:ascii="Calibri" w:hAnsi="Calibri"/>
          <w:b w:val="0"/>
          <w:i w:val="0"/>
          <w:color w:val="1A1E17"/>
          <w:sz w:val="22"/>
        </w:rPr>
        <w:t xml:space="preserve"> de la misma skill.</w:t>
      </w:r>
    </w:p>
    <w:p>
      <w:pPr>
        <w:pStyle w:val="ListBullet"/>
      </w:pPr>
      <w:r>
        <w:rPr>
          <w:rFonts w:ascii="Calibri" w:hAnsi="Calibri"/>
          <w:b/>
          <w:i w:val="0"/>
          <w:color w:val="1A1E17"/>
          <w:sz w:val="22"/>
        </w:rPr>
        <w:t>Limitaciones generales:</w:t>
      </w:r>
      <w:r>
        <w:rPr>
          <w:rFonts w:ascii="Calibri" w:hAnsi="Calibri"/>
          <w:b w:val="0"/>
          <w:i w:val="0"/>
          <w:color w:val="1A1E17"/>
          <w:sz w:val="22"/>
        </w:rPr>
        <w:t xml:space="preserve"> este análisis no tuvo acceso directo a las plataformas (Meta Ads Manager, Google Ads, GA4, Pipedrive, Search Console) — se trabajó exclusivamente sobre lo que los 16 documentos reportan. Ningún hallazgo de este reporte fue re-verificado en vivo contra la plataforma.</w:t>
      </w:r>
    </w:p>
    <w:p>
      <w:pPr>
        <w:spacing w:before="280" w:after="120"/>
      </w:pPr>
      <w:r>
        <w:rPr>
          <w:rFonts w:ascii="Calibri" w:hAnsi="Calibri"/>
          <w:b/>
          <w:i w:val="0"/>
          <w:color w:val="2C3A63"/>
          <w:sz w:val="30"/>
        </w:rPr>
        <w:t>4. Inventario documental</w:t>
      </w:r>
    </w:p>
    <w:tbl>
      <w:tblPr>
        <w:tblStyle w:val="LightGrid-Accent1"/>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tcPr>
          <w:p>
            <w:r>
              <w:rPr>
                <w:b/>
                <w:color w:val="2C3A63"/>
              </w:rPr>
            </w:r>
            <w:r>
              <w:rPr>
                <w:rFonts w:ascii="Calibri" w:hAnsi="Calibri"/>
                <w:b/>
                <w:i w:val="0"/>
                <w:color w:val="2C3A63"/>
                <w:sz w:val="18"/>
              </w:rPr>
              <w:t>ID</w:t>
            </w:r>
          </w:p>
        </w:tc>
        <w:tc>
          <w:tcPr>
            <w:tcW w:type="dxa" w:w="975"/>
          </w:tcPr>
          <w:p>
            <w:r>
              <w:rPr>
                <w:b/>
                <w:color w:val="2C3A63"/>
              </w:rPr>
            </w:r>
            <w:r>
              <w:rPr>
                <w:rFonts w:ascii="Calibri" w:hAnsi="Calibri"/>
                <w:b/>
                <w:i w:val="0"/>
                <w:color w:val="2C3A63"/>
                <w:sz w:val="18"/>
              </w:rPr>
              <w:t>Documento</w:t>
            </w:r>
          </w:p>
        </w:tc>
        <w:tc>
          <w:tcPr>
            <w:tcW w:type="dxa" w:w="975"/>
          </w:tcPr>
          <w:p>
            <w:r>
              <w:rPr>
                <w:b/>
                <w:color w:val="2C3A63"/>
              </w:rPr>
            </w:r>
            <w:r>
              <w:rPr>
                <w:rFonts w:ascii="Calibri" w:hAnsi="Calibri"/>
                <w:b/>
                <w:i w:val="0"/>
                <w:color w:val="2C3A63"/>
                <w:sz w:val="18"/>
              </w:rPr>
              <w:t>Ruta</w:t>
            </w:r>
          </w:p>
        </w:tc>
        <w:tc>
          <w:tcPr>
            <w:tcW w:type="dxa" w:w="975"/>
          </w:tcPr>
          <w:p>
            <w:r>
              <w:rPr>
                <w:b/>
                <w:color w:val="2C3A63"/>
              </w:rPr>
            </w:r>
            <w:r>
              <w:rPr>
                <w:rFonts w:ascii="Calibri" w:hAnsi="Calibri"/>
                <w:b/>
                <w:i w:val="0"/>
                <w:color w:val="2C3A63"/>
                <w:sz w:val="18"/>
              </w:rPr>
              <w:t>Origen</w:t>
            </w:r>
          </w:p>
        </w:tc>
        <w:tc>
          <w:tcPr>
            <w:tcW w:type="dxa" w:w="975"/>
          </w:tcPr>
          <w:p>
            <w:r>
              <w:rPr>
                <w:b/>
                <w:color w:val="2C3A63"/>
              </w:rPr>
            </w:r>
            <w:r>
              <w:rPr>
                <w:rFonts w:ascii="Calibri" w:hAnsi="Calibri"/>
                <w:b/>
                <w:i w:val="0"/>
                <w:color w:val="2C3A63"/>
                <w:sz w:val="18"/>
              </w:rPr>
              <w:t>Área</w:t>
            </w:r>
          </w:p>
        </w:tc>
        <w:tc>
          <w:tcPr>
            <w:tcW w:type="dxa" w:w="975"/>
          </w:tcPr>
          <w:p>
            <w:r>
              <w:rPr>
                <w:b/>
                <w:color w:val="2C3A63"/>
              </w:rPr>
            </w:r>
            <w:r>
              <w:rPr>
                <w:rFonts w:ascii="Calibri" w:hAnsi="Calibri"/>
                <w:b/>
                <w:i w:val="0"/>
                <w:color w:val="2C3A63"/>
                <w:sz w:val="18"/>
              </w:rPr>
              <w:t>Fecha</w:t>
            </w:r>
          </w:p>
        </w:tc>
        <w:tc>
          <w:tcPr>
            <w:tcW w:type="dxa" w:w="975"/>
          </w:tcPr>
          <w:p>
            <w:r>
              <w:rPr>
                <w:b/>
                <w:color w:val="2C3A63"/>
              </w:rPr>
            </w:r>
            <w:r>
              <w:rPr>
                <w:rFonts w:ascii="Calibri" w:hAnsi="Calibri"/>
                <w:b/>
                <w:i w:val="0"/>
                <w:color w:val="2C3A63"/>
                <w:sz w:val="18"/>
              </w:rPr>
              <w:t>Periodo analizado</w:t>
            </w:r>
          </w:p>
        </w:tc>
        <w:tc>
          <w:tcPr>
            <w:tcW w:type="dxa" w:w="975"/>
          </w:tcPr>
          <w:p>
            <w:r>
              <w:rPr>
                <w:b/>
                <w:color w:val="2C3A63"/>
              </w:rPr>
            </w:r>
            <w:r>
              <w:rPr>
                <w:rFonts w:ascii="Calibri" w:hAnsi="Calibri"/>
                <w:b/>
                <w:i w:val="0"/>
                <w:color w:val="2C3A63"/>
                <w:sz w:val="18"/>
              </w:rPr>
              <w:t>Tipo</w:t>
            </w:r>
          </w:p>
        </w:tc>
        <w:tc>
          <w:tcPr>
            <w:tcW w:type="dxa" w:w="975"/>
          </w:tcPr>
          <w:p>
            <w:r>
              <w:rPr>
                <w:b/>
                <w:color w:val="2C3A63"/>
              </w:rPr>
            </w:r>
            <w:r>
              <w:rPr>
                <w:rFonts w:ascii="Calibri" w:hAnsi="Calibri"/>
                <w:b/>
                <w:i w:val="0"/>
                <w:color w:val="2C3A63"/>
                <w:sz w:val="18"/>
              </w:rPr>
              <w:t>Estado</w:t>
            </w:r>
          </w:p>
        </w:tc>
        <w:tc>
          <w:tcPr>
            <w:tcW w:type="dxa" w:w="975"/>
          </w:tcPr>
          <w:p>
            <w:r>
              <w:rPr>
                <w:b/>
                <w:color w:val="2C3A63"/>
              </w:rPr>
            </w:r>
            <w:r>
              <w:rPr>
                <w:rFonts w:ascii="Calibri" w:hAnsi="Calibri"/>
                <w:b/>
                <w:i w:val="0"/>
                <w:color w:val="2C3A63"/>
                <w:sz w:val="18"/>
              </w:rPr>
              <w:t>Observaciones</w:t>
            </w:r>
          </w:p>
        </w:tc>
      </w:tr>
      <w:tr>
        <w:tc>
          <w:tcPr>
            <w:tcW w:type="dxa" w:w="975"/>
          </w:tcPr>
          <w:p>
            <w:r/>
            <w:r>
              <w:rPr>
                <w:rFonts w:ascii="Calibri" w:hAnsi="Calibri"/>
                <w:b w:val="0"/>
                <w:i w:val="0"/>
                <w:color w:val="1A1E17"/>
                <w:sz w:val="18"/>
              </w:rPr>
              <w:t>DOC-01</w:t>
            </w:r>
          </w:p>
        </w:tc>
        <w:tc>
          <w:tcPr>
            <w:tcW w:type="dxa" w:w="975"/>
          </w:tcPr>
          <w:p>
            <w:r/>
            <w:r>
              <w:rPr>
                <w:rFonts w:ascii="Calibri" w:hAnsi="Calibri"/>
                <w:b w:val="0"/>
                <w:i w:val="0"/>
                <w:color w:val="1A1E17"/>
                <w:sz w:val="18"/>
              </w:rPr>
              <w:t>Alcance Técnico — SEO</w:t>
            </w:r>
          </w:p>
        </w:tc>
        <w:tc>
          <w:tcPr>
            <w:tcW w:type="dxa" w:w="975"/>
          </w:tcPr>
          <w:p>
            <w:r/>
            <w:r>
              <w:rPr>
                <w:rFonts w:ascii="Consolas" w:hAnsi="Consolas"/>
                <w:b w:val="0"/>
                <w:i w:val="0"/>
                <w:color w:val="1A1E17"/>
                <w:sz w:val="17"/>
              </w:rPr>
              <w:t>seo/alcance-tecnico-seo.md</w:t>
            </w:r>
          </w:p>
        </w:tc>
        <w:tc>
          <w:tcPr>
            <w:tcW w:type="dxa" w:w="975"/>
          </w:tcPr>
          <w:p>
            <w:r/>
            <w:r>
              <w:rPr>
                <w:rFonts w:ascii="Calibri" w:hAnsi="Calibri"/>
                <w:b w:val="0"/>
                <w:i w:val="0"/>
                <w:color w:val="1A1E17"/>
                <w:sz w:val="18"/>
              </w:rPr>
              <w:t>Claude Code</w:t>
            </w:r>
          </w:p>
        </w:tc>
        <w:tc>
          <w:tcPr>
            <w:tcW w:type="dxa" w:w="975"/>
          </w:tcPr>
          <w:p>
            <w:r/>
            <w:r>
              <w:rPr>
                <w:rFonts w:ascii="Calibri" w:hAnsi="Calibri"/>
                <w:b w:val="0"/>
                <w:i w:val="0"/>
                <w:color w:val="1A1E17"/>
                <w:sz w:val="18"/>
              </w:rPr>
              <w:t>SEO técnico</w:t>
            </w:r>
          </w:p>
        </w:tc>
        <w:tc>
          <w:tcPr>
            <w:tcW w:type="dxa" w:w="975"/>
          </w:tcPr>
          <w:p>
            <w:r/>
            <w:r>
              <w:rPr>
                <w:rFonts w:ascii="Calibri" w:hAnsi="Calibri"/>
                <w:b w:val="0"/>
                <w:i w:val="0"/>
                <w:color w:val="1A1E17"/>
                <w:sz w:val="18"/>
              </w:rPr>
              <w:t>17-08-2026</w:t>
            </w:r>
          </w:p>
        </w:tc>
        <w:tc>
          <w:tcPr>
            <w:tcW w:type="dxa" w:w="975"/>
          </w:tcPr>
          <w:p>
            <w:r/>
            <w:r>
              <w:rPr>
                <w:rFonts w:ascii="Calibri" w:hAnsi="Calibri"/>
                <w:b w:val="0"/>
                <w:i w:val="0"/>
                <w:color w:val="1A1E17"/>
                <w:sz w:val="18"/>
              </w:rPr>
              <w:t>Estado del sitio a esa fecha</w:t>
            </w:r>
          </w:p>
        </w:tc>
        <w:tc>
          <w:tcPr>
            <w:tcW w:type="dxa" w:w="975"/>
          </w:tcPr>
          <w:p>
            <w:r/>
            <w:r>
              <w:rPr>
                <w:rFonts w:ascii="Calibri" w:hAnsi="Calibri"/>
                <w:b w:val="0"/>
                <w:i w:val="0"/>
                <w:color w:val="1A1E17"/>
                <w:sz w:val="18"/>
              </w:rPr>
              <w:t>Alcance/plan de tareas</w:t>
            </w:r>
          </w:p>
        </w:tc>
        <w:tc>
          <w:tcPr>
            <w:tcW w:type="dxa" w:w="975"/>
          </w:tcPr>
          <w:p>
            <w:r/>
            <w:r>
              <w:rPr>
                <w:rFonts w:ascii="Calibri" w:hAnsi="Calibri"/>
                <w:b w:val="0"/>
                <w:i w:val="0"/>
                <w:color w:val="1A1E17"/>
                <w:sz w:val="18"/>
              </w:rPr>
              <w:t>Vigente</w:t>
            </w:r>
          </w:p>
        </w:tc>
        <w:tc>
          <w:tcPr>
            <w:tcW w:type="dxa" w:w="975"/>
          </w:tcPr>
          <w:p>
            <w:r/>
            <w:r>
              <w:rPr>
                <w:rFonts w:ascii="Calibri" w:hAnsi="Calibri"/>
                <w:b w:val="0"/>
                <w:i w:val="0"/>
                <w:color w:val="1A1E17"/>
                <w:sz w:val="18"/>
              </w:rPr>
              <w:t xml:space="preserve">También en PDF/DOCX idéntico en </w:t>
            </w:r>
            <w:r>
              <w:rPr>
                <w:rFonts w:ascii="Consolas" w:hAnsi="Consolas"/>
                <w:b w:val="0"/>
                <w:i w:val="0"/>
                <w:color w:val="1A1E17"/>
                <w:sz w:val="17"/>
              </w:rPr>
              <w:t>descargables/</w:t>
            </w:r>
            <w:r>
              <w:rPr>
                <w:rFonts w:ascii="Calibri" w:hAnsi="Calibri"/>
                <w:b w:val="0"/>
                <w:i w:val="0"/>
                <w:color w:val="1A1E17"/>
                <w:sz w:val="18"/>
              </w:rPr>
              <w:t xml:space="preserve"> y en Downloads</w:t>
            </w:r>
          </w:p>
        </w:tc>
      </w:tr>
      <w:tr>
        <w:tc>
          <w:tcPr>
            <w:tcW w:type="dxa" w:w="975"/>
          </w:tcPr>
          <w:p>
            <w:r/>
            <w:r>
              <w:rPr>
                <w:rFonts w:ascii="Calibri" w:hAnsi="Calibri"/>
                <w:b w:val="0"/>
                <w:i w:val="0"/>
                <w:color w:val="1A1E17"/>
                <w:sz w:val="18"/>
              </w:rPr>
              <w:t>DOC-02</w:t>
            </w:r>
          </w:p>
        </w:tc>
        <w:tc>
          <w:tcPr>
            <w:tcW w:type="dxa" w:w="975"/>
          </w:tcPr>
          <w:p>
            <w:r/>
            <w:r>
              <w:rPr>
                <w:rFonts w:ascii="Calibri" w:hAnsi="Calibri"/>
                <w:b w:val="0"/>
                <w:i w:val="0"/>
                <w:color w:val="1A1E17"/>
                <w:sz w:val="18"/>
              </w:rPr>
              <w:t>Alcance Técnico — Landing/Meta Ads</w:t>
            </w:r>
          </w:p>
        </w:tc>
        <w:tc>
          <w:tcPr>
            <w:tcW w:type="dxa" w:w="975"/>
          </w:tcPr>
          <w:p>
            <w:r/>
            <w:r>
              <w:rPr>
                <w:rFonts w:ascii="Consolas" w:hAnsi="Consolas"/>
                <w:b w:val="0"/>
                <w:i w:val="0"/>
                <w:color w:val="1A1E17"/>
                <w:sz w:val="17"/>
              </w:rPr>
              <w:t>landing/alcance-tecnico-landing-meta-ads.md</w:t>
            </w:r>
          </w:p>
        </w:tc>
        <w:tc>
          <w:tcPr>
            <w:tcW w:type="dxa" w:w="975"/>
          </w:tcPr>
          <w:p>
            <w:r/>
            <w:r>
              <w:rPr>
                <w:rFonts w:ascii="Calibri" w:hAnsi="Calibri"/>
                <w:b w:val="0"/>
                <w:i w:val="0"/>
                <w:color w:val="1A1E17"/>
                <w:sz w:val="18"/>
              </w:rPr>
              <w:t>Claude Code</w:t>
            </w:r>
          </w:p>
        </w:tc>
        <w:tc>
          <w:tcPr>
            <w:tcW w:type="dxa" w:w="975"/>
          </w:tcPr>
          <w:p>
            <w:r/>
            <w:r>
              <w:rPr>
                <w:rFonts w:ascii="Calibri" w:hAnsi="Calibri"/>
                <w:b w:val="0"/>
                <w:i w:val="0"/>
                <w:color w:val="1A1E17"/>
                <w:sz w:val="18"/>
              </w:rPr>
              <w:t>Landing / Meta Ads</w:t>
            </w:r>
          </w:p>
        </w:tc>
        <w:tc>
          <w:tcPr>
            <w:tcW w:type="dxa" w:w="975"/>
          </w:tcPr>
          <w:p>
            <w:r/>
            <w:r>
              <w:rPr>
                <w:rFonts w:ascii="Calibri" w:hAnsi="Calibri"/>
                <w:b w:val="0"/>
                <w:i w:val="0"/>
                <w:color w:val="1A1E17"/>
                <w:sz w:val="18"/>
              </w:rPr>
              <w:t>17-08-2026</w:t>
            </w:r>
          </w:p>
        </w:tc>
        <w:tc>
          <w:tcPr>
            <w:tcW w:type="dxa" w:w="975"/>
          </w:tcPr>
          <w:p>
            <w:r/>
            <w:r>
              <w:rPr>
                <w:rFonts w:ascii="Calibri" w:hAnsi="Calibri"/>
                <w:b w:val="0"/>
                <w:i w:val="0"/>
                <w:color w:val="1A1E17"/>
                <w:sz w:val="18"/>
              </w:rPr>
              <w:t>Estado del sitio a esa fecha</w:t>
            </w:r>
          </w:p>
        </w:tc>
        <w:tc>
          <w:tcPr>
            <w:tcW w:type="dxa" w:w="975"/>
          </w:tcPr>
          <w:p>
            <w:r/>
            <w:r>
              <w:rPr>
                <w:rFonts w:ascii="Calibri" w:hAnsi="Calibri"/>
                <w:b w:val="0"/>
                <w:i w:val="0"/>
                <w:color w:val="1A1E17"/>
                <w:sz w:val="18"/>
              </w:rPr>
              <w:t>Alcance/plan de tareas</w:t>
            </w:r>
          </w:p>
        </w:tc>
        <w:tc>
          <w:tcPr>
            <w:tcW w:type="dxa" w:w="975"/>
          </w:tcPr>
          <w:p>
            <w:r/>
            <w:r>
              <w:rPr>
                <w:rFonts w:ascii="Calibri" w:hAnsi="Calibri"/>
                <w:b w:val="0"/>
                <w:i w:val="0"/>
                <w:color w:val="1A1E17"/>
                <w:sz w:val="18"/>
              </w:rPr>
              <w:t>Vigente</w:t>
            </w:r>
          </w:p>
        </w:tc>
        <w:tc>
          <w:tcPr>
            <w:tcW w:type="dxa" w:w="975"/>
          </w:tcPr>
          <w:p>
            <w:r/>
            <w:r>
              <w:rPr>
                <w:rFonts w:ascii="Calibri" w:hAnsi="Calibri"/>
                <w:b w:val="0"/>
                <w:i w:val="0"/>
                <w:color w:val="1A1E17"/>
                <w:sz w:val="18"/>
              </w:rPr>
              <w:t>Incluye 5 anuncios listos para publicar (Anexo A)</w:t>
            </w:r>
          </w:p>
        </w:tc>
      </w:tr>
      <w:tr>
        <w:tc>
          <w:tcPr>
            <w:tcW w:type="dxa" w:w="975"/>
          </w:tcPr>
          <w:p>
            <w:r/>
            <w:r>
              <w:rPr>
                <w:rFonts w:ascii="Calibri" w:hAnsi="Calibri"/>
                <w:b w:val="0"/>
                <w:i w:val="0"/>
                <w:color w:val="1A1E17"/>
                <w:sz w:val="18"/>
              </w:rPr>
              <w:t>DOC-03</w:t>
            </w:r>
          </w:p>
        </w:tc>
        <w:tc>
          <w:tcPr>
            <w:tcW w:type="dxa" w:w="975"/>
          </w:tcPr>
          <w:p>
            <w:r/>
            <w:r>
              <w:rPr>
                <w:rFonts w:ascii="Calibri" w:hAnsi="Calibri"/>
                <w:b w:val="0"/>
                <w:i w:val="0"/>
                <w:color w:val="1A1E17"/>
                <w:sz w:val="18"/>
              </w:rPr>
              <w:t>Auditoría de cuenta Meta Ads</w:t>
            </w:r>
          </w:p>
        </w:tc>
        <w:tc>
          <w:tcPr>
            <w:tcW w:type="dxa" w:w="975"/>
          </w:tcPr>
          <w:p>
            <w:r/>
            <w:r>
              <w:rPr>
                <w:rFonts w:ascii="Consolas" w:hAnsi="Consolas"/>
                <w:b w:val="0"/>
                <w:i w:val="0"/>
                <w:color w:val="1A1E17"/>
                <w:sz w:val="17"/>
              </w:rPr>
              <w:t>campanas-ads/auditoria-cuenta-meta-ads.md</w:t>
            </w:r>
          </w:p>
        </w:tc>
        <w:tc>
          <w:tcPr>
            <w:tcW w:type="dxa" w:w="975"/>
          </w:tcPr>
          <w:p>
            <w:r/>
            <w:r>
              <w:rPr>
                <w:rFonts w:ascii="Calibri" w:hAnsi="Calibri"/>
                <w:b w:val="0"/>
                <w:i w:val="0"/>
                <w:color w:val="1A1E17"/>
                <w:sz w:val="18"/>
              </w:rPr>
              <w:t>Claude Code</w:t>
            </w:r>
          </w:p>
        </w:tc>
        <w:tc>
          <w:tcPr>
            <w:tcW w:type="dxa" w:w="975"/>
          </w:tcPr>
          <w:p>
            <w:r/>
            <w:r>
              <w:rPr>
                <w:rFonts w:ascii="Calibri" w:hAnsi="Calibri"/>
                <w:b w:val="0"/>
                <w:i w:val="0"/>
                <w:color w:val="1A1E17"/>
                <w:sz w:val="18"/>
              </w:rPr>
              <w:t>Meta Ads</w:t>
            </w:r>
          </w:p>
        </w:tc>
        <w:tc>
          <w:tcPr>
            <w:tcW w:type="dxa" w:w="975"/>
          </w:tcPr>
          <w:p>
            <w:r/>
            <w:r>
              <w:rPr>
                <w:rFonts w:ascii="Calibri" w:hAnsi="Calibri"/>
                <w:b w:val="0"/>
                <w:i w:val="0"/>
                <w:color w:val="1A1E17"/>
                <w:sz w:val="18"/>
              </w:rPr>
              <w:t>17-08-2026, ajustado 18-08-2026</w:t>
            </w:r>
          </w:p>
        </w:tc>
        <w:tc>
          <w:tcPr>
            <w:tcW w:type="dxa" w:w="975"/>
          </w:tcPr>
          <w:p>
            <w:r/>
            <w:r>
              <w:rPr>
                <w:rFonts w:ascii="Calibri" w:hAnsi="Calibri"/>
                <w:b w:val="0"/>
                <w:i w:val="0"/>
                <w:color w:val="1A1E17"/>
                <w:sz w:val="18"/>
              </w:rPr>
              <w:t>Histórico completo de la cuenta hasta 17/18-08-2026</w:t>
            </w:r>
          </w:p>
        </w:tc>
        <w:tc>
          <w:tcPr>
            <w:tcW w:type="dxa" w:w="975"/>
          </w:tcPr>
          <w:p>
            <w:r/>
            <w:r>
              <w:rPr>
                <w:rFonts w:ascii="Calibri" w:hAnsi="Calibri"/>
                <w:b w:val="0"/>
                <w:i w:val="0"/>
                <w:color w:val="1A1E17"/>
                <w:sz w:val="18"/>
              </w:rPr>
              <w:t>Auditoría (datos reales vía MCP)</w:t>
            </w:r>
          </w:p>
        </w:tc>
        <w:tc>
          <w:tcPr>
            <w:tcW w:type="dxa" w:w="975"/>
          </w:tcPr>
          <w:p>
            <w:r/>
            <w:r>
              <w:rPr>
                <w:rFonts w:ascii="Calibri" w:hAnsi="Calibri"/>
                <w:b w:val="0"/>
                <w:i w:val="0"/>
                <w:color w:val="1A1E17"/>
                <w:sz w:val="18"/>
              </w:rPr>
              <w:t>Vigente, con nota de ajuste</w:t>
            </w:r>
          </w:p>
        </w:tc>
        <w:tc>
          <w:tcPr>
            <w:tcW w:type="dxa" w:w="975"/>
          </w:tcPr>
          <w:p>
            <w:r/>
            <w:r>
              <w:rPr>
                <w:rFonts w:ascii="Calibri" w:hAnsi="Calibri"/>
                <w:b w:val="0"/>
                <w:i w:val="0"/>
                <w:color w:val="1A1E17"/>
                <w:sz w:val="18"/>
              </w:rPr>
              <w:t>Puntuación 43/100. Fuente: Meta Ads MCP directo, no Biblioteca de Anuncios</w:t>
            </w:r>
          </w:p>
        </w:tc>
      </w:tr>
      <w:tr>
        <w:tc>
          <w:tcPr>
            <w:tcW w:type="dxa" w:w="975"/>
          </w:tcPr>
          <w:p>
            <w:r/>
            <w:r>
              <w:rPr>
                <w:rFonts w:ascii="Calibri" w:hAnsi="Calibri"/>
                <w:b w:val="0"/>
                <w:i w:val="0"/>
                <w:color w:val="1A1E17"/>
                <w:sz w:val="18"/>
              </w:rPr>
              <w:t>DOC-04</w:t>
            </w:r>
          </w:p>
        </w:tc>
        <w:tc>
          <w:tcPr>
            <w:tcW w:type="dxa" w:w="975"/>
          </w:tcPr>
          <w:p>
            <w:r/>
            <w:r>
              <w:rPr>
                <w:rFonts w:ascii="Calibri" w:hAnsi="Calibri"/>
                <w:b w:val="0"/>
                <w:i w:val="0"/>
                <w:color w:val="1A1E17"/>
                <w:sz w:val="18"/>
              </w:rPr>
              <w:t>Auditoría Completa GA4</w:t>
            </w:r>
          </w:p>
        </w:tc>
        <w:tc>
          <w:tcPr>
            <w:tcW w:type="dxa" w:w="975"/>
          </w:tcPr>
          <w:p>
            <w:r/>
            <w:r>
              <w:rPr>
                <w:rFonts w:ascii="Consolas" w:hAnsi="Consolas"/>
                <w:b w:val="0"/>
                <w:i w:val="0"/>
                <w:color w:val="1A1E17"/>
                <w:sz w:val="17"/>
              </w:rPr>
              <w:t>campanas-ads/auditoria-ga4-completa.md</w:t>
            </w:r>
          </w:p>
        </w:tc>
        <w:tc>
          <w:tcPr>
            <w:tcW w:type="dxa" w:w="975"/>
          </w:tcPr>
          <w:p>
            <w:r/>
            <w:r>
              <w:rPr>
                <w:rFonts w:ascii="Calibri" w:hAnsi="Calibri"/>
                <w:b w:val="0"/>
                <w:i w:val="0"/>
                <w:color w:val="1A1E17"/>
                <w:sz w:val="18"/>
              </w:rPr>
              <w:t>Claude Code</w:t>
            </w:r>
          </w:p>
        </w:tc>
        <w:tc>
          <w:tcPr>
            <w:tcW w:type="dxa" w:w="975"/>
          </w:tcPr>
          <w:p>
            <w:r/>
            <w:r>
              <w:rPr>
                <w:rFonts w:ascii="Calibri" w:hAnsi="Calibri"/>
                <w:b w:val="0"/>
                <w:i w:val="0"/>
                <w:color w:val="1A1E17"/>
                <w:sz w:val="18"/>
              </w:rPr>
              <w:t>GA4</w:t>
            </w:r>
          </w:p>
        </w:tc>
        <w:tc>
          <w:tcPr>
            <w:tcW w:type="dxa" w:w="975"/>
          </w:tcPr>
          <w:p>
            <w:r/>
            <w:r>
              <w:rPr>
                <w:rFonts w:ascii="Calibri" w:hAnsi="Calibri"/>
                <w:b w:val="0"/>
                <w:i w:val="0"/>
                <w:color w:val="1A1E17"/>
                <w:sz w:val="18"/>
              </w:rPr>
              <w:t>18-08-2026</w:t>
            </w:r>
          </w:p>
        </w:tc>
        <w:tc>
          <w:tcPr>
            <w:tcW w:type="dxa" w:w="975"/>
          </w:tcPr>
          <w:p>
            <w:r/>
            <w:r>
              <w:rPr>
                <w:rFonts w:ascii="Calibri" w:hAnsi="Calibri"/>
                <w:b w:val="0"/>
                <w:i w:val="0"/>
                <w:color w:val="1A1E17"/>
                <w:sz w:val="18"/>
              </w:rPr>
              <w:t>Últimos 30 días desde la fecha del informe</w:t>
            </w:r>
          </w:p>
        </w:tc>
        <w:tc>
          <w:tcPr>
            <w:tcW w:type="dxa" w:w="975"/>
          </w:tcPr>
          <w:p>
            <w:r/>
            <w:r>
              <w:rPr>
                <w:rFonts w:ascii="Calibri" w:hAnsi="Calibri"/>
                <w:b w:val="0"/>
                <w:i w:val="0"/>
                <w:color w:val="1A1E17"/>
                <w:sz w:val="18"/>
              </w:rPr>
              <w:t>Auditoría (datos reales vía MCP)</w:t>
            </w:r>
          </w:p>
        </w:tc>
        <w:tc>
          <w:tcPr>
            <w:tcW w:type="dxa" w:w="975"/>
          </w:tcPr>
          <w:p>
            <w:r/>
            <w:r>
              <w:rPr>
                <w:rFonts w:ascii="Calibri" w:hAnsi="Calibri"/>
                <w:b w:val="0"/>
                <w:i w:val="0"/>
                <w:color w:val="1A1E17"/>
                <w:sz w:val="18"/>
              </w:rPr>
              <w:t>Vigente</w:t>
            </w:r>
          </w:p>
        </w:tc>
        <w:tc>
          <w:tcPr>
            <w:tcW w:type="dxa" w:w="975"/>
          </w:tcPr>
          <w:p>
            <w:r/>
            <w:r>
              <w:rPr>
                <w:rFonts w:ascii="Calibri" w:hAnsi="Calibri"/>
                <w:b w:val="0"/>
                <w:i w:val="0"/>
                <w:color w:val="1A1E17"/>
                <w:sz w:val="18"/>
              </w:rPr>
              <w:t>2 propiedades GA4 auditadas evento por evento</w:t>
            </w:r>
          </w:p>
        </w:tc>
      </w:tr>
      <w:tr>
        <w:tc>
          <w:tcPr>
            <w:tcW w:type="dxa" w:w="975"/>
          </w:tcPr>
          <w:p>
            <w:r/>
            <w:r>
              <w:rPr>
                <w:rFonts w:ascii="Calibri" w:hAnsi="Calibri"/>
                <w:b w:val="0"/>
                <w:i w:val="0"/>
                <w:color w:val="1A1E17"/>
                <w:sz w:val="18"/>
              </w:rPr>
              <w:t>DOC-05</w:t>
            </w:r>
          </w:p>
        </w:tc>
        <w:tc>
          <w:tcPr>
            <w:tcW w:type="dxa" w:w="975"/>
          </w:tcPr>
          <w:p>
            <w:r/>
            <w:r>
              <w:rPr>
                <w:rFonts w:ascii="Calibri" w:hAnsi="Calibri"/>
                <w:b w:val="0"/>
                <w:i w:val="0"/>
                <w:color w:val="1A1E17"/>
                <w:sz w:val="18"/>
              </w:rPr>
              <w:t>Backlog ClickUp — GA4</w:t>
            </w:r>
          </w:p>
        </w:tc>
        <w:tc>
          <w:tcPr>
            <w:tcW w:type="dxa" w:w="975"/>
          </w:tcPr>
          <w:p>
            <w:r/>
            <w:r>
              <w:rPr>
                <w:rFonts w:ascii="Consolas" w:hAnsi="Consolas"/>
                <w:b w:val="0"/>
                <w:i w:val="0"/>
                <w:color w:val="1A1E17"/>
                <w:sz w:val="17"/>
              </w:rPr>
              <w:t>campanas-ads/backlog-clickup-ga4.md</w:t>
            </w:r>
          </w:p>
        </w:tc>
        <w:tc>
          <w:tcPr>
            <w:tcW w:type="dxa" w:w="975"/>
          </w:tcPr>
          <w:p>
            <w:r/>
            <w:r>
              <w:rPr>
                <w:rFonts w:ascii="Calibri" w:hAnsi="Calibri"/>
                <w:b w:val="0"/>
                <w:i w:val="0"/>
                <w:color w:val="1A1E17"/>
                <w:sz w:val="18"/>
              </w:rPr>
              <w:t>Claude Code</w:t>
            </w:r>
          </w:p>
        </w:tc>
        <w:tc>
          <w:tcPr>
            <w:tcW w:type="dxa" w:w="975"/>
          </w:tcPr>
          <w:p>
            <w:r/>
            <w:r>
              <w:rPr>
                <w:rFonts w:ascii="Calibri" w:hAnsi="Calibri"/>
                <w:b w:val="0"/>
                <w:i w:val="0"/>
                <w:color w:val="1A1E17"/>
                <w:sz w:val="18"/>
              </w:rPr>
              <w:t>GA4</w:t>
            </w:r>
          </w:p>
        </w:tc>
        <w:tc>
          <w:tcPr>
            <w:tcW w:type="dxa" w:w="975"/>
          </w:tcPr>
          <w:p>
            <w:r/>
            <w:r>
              <w:rPr>
                <w:rFonts w:ascii="Calibri" w:hAnsi="Calibri"/>
                <w:b w:val="0"/>
                <w:i w:val="0"/>
                <w:color w:val="1A1E17"/>
                <w:sz w:val="18"/>
              </w:rPr>
              <w:t>18-08-2026</w:t>
            </w:r>
          </w:p>
        </w:tc>
        <w:tc>
          <w:tcPr>
            <w:tcW w:type="dxa" w:w="975"/>
          </w:tcPr>
          <w:p>
            <w:r/>
            <w:r>
              <w:rPr>
                <w:rFonts w:ascii="Calibri" w:hAnsi="Calibri"/>
                <w:b w:val="0"/>
                <w:i w:val="0"/>
                <w:color w:val="1A1E17"/>
                <w:sz w:val="18"/>
              </w:rPr>
              <w:t>—</w:t>
            </w:r>
          </w:p>
        </w:tc>
        <w:tc>
          <w:tcPr>
            <w:tcW w:type="dxa" w:w="975"/>
          </w:tcPr>
          <w:p>
            <w:r/>
            <w:r>
              <w:rPr>
                <w:rFonts w:ascii="Calibri" w:hAnsi="Calibri"/>
                <w:b w:val="0"/>
                <w:i w:val="0"/>
                <w:color w:val="1A1E17"/>
                <w:sz w:val="18"/>
              </w:rPr>
              <w:t>Backlog</w:t>
            </w:r>
          </w:p>
        </w:tc>
        <w:tc>
          <w:tcPr>
            <w:tcW w:type="dxa" w:w="975"/>
          </w:tcPr>
          <w:p>
            <w:r/>
            <w:r>
              <w:rPr>
                <w:rFonts w:ascii="Calibri" w:hAnsi="Calibri"/>
                <w:b w:val="0"/>
                <w:i w:val="0"/>
                <w:color w:val="1A1E17"/>
                <w:sz w:val="18"/>
              </w:rPr>
              <w:t>Vigente</w:t>
            </w:r>
          </w:p>
        </w:tc>
        <w:tc>
          <w:tcPr>
            <w:tcW w:type="dxa" w:w="975"/>
          </w:tcPr>
          <w:p>
            <w:r/>
            <w:r>
              <w:rPr>
                <w:rFonts w:ascii="Calibri" w:hAnsi="Calibri"/>
                <w:b w:val="0"/>
                <w:i w:val="0"/>
                <w:color w:val="1A1E17"/>
                <w:sz w:val="18"/>
              </w:rPr>
              <w:t>10 tareas (G1-G10)</w:t>
            </w:r>
          </w:p>
        </w:tc>
      </w:tr>
      <w:tr>
        <w:tc>
          <w:tcPr>
            <w:tcW w:type="dxa" w:w="975"/>
          </w:tcPr>
          <w:p>
            <w:r/>
            <w:r>
              <w:rPr>
                <w:rFonts w:ascii="Calibri" w:hAnsi="Calibri"/>
                <w:b w:val="0"/>
                <w:i w:val="0"/>
                <w:color w:val="1A1E17"/>
                <w:sz w:val="18"/>
              </w:rPr>
              <w:t>DOC-06</w:t>
            </w:r>
          </w:p>
        </w:tc>
        <w:tc>
          <w:tcPr>
            <w:tcW w:type="dxa" w:w="975"/>
          </w:tcPr>
          <w:p>
            <w:r/>
            <w:r>
              <w:rPr>
                <w:rFonts w:ascii="Calibri" w:hAnsi="Calibri"/>
                <w:b w:val="0"/>
                <w:i w:val="0"/>
                <w:color w:val="1A1E17"/>
                <w:sz w:val="18"/>
              </w:rPr>
              <w:t>Plan de ajustes post-CAE</w:t>
            </w:r>
          </w:p>
        </w:tc>
        <w:tc>
          <w:tcPr>
            <w:tcW w:type="dxa" w:w="975"/>
          </w:tcPr>
          <w:p>
            <w:r/>
            <w:r>
              <w:rPr>
                <w:rFonts w:ascii="Consolas" w:hAnsi="Consolas"/>
                <w:b w:val="0"/>
                <w:i w:val="0"/>
                <w:color w:val="1A1E17"/>
                <w:sz w:val="17"/>
              </w:rPr>
              <w:t>campanas-ads/plan-ajustes-post-cae-clickup.md</w:t>
            </w:r>
          </w:p>
        </w:tc>
        <w:tc>
          <w:tcPr>
            <w:tcW w:type="dxa" w:w="975"/>
          </w:tcPr>
          <w:p>
            <w:r/>
            <w:r>
              <w:rPr>
                <w:rFonts w:ascii="Calibri" w:hAnsi="Calibri"/>
                <w:b w:val="0"/>
                <w:i w:val="0"/>
                <w:color w:val="1A1E17"/>
                <w:sz w:val="18"/>
              </w:rPr>
              <w:t>Claude Code</w:t>
            </w:r>
          </w:p>
        </w:tc>
        <w:tc>
          <w:tcPr>
            <w:tcW w:type="dxa" w:w="975"/>
          </w:tcPr>
          <w:p>
            <w:r/>
            <w:r>
              <w:rPr>
                <w:rFonts w:ascii="Calibri" w:hAnsi="Calibri"/>
                <w:b w:val="0"/>
                <w:i w:val="0"/>
                <w:color w:val="1A1E17"/>
                <w:sz w:val="18"/>
              </w:rPr>
              <w:t>Meta Ads</w:t>
            </w:r>
          </w:p>
        </w:tc>
        <w:tc>
          <w:tcPr>
            <w:tcW w:type="dxa" w:w="975"/>
          </w:tcPr>
          <w:p>
            <w:r/>
            <w:r>
              <w:rPr>
                <w:rFonts w:ascii="Calibri" w:hAnsi="Calibri"/>
                <w:b w:val="0"/>
                <w:i w:val="0"/>
                <w:color w:val="1A1E17"/>
                <w:sz w:val="18"/>
              </w:rPr>
              <w:t>18-08-2026</w:t>
            </w:r>
          </w:p>
        </w:tc>
        <w:tc>
          <w:tcPr>
            <w:tcW w:type="dxa" w:w="975"/>
          </w:tcPr>
          <w:p>
            <w:r/>
            <w:r>
              <w:rPr>
                <w:rFonts w:ascii="Calibri" w:hAnsi="Calibri"/>
                <w:b w:val="0"/>
                <w:i w:val="0"/>
                <w:color w:val="1A1E17"/>
                <w:sz w:val="18"/>
              </w:rPr>
              <w:t>—</w:t>
            </w:r>
          </w:p>
        </w:tc>
        <w:tc>
          <w:tcPr>
            <w:tcW w:type="dxa" w:w="975"/>
          </w:tcPr>
          <w:p>
            <w:r/>
            <w:r>
              <w:rPr>
                <w:rFonts w:ascii="Calibri" w:hAnsi="Calibri"/>
                <w:b w:val="0"/>
                <w:i w:val="0"/>
                <w:color w:val="1A1E17"/>
                <w:sz w:val="18"/>
              </w:rPr>
              <w:t>Backlog / registro de cambios</w:t>
            </w:r>
          </w:p>
        </w:tc>
        <w:tc>
          <w:tcPr>
            <w:tcW w:type="dxa" w:w="975"/>
          </w:tcPr>
          <w:p>
            <w:r/>
            <w:r>
              <w:rPr>
                <w:rFonts w:ascii="Calibri" w:hAnsi="Calibri"/>
                <w:b w:val="0"/>
                <w:i w:val="0"/>
                <w:color w:val="1A1E17"/>
                <w:sz w:val="18"/>
              </w:rPr>
              <w:t>Vigente</w:t>
            </w:r>
          </w:p>
        </w:tc>
        <w:tc>
          <w:tcPr>
            <w:tcW w:type="dxa" w:w="975"/>
          </w:tcPr>
          <w:p>
            <w:r/>
            <w:r>
              <w:rPr>
                <w:rFonts w:ascii="Calibri" w:hAnsi="Calibri"/>
                <w:b w:val="0"/>
                <w:i w:val="0"/>
                <w:color w:val="1A1E17"/>
                <w:sz w:val="18"/>
              </w:rPr>
              <w:t>Ajusta DOC-03; 11 tareas</w:t>
            </w:r>
          </w:p>
        </w:tc>
      </w:tr>
      <w:tr>
        <w:tc>
          <w:tcPr>
            <w:tcW w:type="dxa" w:w="975"/>
          </w:tcPr>
          <w:p>
            <w:r/>
            <w:r>
              <w:rPr>
                <w:rFonts w:ascii="Calibri" w:hAnsi="Calibri"/>
                <w:b w:val="0"/>
                <w:i w:val="0"/>
                <w:color w:val="1A1E17"/>
                <w:sz w:val="18"/>
              </w:rPr>
              <w:t>DOC-07</w:t>
            </w:r>
          </w:p>
        </w:tc>
        <w:tc>
          <w:tcPr>
            <w:tcW w:type="dxa" w:w="975"/>
          </w:tcPr>
          <w:p>
            <w:r/>
            <w:r>
              <w:rPr>
                <w:rFonts w:ascii="Calibri" w:hAnsi="Calibri"/>
                <w:b w:val="0"/>
                <w:i w:val="0"/>
                <w:color w:val="1A1E17"/>
                <w:sz w:val="18"/>
              </w:rPr>
              <w:t>Backlog ClickUp — Investigación 2</w:t>
            </w:r>
          </w:p>
        </w:tc>
        <w:tc>
          <w:tcPr>
            <w:tcW w:type="dxa" w:w="975"/>
          </w:tcPr>
          <w:p>
            <w:r/>
            <w:r>
              <w:rPr>
                <w:rFonts w:ascii="Consolas" w:hAnsi="Consolas"/>
                <w:b w:val="0"/>
                <w:i w:val="0"/>
                <w:color w:val="1A1E17"/>
                <w:sz w:val="17"/>
              </w:rPr>
              <w:t>campanas-ads/backlog-clickup-investigacion-2.md</w:t>
            </w:r>
          </w:p>
        </w:tc>
        <w:tc>
          <w:tcPr>
            <w:tcW w:type="dxa" w:w="975"/>
          </w:tcPr>
          <w:p>
            <w:r/>
            <w:r>
              <w:rPr>
                <w:rFonts w:ascii="Calibri" w:hAnsi="Calibri"/>
                <w:b w:val="0"/>
                <w:i w:val="0"/>
                <w:color w:val="1A1E17"/>
                <w:sz w:val="18"/>
              </w:rPr>
              <w:t>Claude Code</w:t>
            </w:r>
          </w:p>
        </w:tc>
        <w:tc>
          <w:tcPr>
            <w:tcW w:type="dxa" w:w="975"/>
          </w:tcPr>
          <w:p>
            <w:r/>
            <w:r>
              <w:rPr>
                <w:rFonts w:ascii="Calibri" w:hAnsi="Calibri"/>
                <w:b w:val="0"/>
                <w:i w:val="0"/>
                <w:color w:val="1A1E17"/>
                <w:sz w:val="18"/>
              </w:rPr>
              <w:t>Meta Ads / políticas</w:t>
            </w:r>
          </w:p>
        </w:tc>
        <w:tc>
          <w:tcPr>
            <w:tcW w:type="dxa" w:w="975"/>
          </w:tcPr>
          <w:p>
            <w:r/>
            <w:r>
              <w:rPr>
                <w:rFonts w:ascii="Calibri" w:hAnsi="Calibri"/>
                <w:b w:val="0"/>
                <w:i w:val="0"/>
                <w:color w:val="1A1E17"/>
                <w:sz w:val="18"/>
              </w:rPr>
              <w:t>18-08-2026</w:t>
            </w:r>
          </w:p>
        </w:tc>
        <w:tc>
          <w:tcPr>
            <w:tcW w:type="dxa" w:w="975"/>
          </w:tcPr>
          <w:p>
            <w:r/>
            <w:r>
              <w:rPr>
                <w:rFonts w:ascii="Calibri" w:hAnsi="Calibri"/>
                <w:b w:val="0"/>
                <w:i w:val="0"/>
                <w:color w:val="1A1E17"/>
                <w:sz w:val="18"/>
              </w:rPr>
              <w:t>—</w:t>
            </w:r>
          </w:p>
        </w:tc>
        <w:tc>
          <w:tcPr>
            <w:tcW w:type="dxa" w:w="975"/>
          </w:tcPr>
          <w:p>
            <w:r/>
            <w:r>
              <w:rPr>
                <w:rFonts w:ascii="Calibri" w:hAnsi="Calibri"/>
                <w:b w:val="0"/>
                <w:i w:val="0"/>
                <w:color w:val="1A1E17"/>
                <w:sz w:val="18"/>
              </w:rPr>
              <w:t>Backlog</w:t>
            </w:r>
          </w:p>
        </w:tc>
        <w:tc>
          <w:tcPr>
            <w:tcW w:type="dxa" w:w="975"/>
          </w:tcPr>
          <w:p>
            <w:r/>
            <w:r>
              <w:rPr>
                <w:rFonts w:ascii="Calibri" w:hAnsi="Calibri"/>
                <w:b w:val="0"/>
                <w:i w:val="0"/>
                <w:color w:val="1A1E17"/>
                <w:sz w:val="18"/>
              </w:rPr>
              <w:t>Vigente</w:t>
            </w:r>
          </w:p>
        </w:tc>
        <w:tc>
          <w:tcPr>
            <w:tcW w:type="dxa" w:w="975"/>
          </w:tcPr>
          <w:p>
            <w:r/>
            <w:r>
              <w:rPr>
                <w:rFonts w:ascii="Calibri" w:hAnsi="Calibri"/>
                <w:b w:val="0"/>
                <w:i w:val="0"/>
                <w:color w:val="1A1E17"/>
                <w:sz w:val="18"/>
              </w:rPr>
              <w:t>17 tareas + 4 activos de referencia</w:t>
            </w:r>
          </w:p>
        </w:tc>
      </w:tr>
      <w:tr>
        <w:tc>
          <w:tcPr>
            <w:tcW w:type="dxa" w:w="975"/>
          </w:tcPr>
          <w:p>
            <w:r/>
            <w:r>
              <w:rPr>
                <w:rFonts w:ascii="Calibri" w:hAnsi="Calibri"/>
                <w:b w:val="0"/>
                <w:i w:val="0"/>
                <w:color w:val="1A1E17"/>
                <w:sz w:val="18"/>
              </w:rPr>
              <w:t>DOC-08</w:t>
            </w:r>
          </w:p>
        </w:tc>
        <w:tc>
          <w:tcPr>
            <w:tcW w:type="dxa" w:w="975"/>
          </w:tcPr>
          <w:p>
            <w:r/>
            <w:r>
              <w:rPr>
                <w:rFonts w:ascii="Calibri" w:hAnsi="Calibri"/>
                <w:b w:val="0"/>
                <w:i w:val="0"/>
                <w:color w:val="1A1E17"/>
                <w:sz w:val="18"/>
              </w:rPr>
              <w:t>Investigación 2 — Políticas y algoritmo Meta 2026</w:t>
            </w:r>
          </w:p>
        </w:tc>
        <w:tc>
          <w:tcPr>
            <w:tcW w:type="dxa" w:w="975"/>
          </w:tcPr>
          <w:p>
            <w:r/>
            <w:r>
              <w:rPr>
                <w:rFonts w:ascii="Consolas" w:hAnsi="Consolas"/>
                <w:b w:val="0"/>
                <w:i w:val="0"/>
                <w:color w:val="1A1E17"/>
                <w:sz w:val="17"/>
              </w:rPr>
              <w:t>campanas-ads/investigacion-2-politicas-algoritmo-meta.md</w:t>
            </w:r>
          </w:p>
        </w:tc>
        <w:tc>
          <w:tcPr>
            <w:tcW w:type="dxa" w:w="975"/>
          </w:tcPr>
          <w:p>
            <w:r/>
            <w:r>
              <w:rPr>
                <w:rFonts w:ascii="Calibri" w:hAnsi="Calibri"/>
                <w:b w:val="0"/>
                <w:i w:val="0"/>
                <w:color w:val="1A1E17"/>
                <w:sz w:val="18"/>
              </w:rPr>
              <w:t>Claude Code</w:t>
            </w:r>
          </w:p>
        </w:tc>
        <w:tc>
          <w:tcPr>
            <w:tcW w:type="dxa" w:w="975"/>
          </w:tcPr>
          <w:p>
            <w:r/>
            <w:r>
              <w:rPr>
                <w:rFonts w:ascii="Calibri" w:hAnsi="Calibri"/>
                <w:b w:val="0"/>
                <w:i w:val="0"/>
                <w:color w:val="1A1E17"/>
                <w:sz w:val="18"/>
              </w:rPr>
              <w:t>Meta Ads / políticas</w:t>
            </w:r>
          </w:p>
        </w:tc>
        <w:tc>
          <w:tcPr>
            <w:tcW w:type="dxa" w:w="975"/>
          </w:tcPr>
          <w:p>
            <w:r/>
            <w:r>
              <w:rPr>
                <w:rFonts w:ascii="Calibri" w:hAnsi="Calibri"/>
                <w:b w:val="0"/>
                <w:i w:val="0"/>
                <w:color w:val="1A1E17"/>
                <w:sz w:val="18"/>
              </w:rPr>
              <w:t>18-08-2026</w:t>
            </w:r>
          </w:p>
        </w:tc>
        <w:tc>
          <w:tcPr>
            <w:tcW w:type="dxa" w:w="975"/>
          </w:tcPr>
          <w:p>
            <w:r/>
            <w:r>
              <w:rPr>
                <w:rFonts w:ascii="Calibri" w:hAnsi="Calibri"/>
                <w:b w:val="0"/>
                <w:i w:val="0"/>
                <w:color w:val="1A1E17"/>
                <w:sz w:val="18"/>
              </w:rPr>
              <w:t>Estado de plataforma a esa fecha, con fuentes externas oficiales citadas</w:t>
            </w:r>
          </w:p>
        </w:tc>
        <w:tc>
          <w:tcPr>
            <w:tcW w:type="dxa" w:w="975"/>
          </w:tcPr>
          <w:p>
            <w:r/>
            <w:r>
              <w:rPr>
                <w:rFonts w:ascii="Calibri" w:hAnsi="Calibri"/>
                <w:b w:val="0"/>
                <w:i w:val="0"/>
                <w:color w:val="1A1E17"/>
                <w:sz w:val="18"/>
              </w:rPr>
              <w:t>Investigación con datos en vivo + fuentes externas</w:t>
            </w:r>
          </w:p>
        </w:tc>
        <w:tc>
          <w:tcPr>
            <w:tcW w:type="dxa" w:w="975"/>
          </w:tcPr>
          <w:p>
            <w:r/>
            <w:r>
              <w:rPr>
                <w:rFonts w:ascii="Calibri" w:hAnsi="Calibri"/>
                <w:b w:val="0"/>
                <w:i w:val="0"/>
                <w:color w:val="1A1E17"/>
                <w:sz w:val="18"/>
              </w:rPr>
              <w:t>Vigente</w:t>
            </w:r>
          </w:p>
        </w:tc>
        <w:tc>
          <w:tcPr>
            <w:tcW w:type="dxa" w:w="975"/>
          </w:tcPr>
          <w:p>
            <w:r/>
            <w:r>
              <w:rPr>
                <w:rFonts w:ascii="Calibri" w:hAnsi="Calibri"/>
                <w:b w:val="0"/>
                <w:i w:val="0"/>
                <w:color w:val="1A1E17"/>
                <w:sz w:val="18"/>
              </w:rPr>
              <w:t>Reconcilia expresamente Opportunity Score 96/100 vs. puntaje 43/100 de DOC-03</w:t>
            </w:r>
          </w:p>
        </w:tc>
      </w:tr>
      <w:tr>
        <w:tc>
          <w:tcPr>
            <w:tcW w:type="dxa" w:w="975"/>
          </w:tcPr>
          <w:p>
            <w:r/>
            <w:r>
              <w:rPr>
                <w:rFonts w:ascii="Calibri" w:hAnsi="Calibri"/>
                <w:b w:val="0"/>
                <w:i w:val="0"/>
                <w:color w:val="1A1E17"/>
                <w:sz w:val="18"/>
              </w:rPr>
              <w:t>DOC-09</w:t>
            </w:r>
          </w:p>
        </w:tc>
        <w:tc>
          <w:tcPr>
            <w:tcW w:type="dxa" w:w="975"/>
          </w:tcPr>
          <w:p>
            <w:r/>
            <w:r>
              <w:rPr>
                <w:rFonts w:ascii="Calibri" w:hAnsi="Calibri"/>
                <w:b w:val="0"/>
                <w:i w:val="0"/>
                <w:color w:val="1A1E17"/>
                <w:sz w:val="18"/>
              </w:rPr>
              <w:t>Auditoría técnica 14 URL</w:t>
            </w:r>
          </w:p>
        </w:tc>
        <w:tc>
          <w:tcPr>
            <w:tcW w:type="dxa" w:w="975"/>
          </w:tcPr>
          <w:p>
            <w:r/>
            <w:r>
              <w:rPr>
                <w:rFonts w:ascii="Consolas" w:hAnsi="Consolas"/>
                <w:b w:val="0"/>
                <w:i w:val="0"/>
                <w:color w:val="1A1E17"/>
                <w:sz w:val="17"/>
              </w:rPr>
              <w:t>campanas-ads/auditoria-14-urls.md</w:t>
            </w:r>
          </w:p>
        </w:tc>
        <w:tc>
          <w:tcPr>
            <w:tcW w:type="dxa" w:w="975"/>
          </w:tcPr>
          <w:p>
            <w:r/>
            <w:r>
              <w:rPr>
                <w:rFonts w:ascii="Calibri" w:hAnsi="Calibri"/>
                <w:b w:val="0"/>
                <w:i w:val="0"/>
                <w:color w:val="1A1E17"/>
                <w:sz w:val="18"/>
              </w:rPr>
              <w:t>Claude Code</w:t>
            </w:r>
          </w:p>
        </w:tc>
        <w:tc>
          <w:tcPr>
            <w:tcW w:type="dxa" w:w="975"/>
          </w:tcPr>
          <w:p>
            <w:r/>
            <w:r>
              <w:rPr>
                <w:rFonts w:ascii="Calibri" w:hAnsi="Calibri"/>
                <w:b w:val="0"/>
                <w:i w:val="0"/>
                <w:color w:val="1A1E17"/>
                <w:sz w:val="18"/>
              </w:rPr>
              <w:t>SEO técnico / Landing</w:t>
            </w:r>
          </w:p>
        </w:tc>
        <w:tc>
          <w:tcPr>
            <w:tcW w:type="dxa" w:w="975"/>
          </w:tcPr>
          <w:p>
            <w:r/>
            <w:r>
              <w:rPr>
                <w:rFonts w:ascii="Calibri" w:hAnsi="Calibri"/>
                <w:b w:val="0"/>
                <w:i w:val="0"/>
                <w:color w:val="1A1E17"/>
                <w:sz w:val="18"/>
              </w:rPr>
              <w:t>17-08-2026, complemento Lighthouse 18-08-2026</w:t>
            </w:r>
          </w:p>
        </w:tc>
        <w:tc>
          <w:tcPr>
            <w:tcW w:type="dxa" w:w="975"/>
          </w:tcPr>
          <w:p>
            <w:r/>
            <w:r>
              <w:rPr>
                <w:rFonts w:ascii="Calibri" w:hAnsi="Calibri"/>
                <w:b w:val="0"/>
                <w:i w:val="0"/>
                <w:color w:val="1A1E17"/>
                <w:sz w:val="18"/>
              </w:rPr>
              <w:t>Estado de 14 URL a esa fecha</w:t>
            </w:r>
          </w:p>
        </w:tc>
        <w:tc>
          <w:tcPr>
            <w:tcW w:type="dxa" w:w="975"/>
          </w:tcPr>
          <w:p>
            <w:r/>
            <w:r>
              <w:rPr>
                <w:rFonts w:ascii="Calibri" w:hAnsi="Calibri"/>
                <w:b w:val="0"/>
                <w:i w:val="0"/>
                <w:color w:val="1A1E17"/>
                <w:sz w:val="18"/>
              </w:rPr>
              <w:t>Auditoría técnica + Lighthouse</w:t>
            </w:r>
          </w:p>
        </w:tc>
        <w:tc>
          <w:tcPr>
            <w:tcW w:type="dxa" w:w="975"/>
          </w:tcPr>
          <w:p>
            <w:r/>
            <w:r>
              <w:rPr>
                <w:rFonts w:ascii="Calibri" w:hAnsi="Calibri"/>
                <w:b w:val="0"/>
                <w:i w:val="0"/>
                <w:color w:val="1A1E17"/>
                <w:sz w:val="18"/>
              </w:rPr>
              <w:t>Vigente</w:t>
            </w:r>
          </w:p>
        </w:tc>
        <w:tc>
          <w:tcPr>
            <w:tcW w:type="dxa" w:w="975"/>
          </w:tcPr>
          <w:p>
            <w:r/>
            <w:r>
              <w:rPr>
                <w:rFonts w:ascii="Calibri" w:hAnsi="Calibri"/>
                <w:b w:val="0"/>
                <w:i w:val="0"/>
                <w:color w:val="1A1E17"/>
                <w:sz w:val="18"/>
              </w:rPr>
              <w:t>Promedios: rendimiento 75, accesibilidad 87, buenas prácticas 84, SEO 95, visibilidad IA 42 (sobre 100)</w:t>
            </w:r>
          </w:p>
        </w:tc>
      </w:tr>
      <w:tr>
        <w:tc>
          <w:tcPr>
            <w:tcW w:type="dxa" w:w="975"/>
          </w:tcPr>
          <w:p>
            <w:r/>
            <w:r>
              <w:rPr>
                <w:rFonts w:ascii="Calibri" w:hAnsi="Calibri"/>
                <w:b w:val="0"/>
                <w:i w:val="0"/>
                <w:color w:val="1A1E17"/>
                <w:sz w:val="18"/>
              </w:rPr>
              <w:t>DOC-10</w:t>
            </w:r>
          </w:p>
        </w:tc>
        <w:tc>
          <w:tcPr>
            <w:tcW w:type="dxa" w:w="975"/>
          </w:tcPr>
          <w:p>
            <w:r/>
            <w:r>
              <w:rPr>
                <w:rFonts w:ascii="Calibri" w:hAnsi="Calibri"/>
                <w:b w:val="0"/>
                <w:i w:val="0"/>
                <w:color w:val="1A1E17"/>
                <w:sz w:val="18"/>
              </w:rPr>
              <w:t>Estructura de tareas ClickUp — Paid Media &amp; Growth</w:t>
            </w:r>
          </w:p>
        </w:tc>
        <w:tc>
          <w:tcPr>
            <w:tcW w:type="dxa" w:w="975"/>
          </w:tcPr>
          <w:p>
            <w:r/>
            <w:r>
              <w:rPr>
                <w:rFonts w:ascii="Consolas" w:hAnsi="Consolas"/>
                <w:b w:val="0"/>
                <w:i w:val="0"/>
                <w:color w:val="1A1E17"/>
                <w:sz w:val="17"/>
              </w:rPr>
              <w:t>clickup/estructura-tareas-clickup.md</w:t>
            </w:r>
          </w:p>
        </w:tc>
        <w:tc>
          <w:tcPr>
            <w:tcW w:type="dxa" w:w="975"/>
          </w:tcPr>
          <w:p>
            <w:r/>
            <w:r>
              <w:rPr>
                <w:rFonts w:ascii="Calibri" w:hAnsi="Calibri"/>
                <w:b w:val="0"/>
                <w:i w:val="0"/>
                <w:color w:val="1A1E17"/>
                <w:sz w:val="18"/>
              </w:rPr>
              <w:t>Claude Code</w:t>
            </w:r>
          </w:p>
        </w:tc>
        <w:tc>
          <w:tcPr>
            <w:tcW w:type="dxa" w:w="975"/>
          </w:tcPr>
          <w:p>
            <w:r/>
            <w:r>
              <w:rPr>
                <w:rFonts w:ascii="Calibri" w:hAnsi="Calibri"/>
                <w:b w:val="0"/>
                <w:i w:val="0"/>
                <w:color w:val="1A1E17"/>
                <w:sz w:val="18"/>
              </w:rPr>
              <w:t>Gobernanza / contrato</w:t>
            </w:r>
          </w:p>
        </w:tc>
        <w:tc>
          <w:tcPr>
            <w:tcW w:type="dxa" w:w="975"/>
          </w:tcPr>
          <w:p>
            <w:r/>
            <w:r>
              <w:rPr>
                <w:rFonts w:ascii="Calibri" w:hAnsi="Calibri"/>
                <w:b w:val="0"/>
                <w:i w:val="0"/>
                <w:color w:val="1A1E17"/>
                <w:sz w:val="18"/>
              </w:rPr>
              <w:t>17-08-2026</w:t>
            </w:r>
          </w:p>
        </w:tc>
        <w:tc>
          <w:tcPr>
            <w:tcW w:type="dxa" w:w="975"/>
          </w:tcPr>
          <w:p>
            <w:r/>
            <w:r>
              <w:rPr>
                <w:rFonts w:ascii="Calibri" w:hAnsi="Calibri"/>
                <w:b w:val="0"/>
                <w:i w:val="0"/>
                <w:color w:val="1A1E17"/>
                <w:sz w:val="18"/>
              </w:rPr>
              <w:t>Vigencia del contrato con la Prestadora</w:t>
            </w:r>
          </w:p>
        </w:tc>
        <w:tc>
          <w:tcPr>
            <w:tcW w:type="dxa" w:w="975"/>
          </w:tcPr>
          <w:p>
            <w:r/>
            <w:r>
              <w:rPr>
                <w:rFonts w:ascii="Calibri" w:hAnsi="Calibri"/>
                <w:b w:val="0"/>
                <w:i w:val="0"/>
                <w:color w:val="1A1E17"/>
                <w:sz w:val="18"/>
              </w:rPr>
              <w:t>Desglose contractual</w:t>
            </w:r>
          </w:p>
        </w:tc>
        <w:tc>
          <w:tcPr>
            <w:tcW w:type="dxa" w:w="975"/>
          </w:tcPr>
          <w:p>
            <w:r/>
            <w:r>
              <w:rPr>
                <w:rFonts w:ascii="Calibri" w:hAnsi="Calibri"/>
                <w:b w:val="0"/>
                <w:i w:val="0"/>
                <w:color w:val="1A1E17"/>
                <w:sz w:val="18"/>
              </w:rPr>
              <w:t>Vigente</w:t>
            </w:r>
          </w:p>
        </w:tc>
        <w:tc>
          <w:tcPr>
            <w:tcW w:type="dxa" w:w="975"/>
          </w:tcPr>
          <w:p>
            <w:r/>
            <w:r>
              <w:rPr>
                <w:rFonts w:ascii="Calibri" w:hAnsi="Calibri"/>
                <w:b w:val="0"/>
                <w:i w:val="0"/>
                <w:color w:val="1A1E17"/>
                <w:sz w:val="18"/>
              </w:rPr>
              <w:t>108 tareas identificadas desde el contrato, no desde una auditoría de hallazgos</w:t>
            </w:r>
          </w:p>
        </w:tc>
      </w:tr>
      <w:tr>
        <w:tc>
          <w:tcPr>
            <w:tcW w:type="dxa" w:w="975"/>
          </w:tcPr>
          <w:p>
            <w:r/>
            <w:r>
              <w:rPr>
                <w:rFonts w:ascii="Calibri" w:hAnsi="Calibri"/>
                <w:b w:val="0"/>
                <w:i w:val="0"/>
                <w:color w:val="1A1E17"/>
                <w:sz w:val="18"/>
              </w:rPr>
              <w:t>DOC-11</w:t>
            </w:r>
          </w:p>
        </w:tc>
        <w:tc>
          <w:tcPr>
            <w:tcW w:type="dxa" w:w="975"/>
          </w:tcPr>
          <w:p>
            <w:r/>
            <w:r>
              <w:rPr>
                <w:rFonts w:ascii="Calibri" w:hAnsi="Calibri"/>
                <w:b w:val="0"/>
                <w:i w:val="0"/>
                <w:color w:val="1A1E17"/>
                <w:sz w:val="18"/>
              </w:rPr>
              <w:t>Guía 360° de Marketing Digital para Pymes</w:t>
            </w:r>
          </w:p>
        </w:tc>
        <w:tc>
          <w:tcPr>
            <w:tcW w:type="dxa" w:w="975"/>
          </w:tcPr>
          <w:p>
            <w:r/>
            <w:r>
              <w:rPr>
                <w:rFonts w:ascii="Consolas" w:hAnsi="Consolas"/>
                <w:b w:val="0"/>
                <w:i w:val="0"/>
                <w:color w:val="1A1E17"/>
                <w:sz w:val="17"/>
              </w:rPr>
              <w:t>estrategia-360/guia-marketing-digital-360-pyme.md</w:t>
            </w:r>
          </w:p>
        </w:tc>
        <w:tc>
          <w:tcPr>
            <w:tcW w:type="dxa" w:w="975"/>
          </w:tcPr>
          <w:p>
            <w:r/>
            <w:r>
              <w:rPr>
                <w:rFonts w:ascii="Calibri" w:hAnsi="Calibri"/>
                <w:b w:val="0"/>
                <w:i w:val="0"/>
                <w:color w:val="1A1E17"/>
                <w:sz w:val="18"/>
              </w:rPr>
              <w:t>Claude Code</w:t>
            </w:r>
          </w:p>
        </w:tc>
        <w:tc>
          <w:tcPr>
            <w:tcW w:type="dxa" w:w="975"/>
          </w:tcPr>
          <w:p>
            <w:r/>
            <w:r>
              <w:rPr>
                <w:rFonts w:ascii="Calibri" w:hAnsi="Calibri"/>
                <w:b w:val="0"/>
                <w:i w:val="0"/>
                <w:color w:val="1A1E17"/>
                <w:sz w:val="18"/>
              </w:rPr>
              <w:t>Estrategia 2026</w:t>
            </w:r>
          </w:p>
        </w:tc>
        <w:tc>
          <w:tcPr>
            <w:tcW w:type="dxa" w:w="975"/>
          </w:tcPr>
          <w:p>
            <w:r/>
            <w:r>
              <w:rPr>
                <w:rFonts w:ascii="Calibri" w:hAnsi="Calibri"/>
                <w:b w:val="0"/>
                <w:i w:val="0"/>
                <w:color w:val="1A1E17"/>
                <w:sz w:val="18"/>
              </w:rPr>
              <w:t>18-08-2026</w:t>
            </w:r>
          </w:p>
        </w:tc>
        <w:tc>
          <w:tcPr>
            <w:tcW w:type="dxa" w:w="975"/>
          </w:tcPr>
          <w:p>
            <w:r/>
            <w:r>
              <w:rPr>
                <w:rFonts w:ascii="Calibri" w:hAnsi="Calibri"/>
                <w:b w:val="0"/>
                <w:i w:val="0"/>
                <w:color w:val="1A1E17"/>
                <w:sz w:val="18"/>
              </w:rPr>
              <w:t>Estado del arte 2025-2026</w:t>
            </w:r>
          </w:p>
        </w:tc>
        <w:tc>
          <w:tcPr>
            <w:tcW w:type="dxa" w:w="975"/>
          </w:tcPr>
          <w:p>
            <w:r/>
            <w:r>
              <w:rPr>
                <w:rFonts w:ascii="Calibri" w:hAnsi="Calibri"/>
                <w:b w:val="0"/>
                <w:i w:val="0"/>
                <w:color w:val="1A1E17"/>
                <w:sz w:val="18"/>
              </w:rPr>
              <w:t>Guía / benchmark externo</w:t>
            </w:r>
          </w:p>
        </w:tc>
        <w:tc>
          <w:tcPr>
            <w:tcW w:type="dxa" w:w="975"/>
          </w:tcPr>
          <w:p>
            <w:r/>
            <w:r>
              <w:rPr>
                <w:rFonts w:ascii="Calibri" w:hAnsi="Calibri"/>
                <w:b w:val="0"/>
                <w:i w:val="0"/>
                <w:color w:val="1A1E17"/>
                <w:sz w:val="18"/>
              </w:rPr>
              <w:t>Vigente</w:t>
            </w:r>
          </w:p>
        </w:tc>
        <w:tc>
          <w:tcPr>
            <w:tcW w:type="dxa" w:w="975"/>
          </w:tcPr>
          <w:p>
            <w:r/>
            <w:r>
              <w:rPr>
                <w:rFonts w:ascii="Calibri" w:hAnsi="Calibri"/>
                <w:b w:val="0"/>
                <w:i w:val="0"/>
                <w:color w:val="1A1E17"/>
                <w:sz w:val="18"/>
              </w:rPr>
              <w:t>Metodología cruzada de 3 skills internas + BigSEO/Yoast/Metrix Digital</w:t>
            </w:r>
          </w:p>
        </w:tc>
      </w:tr>
      <w:tr>
        <w:tc>
          <w:tcPr>
            <w:tcW w:type="dxa" w:w="975"/>
          </w:tcPr>
          <w:p>
            <w:r/>
            <w:r>
              <w:rPr>
                <w:rFonts w:ascii="Calibri" w:hAnsi="Calibri"/>
                <w:b w:val="0"/>
                <w:i w:val="0"/>
                <w:color w:val="1A1E17"/>
                <w:sz w:val="18"/>
              </w:rPr>
              <w:t>DOC-12</w:t>
            </w:r>
          </w:p>
        </w:tc>
        <w:tc>
          <w:tcPr>
            <w:tcW w:type="dxa" w:w="975"/>
          </w:tcPr>
          <w:p>
            <w:r/>
            <w:r>
              <w:rPr>
                <w:rFonts w:ascii="Calibri" w:hAnsi="Calibri"/>
                <w:b w:val="0"/>
                <w:i w:val="0"/>
                <w:color w:val="1A1E17"/>
                <w:sz w:val="18"/>
              </w:rPr>
              <w:t>Complemento Google Ads — Gobernanza ClickUp</w:t>
            </w:r>
          </w:p>
        </w:tc>
        <w:tc>
          <w:tcPr>
            <w:tcW w:type="dxa" w:w="975"/>
          </w:tcPr>
          <w:p>
            <w:r/>
            <w:r>
              <w:rPr>
                <w:rFonts w:ascii="Calibri" w:hAnsi="Calibri"/>
                <w:b w:val="0"/>
                <w:i w:val="0"/>
                <w:color w:val="1A1E17"/>
                <w:sz w:val="18"/>
              </w:rPr>
              <w:t>PDF (</w:t>
            </w:r>
            <w:r>
              <w:rPr>
                <w:rFonts w:ascii="Consolas" w:hAnsi="Consolas"/>
                <w:b w:val="0"/>
                <w:i w:val="0"/>
                <w:color w:val="1A1E17"/>
                <w:sz w:val="17"/>
              </w:rPr>
              <w:t>Downloads/.../1. Complemento-Google-Ads-Gobernanza-ClickUp.pdf</w:t>
            </w:r>
            <w:r>
              <w:rPr>
                <w:rFonts w:ascii="Calibri" w:hAnsi="Calibri"/>
                <w:b w:val="0"/>
                <w:i w:val="0"/>
                <w:color w:val="1A1E17"/>
                <w:sz w:val="18"/>
              </w:rPr>
              <w:t>)</w:t>
            </w:r>
          </w:p>
        </w:tc>
        <w:tc>
          <w:tcPr>
            <w:tcW w:type="dxa" w:w="975"/>
          </w:tcPr>
          <w:p>
            <w:r/>
            <w:r>
              <w:rPr>
                <w:rFonts w:ascii="Calibri" w:hAnsi="Calibri"/>
                <w:b w:val="0"/>
                <w:i w:val="0"/>
                <w:color w:val="1A1E17"/>
                <w:sz w:val="18"/>
              </w:rPr>
              <w:t>Claude Code</w:t>
            </w:r>
          </w:p>
        </w:tc>
        <w:tc>
          <w:tcPr>
            <w:tcW w:type="dxa" w:w="975"/>
          </w:tcPr>
          <w:p>
            <w:r/>
            <w:r>
              <w:rPr>
                <w:rFonts w:ascii="Calibri" w:hAnsi="Calibri"/>
                <w:b w:val="0"/>
                <w:i w:val="0"/>
                <w:color w:val="1A1E17"/>
                <w:sz w:val="18"/>
              </w:rPr>
              <w:t>Gobernanza / Google Ads</w:t>
            </w:r>
          </w:p>
        </w:tc>
        <w:tc>
          <w:tcPr>
            <w:tcW w:type="dxa" w:w="975"/>
          </w:tcPr>
          <w:p>
            <w:r/>
            <w:r>
              <w:rPr>
                <w:rFonts w:ascii="Calibri" w:hAnsi="Calibri"/>
                <w:b w:val="0"/>
                <w:i w:val="0"/>
                <w:color w:val="1A1E17"/>
                <w:sz w:val="18"/>
              </w:rPr>
              <w:t>18-08-2026</w:t>
            </w:r>
          </w:p>
        </w:tc>
        <w:tc>
          <w:tcPr>
            <w:tcW w:type="dxa" w:w="975"/>
          </w:tcPr>
          <w:p>
            <w:r/>
            <w:r>
              <w:rPr>
                <w:rFonts w:ascii="Calibri" w:hAnsi="Calibri"/>
                <w:b w:val="0"/>
                <w:i w:val="0"/>
                <w:color w:val="1A1E17"/>
                <w:sz w:val="18"/>
              </w:rPr>
              <w:t>—</w:t>
            </w:r>
          </w:p>
        </w:tc>
        <w:tc>
          <w:tcPr>
            <w:tcW w:type="dxa" w:w="975"/>
          </w:tcPr>
          <w:p>
            <w:r/>
            <w:r>
              <w:rPr>
                <w:rFonts w:ascii="Calibri" w:hAnsi="Calibri"/>
                <w:b w:val="0"/>
                <w:i w:val="0"/>
                <w:color w:val="1A1E17"/>
                <w:sz w:val="18"/>
              </w:rPr>
              <w:t>Backlog (3 tareas)</w:t>
            </w:r>
          </w:p>
        </w:tc>
        <w:tc>
          <w:tcPr>
            <w:tcW w:type="dxa" w:w="975"/>
          </w:tcPr>
          <w:p>
            <w:r/>
            <w:r>
              <w:rPr>
                <w:rFonts w:ascii="Calibri" w:hAnsi="Calibri"/>
                <w:b w:val="0"/>
                <w:i w:val="0"/>
                <w:color w:val="1A1E17"/>
                <w:sz w:val="18"/>
              </w:rPr>
              <w:t xml:space="preserve">Vigente, </w:t>
            </w:r>
            <w:r>
              <w:rPr>
                <w:rFonts w:ascii="Calibri" w:hAnsi="Calibri"/>
                <w:b/>
                <w:i w:val="0"/>
                <w:color w:val="1A1E17"/>
                <w:sz w:val="18"/>
              </w:rPr>
              <w:t>no está en el repo Markdown</w:t>
            </w:r>
          </w:p>
        </w:tc>
        <w:tc>
          <w:tcPr>
            <w:tcW w:type="dxa" w:w="975"/>
          </w:tcPr>
          <w:p>
            <w:r/>
            <w:r>
              <w:rPr>
                <w:rFonts w:ascii="Calibri" w:hAnsi="Calibri"/>
                <w:b w:val="0"/>
                <w:i w:val="0"/>
                <w:color w:val="1A1E17"/>
                <w:sz w:val="18"/>
              </w:rPr>
              <w:t>Confirma que el acceso a Google Ads (developer token) estaba bloqueado — explica por qué no hay auditoría Claude Code de campañas Google Ads</w:t>
            </w:r>
          </w:p>
        </w:tc>
      </w:tr>
      <w:tr>
        <w:tc>
          <w:tcPr>
            <w:tcW w:type="dxa" w:w="975"/>
          </w:tcPr>
          <w:p>
            <w:r/>
            <w:r>
              <w:rPr>
                <w:rFonts w:ascii="Calibri" w:hAnsi="Calibri"/>
                <w:b w:val="0"/>
                <w:i w:val="0"/>
                <w:color w:val="1A1E17"/>
                <w:sz w:val="18"/>
              </w:rPr>
              <w:t>DOC-13</w:t>
            </w:r>
          </w:p>
        </w:tc>
        <w:tc>
          <w:tcPr>
            <w:tcW w:type="dxa" w:w="975"/>
          </w:tcPr>
          <w:p>
            <w:r/>
            <w:r>
              <w:rPr>
                <w:rFonts w:ascii="Calibri" w:hAnsi="Calibri"/>
                <w:b w:val="0"/>
                <w:i w:val="0"/>
                <w:color w:val="1A1E17"/>
                <w:sz w:val="18"/>
              </w:rPr>
              <w:t>Backlog ClickUp — SEO y Landing Page</w:t>
            </w:r>
          </w:p>
        </w:tc>
        <w:tc>
          <w:tcPr>
            <w:tcW w:type="dxa" w:w="975"/>
          </w:tcPr>
          <w:p>
            <w:r/>
            <w:r>
              <w:rPr>
                <w:rFonts w:ascii="Calibri" w:hAnsi="Calibri"/>
                <w:b w:val="0"/>
                <w:i w:val="0"/>
                <w:color w:val="1A1E17"/>
                <w:sz w:val="18"/>
              </w:rPr>
              <w:t>PDF (</w:t>
            </w:r>
            <w:r>
              <w:rPr>
                <w:rFonts w:ascii="Consolas" w:hAnsi="Consolas"/>
                <w:b w:val="0"/>
                <w:i w:val="0"/>
                <w:color w:val="1A1E17"/>
                <w:sz w:val="17"/>
              </w:rPr>
              <w:t>Downloads/.../2.1. Backlog-ClickUp-SEO-Landing.pdf</w:t>
            </w:r>
            <w:r>
              <w:rPr>
                <w:rFonts w:ascii="Calibri" w:hAnsi="Calibri"/>
                <w:b w:val="0"/>
                <w:i w:val="0"/>
                <w:color w:val="1A1E17"/>
                <w:sz w:val="18"/>
              </w:rPr>
              <w:t>)</w:t>
            </w:r>
          </w:p>
        </w:tc>
        <w:tc>
          <w:tcPr>
            <w:tcW w:type="dxa" w:w="975"/>
          </w:tcPr>
          <w:p>
            <w:r/>
            <w:r>
              <w:rPr>
                <w:rFonts w:ascii="Calibri" w:hAnsi="Calibri"/>
                <w:b w:val="0"/>
                <w:i w:val="0"/>
                <w:color w:val="1A1E17"/>
                <w:sz w:val="18"/>
              </w:rPr>
              <w:t>Claude Code</w:t>
            </w:r>
          </w:p>
        </w:tc>
        <w:tc>
          <w:tcPr>
            <w:tcW w:type="dxa" w:w="975"/>
          </w:tcPr>
          <w:p>
            <w:r/>
            <w:r>
              <w:rPr>
                <w:rFonts w:ascii="Calibri" w:hAnsi="Calibri"/>
                <w:b w:val="0"/>
                <w:i w:val="0"/>
                <w:color w:val="1A1E17"/>
                <w:sz w:val="18"/>
              </w:rPr>
              <w:t>SEO / Landing</w:t>
            </w:r>
          </w:p>
        </w:tc>
        <w:tc>
          <w:tcPr>
            <w:tcW w:type="dxa" w:w="975"/>
          </w:tcPr>
          <w:p>
            <w:r/>
            <w:r>
              <w:rPr>
                <w:rFonts w:ascii="Calibri" w:hAnsi="Calibri"/>
                <w:b w:val="0"/>
                <w:i w:val="0"/>
                <w:color w:val="1A1E17"/>
                <w:sz w:val="18"/>
              </w:rPr>
              <w:t>19-08-2026</w:t>
            </w:r>
          </w:p>
        </w:tc>
        <w:tc>
          <w:tcPr>
            <w:tcW w:type="dxa" w:w="975"/>
          </w:tcPr>
          <w:p>
            <w:r/>
            <w:r>
              <w:rPr>
                <w:rFonts w:ascii="Calibri" w:hAnsi="Calibri"/>
                <w:b w:val="0"/>
                <w:i w:val="0"/>
                <w:color w:val="1A1E17"/>
                <w:sz w:val="18"/>
              </w:rPr>
              <w:t>—</w:t>
            </w:r>
          </w:p>
        </w:tc>
        <w:tc>
          <w:tcPr>
            <w:tcW w:type="dxa" w:w="975"/>
          </w:tcPr>
          <w:p>
            <w:r/>
            <w:r>
              <w:rPr>
                <w:rFonts w:ascii="Calibri" w:hAnsi="Calibri"/>
                <w:b w:val="0"/>
                <w:i w:val="0"/>
                <w:color w:val="1A1E17"/>
                <w:sz w:val="18"/>
              </w:rPr>
              <w:t>Backlog (24 tareas, SL1-SL24)</w:t>
            </w:r>
          </w:p>
        </w:tc>
        <w:tc>
          <w:tcPr>
            <w:tcW w:type="dxa" w:w="975"/>
          </w:tcPr>
          <w:p>
            <w:r/>
            <w:r>
              <w:rPr>
                <w:rFonts w:ascii="Calibri" w:hAnsi="Calibri"/>
                <w:b w:val="0"/>
                <w:i w:val="0"/>
                <w:color w:val="1A1E17"/>
                <w:sz w:val="18"/>
              </w:rPr>
              <w:t xml:space="preserve">Vigente, </w:t>
            </w:r>
            <w:r>
              <w:rPr>
                <w:rFonts w:ascii="Calibri" w:hAnsi="Calibri"/>
                <w:b/>
                <w:i w:val="0"/>
                <w:color w:val="1A1E17"/>
                <w:sz w:val="18"/>
              </w:rPr>
              <w:t>no está en el repo Markdown</w:t>
            </w:r>
          </w:p>
        </w:tc>
        <w:tc>
          <w:tcPr>
            <w:tcW w:type="dxa" w:w="975"/>
          </w:tcPr>
          <w:p>
            <w:r/>
            <w:r>
              <w:rPr>
                <w:rFonts w:ascii="Calibri" w:hAnsi="Calibri"/>
                <w:b w:val="0"/>
                <w:i w:val="0"/>
                <w:color w:val="1A1E17"/>
                <w:sz w:val="18"/>
              </w:rPr>
              <w:t>Consolida DOC-01 + DOC-02 en tareas priorizadas por impacto×esfuerzo; señala explícitamente que SL1 y SL6 ya existen en DOC-05 (evita duplicado)</w:t>
            </w:r>
          </w:p>
        </w:tc>
      </w:tr>
      <w:tr>
        <w:tc>
          <w:tcPr>
            <w:tcW w:type="dxa" w:w="975"/>
          </w:tcPr>
          <w:p>
            <w:r/>
            <w:r>
              <w:rPr>
                <w:rFonts w:ascii="Calibri" w:hAnsi="Calibri"/>
                <w:b w:val="0"/>
                <w:i w:val="0"/>
                <w:color w:val="1A1E17"/>
                <w:sz w:val="18"/>
              </w:rPr>
              <w:t>DOC-14</w:t>
            </w:r>
          </w:p>
        </w:tc>
        <w:tc>
          <w:tcPr>
            <w:tcW w:type="dxa" w:w="975"/>
          </w:tcPr>
          <w:p>
            <w:r/>
            <w:r>
              <w:rPr>
                <w:rFonts w:ascii="Calibri" w:hAnsi="Calibri"/>
                <w:b w:val="0"/>
                <w:i w:val="0"/>
                <w:color w:val="1A1E17"/>
                <w:sz w:val="18"/>
              </w:rPr>
              <w:t>Auditoría SEO — defensordelcontribuyente.cl (versión anterior)</w:t>
            </w:r>
          </w:p>
        </w:tc>
        <w:tc>
          <w:tcPr>
            <w:tcW w:type="dxa" w:w="975"/>
          </w:tcPr>
          <w:p>
            <w:r/>
            <w:r>
              <w:rPr>
                <w:rFonts w:ascii="Calibri" w:hAnsi="Calibri"/>
                <w:b w:val="0"/>
                <w:i w:val="0"/>
                <w:color w:val="1A1E17"/>
                <w:sz w:val="18"/>
              </w:rPr>
              <w:t>PDF (</w:t>
            </w:r>
            <w:r>
              <w:rPr>
                <w:rFonts w:ascii="Consolas" w:hAnsi="Consolas"/>
                <w:b w:val="0"/>
                <w:i w:val="0"/>
                <w:color w:val="1A1E17"/>
                <w:sz w:val="17"/>
              </w:rPr>
              <w:t>Downloads/.../3. Auditoria-seo-defensordelcontribuyente.pdf</w:t>
            </w:r>
            <w:r>
              <w:rPr>
                <w:rFonts w:ascii="Calibri" w:hAnsi="Calibri"/>
                <w:b w:val="0"/>
                <w:i w:val="0"/>
                <w:color w:val="1A1E17"/>
                <w:sz w:val="18"/>
              </w:rPr>
              <w:t>)</w:t>
            </w:r>
          </w:p>
        </w:tc>
        <w:tc>
          <w:tcPr>
            <w:tcW w:type="dxa" w:w="975"/>
          </w:tcPr>
          <w:p>
            <w:r/>
            <w:r>
              <w:rPr>
                <w:rFonts w:ascii="Calibri" w:hAnsi="Calibri"/>
                <w:b w:val="0"/>
                <w:i w:val="0"/>
                <w:color w:val="1A1E17"/>
                <w:sz w:val="18"/>
              </w:rPr>
              <w:t>Claude Code (herramienta anterior: "Claude Code + Beoutique")</w:t>
            </w:r>
          </w:p>
        </w:tc>
        <w:tc>
          <w:tcPr>
            <w:tcW w:type="dxa" w:w="975"/>
          </w:tcPr>
          <w:p>
            <w:r/>
            <w:r>
              <w:rPr>
                <w:rFonts w:ascii="Calibri" w:hAnsi="Calibri"/>
                <w:b w:val="0"/>
                <w:i w:val="0"/>
                <w:color w:val="1A1E17"/>
                <w:sz w:val="18"/>
              </w:rPr>
              <w:t>SEO técnico</w:t>
            </w:r>
          </w:p>
        </w:tc>
        <w:tc>
          <w:tcPr>
            <w:tcW w:type="dxa" w:w="975"/>
          </w:tcPr>
          <w:p>
            <w:r/>
            <w:r>
              <w:rPr>
                <w:rFonts w:ascii="Calibri" w:hAnsi="Calibri"/>
                <w:b/>
                <w:i w:val="0"/>
                <w:color w:val="1A1E17"/>
                <w:sz w:val="18"/>
              </w:rPr>
              <w:t>28-05-2026</w:t>
            </w:r>
          </w:p>
        </w:tc>
        <w:tc>
          <w:tcPr>
            <w:tcW w:type="dxa" w:w="975"/>
          </w:tcPr>
          <w:p>
            <w:r/>
            <w:r>
              <w:rPr>
                <w:rFonts w:ascii="Calibri" w:hAnsi="Calibri"/>
                <w:b w:val="0"/>
                <w:i w:val="0"/>
                <w:color w:val="1A1E17"/>
                <w:sz w:val="18"/>
              </w:rPr>
              <w:t>Homepage principalmente</w:t>
            </w:r>
          </w:p>
        </w:tc>
        <w:tc>
          <w:tcPr>
            <w:tcW w:type="dxa" w:w="975"/>
          </w:tcPr>
          <w:p>
            <w:r/>
            <w:r>
              <w:rPr>
                <w:rFonts w:ascii="Calibri" w:hAnsi="Calibri"/>
                <w:b w:val="0"/>
                <w:i w:val="0"/>
                <w:color w:val="1A1E17"/>
                <w:sz w:val="18"/>
              </w:rPr>
              <w:t>Auditoría con puntuación (70/100)</w:t>
            </w:r>
          </w:p>
        </w:tc>
        <w:tc>
          <w:tcPr>
            <w:tcW w:type="dxa" w:w="975"/>
          </w:tcPr>
          <w:p>
            <w:r/>
            <w:r>
              <w:rPr>
                <w:rFonts w:ascii="Calibri" w:hAnsi="Calibri"/>
                <w:b/>
                <w:i w:val="0"/>
                <w:color w:val="1A1E17"/>
                <w:sz w:val="18"/>
              </w:rPr>
              <w:t>Superseded parcialmente por DOC-01/DOC-09</w:t>
            </w:r>
          </w:p>
        </w:tc>
        <w:tc>
          <w:tcPr>
            <w:tcW w:type="dxa" w:w="975"/>
          </w:tcPr>
          <w:p>
            <w:r/>
            <w:r>
              <w:rPr>
                <w:rFonts w:ascii="Calibri" w:hAnsi="Calibri"/>
                <w:b w:val="0"/>
                <w:i w:val="0"/>
                <w:color w:val="1A1E17"/>
                <w:sz w:val="18"/>
              </w:rPr>
              <w:t>Foco distinto: homepage y meta tags sociales, no todo el sitio. Persisten sin resolver a agosto: schema LocalBusiness, imagen OG cuadrada, favicon 404</w:t>
            </w:r>
          </w:p>
        </w:tc>
      </w:tr>
      <w:tr>
        <w:tc>
          <w:tcPr>
            <w:tcW w:type="dxa" w:w="975"/>
          </w:tcPr>
          <w:p>
            <w:r/>
            <w:r>
              <w:rPr>
                <w:rFonts w:ascii="Calibri" w:hAnsi="Calibri"/>
                <w:b w:val="0"/>
                <w:i w:val="0"/>
                <w:color w:val="1A1E17"/>
                <w:sz w:val="18"/>
              </w:rPr>
              <w:t>DOC-15</w:t>
            </w:r>
          </w:p>
        </w:tc>
        <w:tc>
          <w:tcPr>
            <w:tcW w:type="dxa" w:w="975"/>
          </w:tcPr>
          <w:p>
            <w:r/>
            <w:r>
              <w:rPr>
                <w:rFonts w:ascii="Calibri" w:hAnsi="Calibri"/>
                <w:b w:val="0"/>
                <w:i w:val="0"/>
                <w:color w:val="1A1E17"/>
                <w:sz w:val="18"/>
              </w:rPr>
              <w:t>Palabras clave verificadas — SEO Public</w:t>
            </w:r>
          </w:p>
        </w:tc>
        <w:tc>
          <w:tcPr>
            <w:tcW w:type="dxa" w:w="975"/>
          </w:tcPr>
          <w:p>
            <w:r/>
            <w:r>
              <w:rPr>
                <w:rFonts w:ascii="Calibri" w:hAnsi="Calibri"/>
                <w:b w:val="0"/>
                <w:i w:val="0"/>
                <w:color w:val="1A1E17"/>
                <w:sz w:val="18"/>
              </w:rPr>
              <w:t>PDF (</w:t>
            </w:r>
            <w:r>
              <w:rPr>
                <w:rFonts w:ascii="Consolas" w:hAnsi="Consolas"/>
                <w:b w:val="0"/>
                <w:i w:val="0"/>
                <w:color w:val="1A1E17"/>
                <w:sz w:val="17"/>
              </w:rPr>
              <w:t>Downloads/.../1. Palabras clave verificadas SEO Public.pdf</w:t>
            </w:r>
            <w:r>
              <w:rPr>
                <w:rFonts w:ascii="Calibri" w:hAnsi="Calibri"/>
                <w:b w:val="0"/>
                <w:i w:val="0"/>
                <w:color w:val="1A1E17"/>
                <w:sz w:val="18"/>
              </w:rPr>
              <w:t>)</w:t>
            </w:r>
          </w:p>
        </w:tc>
        <w:tc>
          <w:tcPr>
            <w:tcW w:type="dxa" w:w="975"/>
          </w:tcPr>
          <w:p>
            <w:r/>
            <w:r>
              <w:rPr>
                <w:rFonts w:ascii="Calibri" w:hAnsi="Calibri"/>
                <w:b w:val="0"/>
                <w:i w:val="0"/>
                <w:color w:val="1A1E17"/>
                <w:sz w:val="18"/>
              </w:rPr>
              <w:t>Herramienta externa (SEO Public)</w:t>
            </w:r>
          </w:p>
        </w:tc>
        <w:tc>
          <w:tcPr>
            <w:tcW w:type="dxa" w:w="975"/>
          </w:tcPr>
          <w:p>
            <w:r/>
            <w:r>
              <w:rPr>
                <w:rFonts w:ascii="Calibri" w:hAnsi="Calibri"/>
                <w:b w:val="0"/>
                <w:i w:val="0"/>
                <w:color w:val="1A1E17"/>
                <w:sz w:val="18"/>
              </w:rPr>
              <w:t>SEO de contenidos</w:t>
            </w:r>
          </w:p>
        </w:tc>
        <w:tc>
          <w:tcPr>
            <w:tcW w:type="dxa" w:w="975"/>
          </w:tcPr>
          <w:p>
            <w:r/>
            <w:r>
              <w:rPr>
                <w:rFonts w:ascii="Calibri" w:hAnsi="Calibri"/>
                <w:b w:val="0"/>
                <w:i w:val="0"/>
                <w:color w:val="1A1E17"/>
                <w:sz w:val="18"/>
              </w:rPr>
              <w:t>Snapshot "hace 21 minutos" al momento de exportar (~agosto 2026)</w:t>
            </w:r>
          </w:p>
        </w:tc>
        <w:tc>
          <w:tcPr>
            <w:tcW w:type="dxa" w:w="975"/>
          </w:tcPr>
          <w:p>
            <w:r/>
            <w:r>
              <w:rPr>
                <w:rFonts w:ascii="Calibri" w:hAnsi="Calibri"/>
                <w:b w:val="0"/>
                <w:i w:val="0"/>
                <w:color w:val="1A1E17"/>
                <w:sz w:val="18"/>
              </w:rPr>
              <w:t>Estado del sitemap indexado</w:t>
            </w:r>
          </w:p>
        </w:tc>
        <w:tc>
          <w:tcPr>
            <w:tcW w:type="dxa" w:w="975"/>
          </w:tcPr>
          <w:p>
            <w:r/>
            <w:r>
              <w:rPr>
                <w:rFonts w:ascii="Calibri" w:hAnsi="Calibri"/>
                <w:b w:val="0"/>
                <w:i w:val="0"/>
                <w:color w:val="1A1E17"/>
                <w:sz w:val="18"/>
              </w:rPr>
              <w:t>Exportación de herramienta</w:t>
            </w:r>
          </w:p>
        </w:tc>
        <w:tc>
          <w:tcPr>
            <w:tcW w:type="dxa" w:w="975"/>
          </w:tcPr>
          <w:p>
            <w:r/>
            <w:r>
              <w:rPr>
                <w:rFonts w:ascii="Calibri" w:hAnsi="Calibri"/>
                <w:b w:val="0"/>
                <w:i w:val="0"/>
                <w:color w:val="1A1E17"/>
                <w:sz w:val="18"/>
              </w:rPr>
              <w:t>Vigente</w:t>
            </w:r>
          </w:p>
        </w:tc>
        <w:tc>
          <w:tcPr>
            <w:tcW w:type="dxa" w:w="975"/>
          </w:tcPr>
          <w:p>
            <w:r/>
            <w:r>
              <w:rPr>
                <w:rFonts w:ascii="Calibri" w:hAnsi="Calibri"/>
                <w:b w:val="0"/>
                <w:i w:val="0"/>
                <w:color w:val="1A1E17"/>
                <w:sz w:val="18"/>
              </w:rPr>
              <w:t>11 cubiertas, 40 cobertura parcial, 8 sin cobertura</w:t>
            </w:r>
          </w:p>
        </w:tc>
      </w:tr>
      <w:tr>
        <w:tc>
          <w:tcPr>
            <w:tcW w:type="dxa" w:w="975"/>
          </w:tcPr>
          <w:p>
            <w:r/>
            <w:r>
              <w:rPr>
                <w:rFonts w:ascii="Calibri" w:hAnsi="Calibri"/>
                <w:b w:val="0"/>
                <w:i w:val="0"/>
                <w:color w:val="1A1E17"/>
                <w:sz w:val="18"/>
              </w:rPr>
              <w:t>DOC-16</w:t>
            </w:r>
          </w:p>
        </w:tc>
        <w:tc>
          <w:tcPr>
            <w:tcW w:type="dxa" w:w="975"/>
          </w:tcPr>
          <w:p>
            <w:r/>
            <w:r>
              <w:rPr>
                <w:rFonts w:ascii="Calibri" w:hAnsi="Calibri"/>
                <w:b w:val="0"/>
                <w:i w:val="0"/>
                <w:color w:val="1A1E17"/>
                <w:sz w:val="18"/>
              </w:rPr>
              <w:t>Diagnóstico Estratégico de Marketing 360 (DDCON)</w:t>
            </w:r>
          </w:p>
        </w:tc>
        <w:tc>
          <w:tcPr>
            <w:tcW w:type="dxa" w:w="975"/>
          </w:tcPr>
          <w:p>
            <w:r/>
            <w:r>
              <w:rPr>
                <w:rFonts w:ascii="Calibri" w:hAnsi="Calibri"/>
                <w:b w:val="0"/>
                <w:i w:val="0"/>
                <w:color w:val="1A1E17"/>
                <w:sz w:val="18"/>
              </w:rPr>
              <w:t>PDF (</w:t>
            </w:r>
            <w:r>
              <w:rPr>
                <w:rFonts w:ascii="Consolas" w:hAnsi="Consolas"/>
                <w:b w:val="0"/>
                <w:i w:val="0"/>
                <w:color w:val="1A1E17"/>
                <w:sz w:val="17"/>
              </w:rPr>
              <w:t>Downloads/.../Informe 360 agencia.pdf</w:t>
            </w:r>
            <w:r>
              <w:rPr>
                <w:rFonts w:ascii="Calibri" w:hAnsi="Calibri"/>
                <w:b w:val="0"/>
                <w:i w:val="0"/>
                <w:color w:val="1A1E17"/>
                <w:sz w:val="18"/>
              </w:rPr>
              <w:t>)</w:t>
            </w:r>
          </w:p>
        </w:tc>
        <w:tc>
          <w:tcPr>
            <w:tcW w:type="dxa" w:w="975"/>
          </w:tcPr>
          <w:p>
            <w:r/>
            <w:r>
              <w:rPr>
                <w:rFonts w:ascii="Calibri" w:hAnsi="Calibri"/>
                <w:b w:val="0"/>
                <w:i w:val="0"/>
                <w:color w:val="1A1E17"/>
                <w:sz w:val="18"/>
              </w:rPr>
              <w:t>Agencia (Constanza Zárate, Paid Media &amp; Growth Partner)</w:t>
            </w:r>
          </w:p>
        </w:tc>
        <w:tc>
          <w:tcPr>
            <w:tcW w:type="dxa" w:w="975"/>
          </w:tcPr>
          <w:p>
            <w:r/>
            <w:r>
              <w:rPr>
                <w:rFonts w:ascii="Calibri" w:hAnsi="Calibri"/>
                <w:b w:val="0"/>
                <w:i w:val="0"/>
                <w:color w:val="1A1E17"/>
                <w:sz w:val="18"/>
              </w:rPr>
              <w:t>Estrategia 360 / CRM / Google Ads / Meta Ads / SEO / competencia</w:t>
            </w:r>
          </w:p>
        </w:tc>
        <w:tc>
          <w:tcPr>
            <w:tcW w:type="dxa" w:w="975"/>
          </w:tcPr>
          <w:p>
            <w:r/>
            <w:r>
              <w:rPr>
                <w:rFonts w:ascii="Calibri" w:hAnsi="Calibri"/>
                <w:b w:val="0"/>
                <w:i w:val="0"/>
                <w:color w:val="1A1E17"/>
                <w:sz w:val="18"/>
              </w:rPr>
              <w:t>Agosto 2026</w:t>
            </w:r>
          </w:p>
        </w:tc>
        <w:tc>
          <w:tcPr>
            <w:tcW w:type="dxa" w:w="975"/>
          </w:tcPr>
          <w:p>
            <w:r/>
            <w:r>
              <w:rPr>
                <w:rFonts w:ascii="Calibri" w:hAnsi="Calibri"/>
                <w:b w:val="0"/>
                <w:i w:val="0"/>
                <w:color w:val="1A1E17"/>
                <w:sz w:val="18"/>
              </w:rPr>
              <w:t>jun-2023–jul-2026 (histórico), abr–jul 2026 (Google Ads), últimos 30 días / 3 meses / 12 meses (SEO)</w:t>
            </w:r>
          </w:p>
        </w:tc>
        <w:tc>
          <w:tcPr>
            <w:tcW w:type="dxa" w:w="975"/>
          </w:tcPr>
          <w:p>
            <w:r/>
            <w:r>
              <w:rPr>
                <w:rFonts w:ascii="Calibri" w:hAnsi="Calibri"/>
                <w:b w:val="0"/>
                <w:i w:val="0"/>
                <w:color w:val="1A1E17"/>
                <w:sz w:val="18"/>
              </w:rPr>
              <w:t>Diagnóstico integral</w:t>
            </w:r>
          </w:p>
        </w:tc>
        <w:tc>
          <w:tcPr>
            <w:tcW w:type="dxa" w:w="975"/>
          </w:tcPr>
          <w:p>
            <w:r/>
            <w:r>
              <w:rPr>
                <w:rFonts w:ascii="Calibri" w:hAnsi="Calibri"/>
                <w:b w:val="0"/>
                <w:i w:val="0"/>
                <w:color w:val="1A1E17"/>
                <w:sz w:val="18"/>
              </w:rPr>
              <w:t>Vigente</w:t>
            </w:r>
          </w:p>
        </w:tc>
        <w:tc>
          <w:tcPr>
            <w:tcW w:type="dxa" w:w="975"/>
          </w:tcPr>
          <w:p>
            <w:r/>
            <w:r>
              <w:rPr>
                <w:rFonts w:ascii="Calibri" w:hAnsi="Calibri"/>
                <w:b w:val="0"/>
                <w:i w:val="0"/>
                <w:color w:val="1A1E17"/>
                <w:sz w:val="18"/>
              </w:rPr>
              <w:t>Incluye correcciones en vivo acordadas con el cliente ("ajuste de estrategia", 3 casos)</w:t>
            </w:r>
          </w:p>
        </w:tc>
      </w:tr>
    </w:tbl>
    <w:p/>
    <w:p>
      <w:r>
        <w:rPr>
          <w:rFonts w:ascii="Calibri" w:hAnsi="Calibri"/>
          <w:b/>
          <w:i w:val="0"/>
          <w:color w:val="1A1E17"/>
          <w:sz w:val="22"/>
        </w:rPr>
        <w:t>No procesados al detalle de cifras (contexto, no auditoría):</w:t>
      </w:r>
      <w:r>
        <w:rPr>
          <w:rFonts w:ascii="Calibri" w:hAnsi="Calibri"/>
          <w:b w:val="0"/>
          <w:i w:val="0"/>
          <w:color w:val="1A1E17"/>
          <w:sz w:val="22"/>
        </w:rPr>
        <w:t xml:space="preserve"> </w:t>
      </w:r>
      <w:r>
        <w:rPr>
          <w:rFonts w:ascii="Consolas" w:hAnsi="Consolas"/>
          <w:b w:val="0"/>
          <w:i w:val="0"/>
          <w:color w:val="1A1E17"/>
          <w:sz w:val="21"/>
        </w:rPr>
        <w:t>campanas-ads/guiones-y-configuracion-7-temas.md</w:t>
      </w:r>
      <w:r>
        <w:rPr>
          <w:rFonts w:ascii="Calibri" w:hAnsi="Calibri"/>
          <w:b w:val="0"/>
          <w:i w:val="0"/>
          <w:color w:val="1A1E17"/>
          <w:sz w:val="22"/>
        </w:rPr>
        <w:t xml:space="preserve"> (guiones de anuncios, activo creativo) y el desglose completo de las 108 tareas de </w:t>
      </w:r>
      <w:r>
        <w:rPr>
          <w:rFonts w:ascii="Consolas" w:hAnsi="Consolas"/>
          <w:b w:val="0"/>
          <w:i w:val="0"/>
          <w:color w:val="1A1E17"/>
          <w:sz w:val="21"/>
        </w:rPr>
        <w:t>clickup/estructura-tareas-clickup.md</w:t>
      </w:r>
      <w:r>
        <w:rPr>
          <w:rFonts w:ascii="Calibri" w:hAnsi="Calibri"/>
          <w:b w:val="0"/>
          <w:i w:val="0"/>
          <w:color w:val="1A1E17"/>
          <w:sz w:val="22"/>
        </w:rPr>
        <w:t xml:space="preserve"> (DOC-10) — se usaron para contexto de gobernanza/responsables, no se extrajeron fila por fila porque no son hallazgos de auditoría sino un desglose contractual y un banco de creatividades.</w:t>
      </w:r>
    </w:p>
    <w:p>
      <w:pPr>
        <w:spacing w:before="280" w:after="120"/>
      </w:pPr>
      <w:r>
        <w:rPr>
          <w:rFonts w:ascii="Calibri" w:hAnsi="Calibri"/>
          <w:b/>
          <w:i w:val="0"/>
          <w:color w:val="2C3A63"/>
          <w:sz w:val="30"/>
        </w:rPr>
        <w:t>5. Matriz ejecutiva de cobertura</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Pr>
                <w:b/>
                <w:color w:val="2C3A63"/>
              </w:rPr>
            </w:r>
            <w:r>
              <w:rPr>
                <w:rFonts w:ascii="Calibri" w:hAnsi="Calibri"/>
                <w:b/>
                <w:i w:val="0"/>
                <w:color w:val="2C3A63"/>
                <w:sz w:val="18"/>
              </w:rPr>
              <w:t>Tema</w:t>
            </w:r>
          </w:p>
        </w:tc>
        <w:tc>
          <w:tcPr>
            <w:tcW w:type="dxa" w:w="1218"/>
          </w:tcPr>
          <w:p>
            <w:r>
              <w:rPr>
                <w:b/>
                <w:color w:val="2C3A63"/>
              </w:rPr>
            </w:r>
            <w:r>
              <w:rPr>
                <w:rFonts w:ascii="Calibri" w:hAnsi="Calibri"/>
                <w:b/>
                <w:i w:val="0"/>
                <w:color w:val="2C3A63"/>
                <w:sz w:val="18"/>
              </w:rPr>
              <w:t>Auditorías Claude Code</w:t>
            </w:r>
          </w:p>
        </w:tc>
        <w:tc>
          <w:tcPr>
            <w:tcW w:type="dxa" w:w="1218"/>
          </w:tcPr>
          <w:p>
            <w:r>
              <w:rPr>
                <w:b/>
                <w:color w:val="2C3A63"/>
              </w:rPr>
            </w:r>
            <w:r>
              <w:rPr>
                <w:rFonts w:ascii="Calibri" w:hAnsi="Calibri"/>
                <w:b/>
                <w:i w:val="0"/>
                <w:color w:val="2C3A63"/>
                <w:sz w:val="18"/>
              </w:rPr>
              <w:t>Informe 360 agencia</w:t>
            </w:r>
          </w:p>
        </w:tc>
        <w:tc>
          <w:tcPr>
            <w:tcW w:type="dxa" w:w="1218"/>
          </w:tcPr>
          <w:p>
            <w:r>
              <w:rPr>
                <w:b/>
                <w:color w:val="2C3A63"/>
              </w:rPr>
            </w:r>
            <w:r>
              <w:rPr>
                <w:rFonts w:ascii="Calibri" w:hAnsi="Calibri"/>
                <w:b/>
                <w:i w:val="0"/>
                <w:color w:val="2C3A63"/>
                <w:sz w:val="18"/>
              </w:rPr>
              <w:t>Coincidencia</w:t>
            </w:r>
          </w:p>
        </w:tc>
        <w:tc>
          <w:tcPr>
            <w:tcW w:type="dxa" w:w="1218"/>
          </w:tcPr>
          <w:p>
            <w:r>
              <w:rPr>
                <w:b/>
                <w:color w:val="2C3A63"/>
              </w:rPr>
            </w:r>
            <w:r>
              <w:rPr>
                <w:rFonts w:ascii="Calibri" w:hAnsi="Calibri"/>
                <w:b/>
                <w:i w:val="0"/>
                <w:color w:val="2C3A63"/>
                <w:sz w:val="18"/>
              </w:rPr>
              <w:t>Diferencia</w:t>
            </w:r>
          </w:p>
        </w:tc>
        <w:tc>
          <w:tcPr>
            <w:tcW w:type="dxa" w:w="1218"/>
          </w:tcPr>
          <w:p>
            <w:r>
              <w:rPr>
                <w:b/>
                <w:color w:val="2C3A63"/>
              </w:rPr>
            </w:r>
            <w:r>
              <w:rPr>
                <w:rFonts w:ascii="Calibri" w:hAnsi="Calibri"/>
                <w:b/>
                <w:i w:val="0"/>
                <w:color w:val="2C3A63"/>
                <w:sz w:val="18"/>
              </w:rPr>
              <w:t>Evaluación</w:t>
            </w:r>
          </w:p>
        </w:tc>
        <w:tc>
          <w:tcPr>
            <w:tcW w:type="dxa" w:w="1218"/>
          </w:tcPr>
          <w:p>
            <w:r>
              <w:rPr>
                <w:b/>
                <w:color w:val="2C3A63"/>
              </w:rPr>
            </w:r>
            <w:r>
              <w:rPr>
                <w:rFonts w:ascii="Calibri" w:hAnsi="Calibri"/>
                <w:b/>
                <w:i w:val="0"/>
                <w:color w:val="2C3A63"/>
                <w:sz w:val="18"/>
              </w:rPr>
              <w:t>Importancia</w:t>
            </w:r>
          </w:p>
        </w:tc>
        <w:tc>
          <w:tcPr>
            <w:tcW w:type="dxa" w:w="1218"/>
          </w:tcPr>
          <w:p>
            <w:r>
              <w:rPr>
                <w:b/>
                <w:color w:val="2C3A63"/>
              </w:rPr>
            </w:r>
            <w:r>
              <w:rPr>
                <w:rFonts w:ascii="Calibri" w:hAnsi="Calibri"/>
                <w:b/>
                <w:i w:val="0"/>
                <w:color w:val="2C3A63"/>
                <w:sz w:val="18"/>
              </w:rPr>
              <w:t>Fuente</w:t>
            </w:r>
          </w:p>
        </w:tc>
      </w:tr>
      <w:tr>
        <w:tc>
          <w:tcPr>
            <w:tcW w:type="dxa" w:w="1218"/>
          </w:tcPr>
          <w:p>
            <w:r/>
            <w:r>
              <w:rPr>
                <w:rFonts w:ascii="Calibri" w:hAnsi="Calibri"/>
                <w:b w:val="0"/>
                <w:i w:val="0"/>
                <w:color w:val="1A1E17"/>
                <w:sz w:val="18"/>
              </w:rPr>
              <w:t>Meta Pixel sin evento de conversión</w:t>
            </w:r>
          </w:p>
        </w:tc>
        <w:tc>
          <w:tcPr>
            <w:tcW w:type="dxa" w:w="1218"/>
          </w:tcPr>
          <w:p>
            <w:r/>
            <w:r>
              <w:rPr>
                <w:rFonts w:ascii="Calibri" w:hAnsi="Calibri"/>
                <w:b w:val="0"/>
                <w:i w:val="0"/>
                <w:color w:val="1A1E17"/>
                <w:sz w:val="18"/>
              </w:rPr>
              <w:t>Cubre en detalle técnico (ID de pixel, evento exacto)</w:t>
            </w:r>
          </w:p>
        </w:tc>
        <w:tc>
          <w:tcPr>
            <w:tcW w:type="dxa" w:w="1218"/>
          </w:tcPr>
          <w:p>
            <w:r/>
            <w:r>
              <w:rPr>
                <w:rFonts w:ascii="Calibri" w:hAnsi="Calibri"/>
                <w:b w:val="0"/>
                <w:i w:val="0"/>
                <w:color w:val="1A1E17"/>
                <w:sz w:val="18"/>
              </w:rPr>
              <w:t>Cubre a nivel de negocio (fecha de instalación, volumen de eventos)</w:t>
            </w:r>
          </w:p>
        </w:tc>
        <w:tc>
          <w:tcPr>
            <w:tcW w:type="dxa" w:w="1218"/>
          </w:tcPr>
          <w:p>
            <w:r/>
            <w:r>
              <w:rPr>
                <w:rFonts w:ascii="Calibri" w:hAnsi="Calibri"/>
                <w:b w:val="0"/>
                <w:i w:val="0"/>
                <w:color w:val="1A1E17"/>
                <w:sz w:val="18"/>
              </w:rPr>
              <w:t>Coincidencia total</w:t>
            </w:r>
          </w:p>
        </w:tc>
        <w:tc>
          <w:tcPr>
            <w:tcW w:type="dxa" w:w="1218"/>
          </w:tcPr>
          <w:p>
            <w:r/>
            <w:r>
              <w:rPr>
                <w:rFonts w:ascii="Calibri" w:hAnsi="Calibri"/>
                <w:b w:val="0"/>
                <w:i w:val="0"/>
                <w:color w:val="1A1E17"/>
                <w:sz w:val="18"/>
              </w:rPr>
              <w:t>Claude Code más técnico; agencia da contexto histórico (activo desde 2021)</w:t>
            </w:r>
          </w:p>
        </w:tc>
        <w:tc>
          <w:tcPr>
            <w:tcW w:type="dxa" w:w="1218"/>
          </w:tcPr>
          <w:p>
            <w:r/>
            <w:r>
              <w:rPr>
                <w:rFonts w:ascii="Calibri" w:hAnsi="Calibri"/>
                <w:b w:val="0"/>
                <w:i w:val="0"/>
                <w:color w:val="1A1E17"/>
                <w:sz w:val="18"/>
              </w:rPr>
              <w:t>Confirmado por ambas fuentes de forma independiente</w:t>
            </w:r>
          </w:p>
        </w:tc>
        <w:tc>
          <w:tcPr>
            <w:tcW w:type="dxa" w:w="1218"/>
          </w:tcPr>
          <w:p>
            <w:r/>
            <w:r>
              <w:rPr>
                <w:rFonts w:ascii="Calibri" w:hAnsi="Calibri"/>
                <w:b w:val="0"/>
                <w:i w:val="0"/>
                <w:color w:val="1A1E17"/>
                <w:sz w:val="18"/>
              </w:rPr>
              <w:t>Alta</w:t>
            </w:r>
          </w:p>
        </w:tc>
        <w:tc>
          <w:tcPr>
            <w:tcW w:type="dxa" w:w="1218"/>
          </w:tcPr>
          <w:p>
            <w:r/>
            <w:r>
              <w:rPr>
                <w:rFonts w:ascii="Calibri" w:hAnsi="Calibri"/>
                <w:b w:val="0"/>
                <w:i w:val="0"/>
                <w:color w:val="1A1E17"/>
                <w:sz w:val="18"/>
              </w:rPr>
              <w:t>DOC-03, DOC-16</w:t>
            </w:r>
          </w:p>
        </w:tc>
      </w:tr>
      <w:tr>
        <w:tc>
          <w:tcPr>
            <w:tcW w:type="dxa" w:w="1218"/>
          </w:tcPr>
          <w:p>
            <w:r/>
            <w:r>
              <w:rPr>
                <w:rFonts w:ascii="Calibri" w:hAnsi="Calibri"/>
                <w:b w:val="0"/>
                <w:i w:val="0"/>
                <w:color w:val="1A1E17"/>
                <w:sz w:val="18"/>
              </w:rPr>
              <w:t>Meta CAPI incompleta</w:t>
            </w:r>
          </w:p>
        </w:tc>
        <w:tc>
          <w:tcPr>
            <w:tcW w:type="dxa" w:w="1218"/>
          </w:tcPr>
          <w:p>
            <w:r/>
            <w:r>
              <w:rPr>
                <w:rFonts w:ascii="Calibri" w:hAnsi="Calibri"/>
                <w:b w:val="0"/>
                <w:i w:val="0"/>
                <w:color w:val="1A1E17"/>
                <w:sz w:val="18"/>
              </w:rPr>
              <w:t xml:space="preserve">Cubre con solución técnica específica (CTWA + </w:t>
            </w:r>
            <w:r>
              <w:rPr>
                <w:rFonts w:ascii="Consolas" w:hAnsi="Consolas"/>
                <w:b w:val="0"/>
                <w:i w:val="0"/>
                <w:color w:val="1A1E17"/>
                <w:sz w:val="17"/>
              </w:rPr>
              <w:t>ctwa_clid</w:t>
            </w:r>
            <w:r>
              <w:rPr>
                <w:rFonts w:ascii="Calibri" w:hAnsi="Calibri"/>
                <w:b w:val="0"/>
                <w:i w:val="0"/>
                <w:color w:val="1A1E17"/>
                <w:sz w:val="18"/>
              </w:rPr>
              <w:t>)</w:t>
            </w:r>
          </w:p>
        </w:tc>
        <w:tc>
          <w:tcPr>
            <w:tcW w:type="dxa" w:w="1218"/>
          </w:tcPr>
          <w:p>
            <w:r/>
            <w:r>
              <w:rPr>
                <w:rFonts w:ascii="Calibri" w:hAnsi="Calibri"/>
                <w:b w:val="0"/>
                <w:i w:val="0"/>
                <w:color w:val="1A1E17"/>
                <w:sz w:val="18"/>
              </w:rPr>
              <w:t>Cubre con dato adicional: "se empezó a configurar en abril 2026, nunca se completó"</w:t>
            </w:r>
          </w:p>
        </w:tc>
        <w:tc>
          <w:tcPr>
            <w:tcW w:type="dxa" w:w="1218"/>
          </w:tcPr>
          <w:p>
            <w:r/>
            <w:r>
              <w:rPr>
                <w:rFonts w:ascii="Calibri" w:hAnsi="Calibri"/>
                <w:b w:val="0"/>
                <w:i w:val="0"/>
                <w:color w:val="1A1E17"/>
                <w:sz w:val="18"/>
              </w:rPr>
              <w:t>Coincidencia total, complementaria</w:t>
            </w:r>
          </w:p>
        </w:tc>
        <w:tc>
          <w:tcPr>
            <w:tcW w:type="dxa" w:w="1218"/>
          </w:tcPr>
          <w:p>
            <w:r/>
            <w:r>
              <w:rPr>
                <w:rFonts w:ascii="Calibri" w:hAnsi="Calibri"/>
                <w:b w:val="0"/>
                <w:i w:val="0"/>
                <w:color w:val="1A1E17"/>
                <w:sz w:val="18"/>
              </w:rPr>
              <w:t>Agencia aporta un dato (intento parcial) que Claude Code no reporta</w:t>
            </w:r>
          </w:p>
        </w:tc>
        <w:tc>
          <w:tcPr>
            <w:tcW w:type="dxa" w:w="1218"/>
          </w:tcPr>
          <w:p>
            <w:r/>
            <w:r>
              <w:rPr>
                <w:rFonts w:ascii="Calibri" w:hAnsi="Calibri"/>
                <w:b w:val="0"/>
                <w:i w:val="0"/>
                <w:color w:val="1A1E17"/>
                <w:sz w:val="18"/>
              </w:rPr>
              <w:t>Hallazgo complementario</w:t>
            </w:r>
          </w:p>
        </w:tc>
        <w:tc>
          <w:tcPr>
            <w:tcW w:type="dxa" w:w="1218"/>
          </w:tcPr>
          <w:p>
            <w:r/>
            <w:r>
              <w:rPr>
                <w:rFonts w:ascii="Calibri" w:hAnsi="Calibri"/>
                <w:b w:val="0"/>
                <w:i w:val="0"/>
                <w:color w:val="1A1E17"/>
                <w:sz w:val="18"/>
              </w:rPr>
              <w:t>Alta</w:t>
            </w:r>
          </w:p>
        </w:tc>
        <w:tc>
          <w:tcPr>
            <w:tcW w:type="dxa" w:w="1218"/>
          </w:tcPr>
          <w:p>
            <w:r/>
            <w:r>
              <w:rPr>
                <w:rFonts w:ascii="Calibri" w:hAnsi="Calibri"/>
                <w:b w:val="0"/>
                <w:i w:val="0"/>
                <w:color w:val="1A1E17"/>
                <w:sz w:val="18"/>
              </w:rPr>
              <w:t>DOC-08, DOC-16</w:t>
            </w:r>
          </w:p>
        </w:tc>
      </w:tr>
      <w:tr>
        <w:tc>
          <w:tcPr>
            <w:tcW w:type="dxa" w:w="1218"/>
          </w:tcPr>
          <w:p>
            <w:r/>
            <w:r>
              <w:rPr>
                <w:rFonts w:ascii="Calibri" w:hAnsi="Calibri"/>
                <w:b w:val="0"/>
                <w:i w:val="0"/>
                <w:color w:val="1A1E17"/>
                <w:sz w:val="18"/>
              </w:rPr>
              <w:t>GA4 fragmentado en propiedades sin relación</w:t>
            </w:r>
          </w:p>
        </w:tc>
        <w:tc>
          <w:tcPr>
            <w:tcW w:type="dxa" w:w="1218"/>
          </w:tcPr>
          <w:p>
            <w:r/>
            <w:r>
              <w:rPr>
                <w:rFonts w:ascii="Calibri" w:hAnsi="Calibri"/>
                <w:b w:val="0"/>
                <w:i w:val="0"/>
                <w:color w:val="1A1E17"/>
                <w:sz w:val="18"/>
              </w:rPr>
              <w:t>Cubre en profundidad evento por evento, 2 propiedades</w:t>
            </w:r>
          </w:p>
        </w:tc>
        <w:tc>
          <w:tcPr>
            <w:tcW w:type="dxa" w:w="1218"/>
          </w:tcPr>
          <w:p>
            <w:r/>
            <w:r>
              <w:rPr>
                <w:rFonts w:ascii="Calibri" w:hAnsi="Calibri"/>
                <w:b w:val="0"/>
                <w:i w:val="0"/>
                <w:color w:val="1A1E17"/>
                <w:sz w:val="18"/>
              </w:rPr>
              <w:t>Cubre a nivel de síntoma ("Analytics dividido en dos propiedades")</w:t>
            </w:r>
          </w:p>
        </w:tc>
        <w:tc>
          <w:tcPr>
            <w:tcW w:type="dxa" w:w="1218"/>
          </w:tcPr>
          <w:p>
            <w:r/>
            <w:r>
              <w:rPr>
                <w:rFonts w:ascii="Calibri" w:hAnsi="Calibri"/>
                <w:b w:val="0"/>
                <w:i w:val="0"/>
                <w:color w:val="1A1E17"/>
                <w:sz w:val="18"/>
              </w:rPr>
              <w:t>Coincidencia total</w:t>
            </w:r>
          </w:p>
        </w:tc>
        <w:tc>
          <w:tcPr>
            <w:tcW w:type="dxa" w:w="1218"/>
          </w:tcPr>
          <w:p>
            <w:r/>
            <w:r>
              <w:rPr>
                <w:rFonts w:ascii="Calibri" w:hAnsi="Calibri"/>
                <w:b w:val="0"/>
                <w:i w:val="0"/>
                <w:color w:val="1A1E17"/>
                <w:sz w:val="18"/>
              </w:rPr>
              <w:t>Profundidad muy distinta</w:t>
            </w:r>
          </w:p>
        </w:tc>
        <w:tc>
          <w:tcPr>
            <w:tcW w:type="dxa" w:w="1218"/>
          </w:tcPr>
          <w:p>
            <w:r/>
            <w:r>
              <w:rPr>
                <w:rFonts w:ascii="Calibri" w:hAnsi="Calibri"/>
                <w:b w:val="0"/>
                <w:i w:val="0"/>
                <w:color w:val="1A1E17"/>
                <w:sz w:val="18"/>
              </w:rPr>
              <w:t>Claude Code aporta el detalle accionable</w:t>
            </w:r>
          </w:p>
        </w:tc>
        <w:tc>
          <w:tcPr>
            <w:tcW w:type="dxa" w:w="1218"/>
          </w:tcPr>
          <w:p>
            <w:r/>
            <w:r>
              <w:rPr>
                <w:rFonts w:ascii="Calibri" w:hAnsi="Calibri"/>
                <w:b w:val="0"/>
                <w:i w:val="0"/>
                <w:color w:val="1A1E17"/>
                <w:sz w:val="18"/>
              </w:rPr>
              <w:t>Alta</w:t>
            </w:r>
          </w:p>
        </w:tc>
        <w:tc>
          <w:tcPr>
            <w:tcW w:type="dxa" w:w="1218"/>
          </w:tcPr>
          <w:p>
            <w:r/>
            <w:r>
              <w:rPr>
                <w:rFonts w:ascii="Calibri" w:hAnsi="Calibri"/>
                <w:b w:val="0"/>
                <w:i w:val="0"/>
                <w:color w:val="1A1E17"/>
                <w:sz w:val="18"/>
              </w:rPr>
              <w:t>DOC-04, DOC-16</w:t>
            </w:r>
          </w:p>
        </w:tc>
      </w:tr>
      <w:tr>
        <w:tc>
          <w:tcPr>
            <w:tcW w:type="dxa" w:w="1218"/>
          </w:tcPr>
          <w:p>
            <w:r/>
            <w:r>
              <w:rPr>
                <w:rFonts w:ascii="Calibri" w:hAnsi="Calibri"/>
                <w:b w:val="0"/>
                <w:i w:val="0"/>
                <w:color w:val="1A1E17"/>
                <w:sz w:val="18"/>
              </w:rPr>
              <w:t>GTM duplicado en el dominio principal</w:t>
            </w:r>
          </w:p>
        </w:tc>
        <w:tc>
          <w:tcPr>
            <w:tcW w:type="dxa" w:w="1218"/>
          </w:tcPr>
          <w:p>
            <w:r/>
            <w:r>
              <w:rPr>
                <w:rFonts w:ascii="Calibri" w:hAnsi="Calibri"/>
                <w:b w:val="0"/>
                <w:i w:val="0"/>
                <w:color w:val="1A1E17"/>
                <w:sz w:val="18"/>
              </w:rPr>
              <w:t>Cubre con IDs exactos de contenedor, confirmado en 8/14 URL</w:t>
            </w:r>
          </w:p>
        </w:tc>
        <w:tc>
          <w:tcPr>
            <w:tcW w:type="dxa" w:w="1218"/>
          </w:tcPr>
          <w:p>
            <w:r/>
            <w:r>
              <w:rPr>
                <w:rFonts w:ascii="Calibri" w:hAnsi="Calibri"/>
                <w:b w:val="0"/>
                <w:i w:val="0"/>
                <w:color w:val="1A1E17"/>
                <w:sz w:val="18"/>
              </w:rPr>
              <w:t>No lo menciona con ese nivel de detalle</w:t>
            </w:r>
          </w:p>
        </w:tc>
        <w:tc>
          <w:tcPr>
            <w:tcW w:type="dxa" w:w="1218"/>
          </w:tcPr>
          <w:p>
            <w:r/>
            <w:r>
              <w:rPr>
                <w:rFonts w:ascii="Calibri" w:hAnsi="Calibri"/>
                <w:b w:val="0"/>
                <w:i w:val="0"/>
                <w:color w:val="1A1E17"/>
                <w:sz w:val="18"/>
              </w:rPr>
              <w:t>Hallazgo exclusivo de Claude Code (más profundo)</w:t>
            </w:r>
          </w:p>
        </w:tc>
        <w:tc>
          <w:tcPr>
            <w:tcW w:type="dxa" w:w="1218"/>
          </w:tcPr>
          <w:p>
            <w:r/>
            <w:r>
              <w:rPr>
                <w:rFonts w:ascii="Calibri" w:hAnsi="Calibri"/>
                <w:b w:val="0"/>
                <w:i w:val="0"/>
                <w:color w:val="1A1E17"/>
                <w:sz w:val="18"/>
              </w:rPr>
              <w:t>La agencia describe la fragmentación de dominios, no la duplicidad interna de GTM</w:t>
            </w:r>
          </w:p>
        </w:tc>
        <w:tc>
          <w:tcPr>
            <w:tcW w:type="dxa" w:w="1218"/>
          </w:tcPr>
          <w:p>
            <w:r/>
            <w:r>
              <w:rPr>
                <w:rFonts w:ascii="Calibri" w:hAnsi="Calibri"/>
                <w:b w:val="0"/>
                <w:i w:val="0"/>
                <w:color w:val="1A1E17"/>
                <w:sz w:val="18"/>
              </w:rPr>
              <w:t>Hallazgo exclusivo de Claude Code</w:t>
            </w:r>
          </w:p>
        </w:tc>
        <w:tc>
          <w:tcPr>
            <w:tcW w:type="dxa" w:w="1218"/>
          </w:tcPr>
          <w:p>
            <w:r/>
            <w:r>
              <w:rPr>
                <w:rFonts w:ascii="Calibri" w:hAnsi="Calibri"/>
                <w:b w:val="0"/>
                <w:i w:val="0"/>
                <w:color w:val="1A1E17"/>
                <w:sz w:val="18"/>
              </w:rPr>
              <w:t>Alta</w:t>
            </w:r>
          </w:p>
        </w:tc>
        <w:tc>
          <w:tcPr>
            <w:tcW w:type="dxa" w:w="1218"/>
          </w:tcPr>
          <w:p>
            <w:r/>
            <w:r>
              <w:rPr>
                <w:rFonts w:ascii="Calibri" w:hAnsi="Calibri"/>
                <w:b w:val="0"/>
                <w:i w:val="0"/>
                <w:color w:val="1A1E17"/>
                <w:sz w:val="18"/>
              </w:rPr>
              <w:t>DOC-01, DOC-03, DOC-09</w:t>
            </w:r>
          </w:p>
        </w:tc>
      </w:tr>
      <w:tr>
        <w:tc>
          <w:tcPr>
            <w:tcW w:type="dxa" w:w="1218"/>
          </w:tcPr>
          <w:p>
            <w:r/>
            <w:r>
              <w:rPr>
                <w:rFonts w:ascii="Calibri" w:hAnsi="Calibri"/>
                <w:b w:val="0"/>
                <w:i w:val="0"/>
                <w:color w:val="1A1E17"/>
                <w:sz w:val="18"/>
              </w:rPr>
              <w:t>Google Ads: objetivo de conversión roto, autocanibalización de keywords, términos de búsqueda sin conversión</w:t>
            </w:r>
          </w:p>
        </w:tc>
        <w:tc>
          <w:tcPr>
            <w:tcW w:type="dxa" w:w="1218"/>
          </w:tcPr>
          <w:p>
            <w:r/>
            <w:r>
              <w:rPr>
                <w:rFonts w:ascii="Calibri" w:hAnsi="Calibri"/>
                <w:b w:val="0"/>
                <w:i w:val="0"/>
                <w:color w:val="1A1E17"/>
                <w:sz w:val="18"/>
              </w:rPr>
              <w:t>No cubierto — acceso bloqueado (ver DOC-12)</w:t>
            </w:r>
          </w:p>
        </w:tc>
        <w:tc>
          <w:tcPr>
            <w:tcW w:type="dxa" w:w="1218"/>
          </w:tcPr>
          <w:p>
            <w:r/>
            <w:r>
              <w:rPr>
                <w:rFonts w:ascii="Calibri" w:hAnsi="Calibri"/>
                <w:b w:val="0"/>
                <w:i w:val="0"/>
                <w:color w:val="1A1E17"/>
                <w:sz w:val="18"/>
              </w:rPr>
              <w:t>Cubierto en profundidad, con cifras exactas</w:t>
            </w:r>
          </w:p>
        </w:tc>
        <w:tc>
          <w:tcPr>
            <w:tcW w:type="dxa" w:w="1218"/>
          </w:tcPr>
          <w:p>
            <w:r/>
            <w:r>
              <w:rPr>
                <w:rFonts w:ascii="Calibri" w:hAnsi="Calibri"/>
                <w:b w:val="0"/>
                <w:i w:val="0"/>
                <w:color w:val="1A1E17"/>
                <w:sz w:val="18"/>
              </w:rPr>
              <w:t>Hallazgo exclusivo de la agencia</w:t>
            </w:r>
          </w:p>
        </w:tc>
        <w:tc>
          <w:tcPr>
            <w:tcW w:type="dxa" w:w="1218"/>
          </w:tcPr>
          <w:p>
            <w:r/>
            <w:r>
              <w:rPr>
                <w:rFonts w:ascii="Calibri" w:hAnsi="Calibri"/>
                <w:b w:val="0"/>
                <w:i w:val="0"/>
                <w:color w:val="1A1E17"/>
                <w:sz w:val="18"/>
              </w:rPr>
              <w:t>Explicado por una limitación de acceso documentada del lado Claude Code, no por omisión</w:t>
            </w:r>
          </w:p>
        </w:tc>
        <w:tc>
          <w:tcPr>
            <w:tcW w:type="dxa" w:w="1218"/>
          </w:tcPr>
          <w:p>
            <w:r/>
            <w:r>
              <w:rPr>
                <w:rFonts w:ascii="Calibri" w:hAnsi="Calibri"/>
                <w:b w:val="0"/>
                <w:i w:val="0"/>
                <w:color w:val="1A1E17"/>
                <w:sz w:val="18"/>
              </w:rPr>
              <w:t>Requiere validación en plataforma una vez resuelto el acceso</w:t>
            </w:r>
          </w:p>
        </w:tc>
        <w:tc>
          <w:tcPr>
            <w:tcW w:type="dxa" w:w="1218"/>
          </w:tcPr>
          <w:p>
            <w:r/>
            <w:r>
              <w:rPr>
                <w:rFonts w:ascii="Calibri" w:hAnsi="Calibri"/>
                <w:b w:val="0"/>
                <w:i w:val="0"/>
                <w:color w:val="1A1E17"/>
                <w:sz w:val="18"/>
              </w:rPr>
              <w:t>Alta</w:t>
            </w:r>
          </w:p>
        </w:tc>
        <w:tc>
          <w:tcPr>
            <w:tcW w:type="dxa" w:w="1218"/>
          </w:tcPr>
          <w:p>
            <w:r/>
            <w:r>
              <w:rPr>
                <w:rFonts w:ascii="Calibri" w:hAnsi="Calibri"/>
                <w:b w:val="0"/>
                <w:i w:val="0"/>
                <w:color w:val="1A1E17"/>
                <w:sz w:val="18"/>
              </w:rPr>
              <w:t>DOC-12, DOC-16</w:t>
            </w:r>
          </w:p>
        </w:tc>
      </w:tr>
      <w:tr>
        <w:tc>
          <w:tcPr>
            <w:tcW w:type="dxa" w:w="1218"/>
          </w:tcPr>
          <w:p>
            <w:r/>
            <w:r>
              <w:rPr>
                <w:rFonts w:ascii="Calibri" w:hAnsi="Calibri"/>
                <w:b w:val="0"/>
                <w:i w:val="0"/>
                <w:color w:val="1A1E17"/>
                <w:sz w:val="18"/>
              </w:rPr>
              <w:t>Pipedrive / tasa de cierre real</w:t>
            </w:r>
          </w:p>
        </w:tc>
        <w:tc>
          <w:tcPr>
            <w:tcW w:type="dxa" w:w="1218"/>
          </w:tcPr>
          <w:p>
            <w:r/>
            <w:r>
              <w:rPr>
                <w:rFonts w:ascii="Calibri" w:hAnsi="Calibri"/>
                <w:b w:val="0"/>
                <w:i w:val="0"/>
                <w:color w:val="1A1E17"/>
                <w:sz w:val="18"/>
              </w:rPr>
              <w:t>No cubierto — sin acceso a CRM</w:t>
            </w:r>
          </w:p>
        </w:tc>
        <w:tc>
          <w:tcPr>
            <w:tcW w:type="dxa" w:w="1218"/>
          </w:tcPr>
          <w:p>
            <w:r/>
            <w:r>
              <w:rPr>
                <w:rFonts w:ascii="Calibri" w:hAnsi="Calibri"/>
                <w:b w:val="0"/>
                <w:i w:val="0"/>
                <w:color w:val="1A1E17"/>
                <w:sz w:val="18"/>
              </w:rPr>
              <w:t>Cubierto en profundidad (5.950 tratos, 2,3% cierre)</w:t>
            </w:r>
          </w:p>
        </w:tc>
        <w:tc>
          <w:tcPr>
            <w:tcW w:type="dxa" w:w="1218"/>
          </w:tcPr>
          <w:p>
            <w:r/>
            <w:r>
              <w:rPr>
                <w:rFonts w:ascii="Calibri" w:hAnsi="Calibri"/>
                <w:b w:val="0"/>
                <w:i w:val="0"/>
                <w:color w:val="1A1E17"/>
                <w:sz w:val="18"/>
              </w:rPr>
              <w:t>Hallazgo exclusivo de la agencia</w:t>
            </w:r>
          </w:p>
        </w:tc>
        <w:tc>
          <w:tcPr>
            <w:tcW w:type="dxa" w:w="1218"/>
          </w:tcPr>
          <w:p>
            <w:r/>
            <w:r>
              <w:rPr>
                <w:rFonts w:ascii="Calibri" w:hAnsi="Calibri"/>
                <w:b w:val="0"/>
                <w:i w:val="0"/>
                <w:color w:val="1A1E17"/>
                <w:sz w:val="18"/>
              </w:rPr>
              <w:t>Brecha estructural del lado Claude Code</w:t>
            </w:r>
          </w:p>
        </w:tc>
        <w:tc>
          <w:tcPr>
            <w:tcW w:type="dxa" w:w="1218"/>
          </w:tcPr>
          <w:p>
            <w:r/>
            <w:r>
              <w:rPr>
                <w:rFonts w:ascii="Calibri" w:hAnsi="Calibri"/>
                <w:b w:val="0"/>
                <w:i w:val="0"/>
                <w:color w:val="1A1E17"/>
                <w:sz w:val="18"/>
              </w:rPr>
              <w:t>El hallazgo más importante del corpus completo</w:t>
            </w:r>
          </w:p>
        </w:tc>
        <w:tc>
          <w:tcPr>
            <w:tcW w:type="dxa" w:w="1218"/>
          </w:tcPr>
          <w:p>
            <w:r/>
            <w:r>
              <w:rPr>
                <w:rFonts w:ascii="Calibri" w:hAnsi="Calibri"/>
                <w:b w:val="0"/>
                <w:i w:val="0"/>
                <w:color w:val="1A1E17"/>
                <w:sz w:val="18"/>
              </w:rPr>
              <w:t>Alta</w:t>
            </w:r>
          </w:p>
        </w:tc>
        <w:tc>
          <w:tcPr>
            <w:tcW w:type="dxa" w:w="1218"/>
          </w:tcPr>
          <w:p>
            <w:r/>
            <w:r>
              <w:rPr>
                <w:rFonts w:ascii="Calibri" w:hAnsi="Calibri"/>
                <w:b w:val="0"/>
                <w:i w:val="0"/>
                <w:color w:val="1A1E17"/>
                <w:sz w:val="18"/>
              </w:rPr>
              <w:t>DOC-16</w:t>
            </w:r>
          </w:p>
        </w:tc>
      </w:tr>
      <w:tr>
        <w:tc>
          <w:tcPr>
            <w:tcW w:type="dxa" w:w="1218"/>
          </w:tcPr>
          <w:p>
            <w:r/>
            <w:r>
              <w:rPr>
                <w:rFonts w:ascii="Calibri" w:hAnsi="Calibri"/>
                <w:b w:val="0"/>
                <w:i w:val="0"/>
                <w:color w:val="1A1E17"/>
                <w:sz w:val="18"/>
              </w:rPr>
              <w:t>Indexación total del sitio (45%)</w:t>
            </w:r>
          </w:p>
        </w:tc>
        <w:tc>
          <w:tcPr>
            <w:tcW w:type="dxa" w:w="1218"/>
          </w:tcPr>
          <w:p>
            <w:r/>
            <w:r>
              <w:rPr>
                <w:rFonts w:ascii="Calibri" w:hAnsi="Calibri"/>
                <w:b w:val="0"/>
                <w:i w:val="0"/>
                <w:color w:val="1A1E17"/>
                <w:sz w:val="18"/>
              </w:rPr>
              <w:t>No cubierto a nivel de sitio completo (solo 2/14 URL con noindex)</w:t>
            </w:r>
          </w:p>
        </w:tc>
        <w:tc>
          <w:tcPr>
            <w:tcW w:type="dxa" w:w="1218"/>
          </w:tcPr>
          <w:p>
            <w:r/>
            <w:r>
              <w:rPr>
                <w:rFonts w:ascii="Calibri" w:hAnsi="Calibri"/>
                <w:b w:val="0"/>
                <w:i w:val="0"/>
                <w:color w:val="1A1E17"/>
                <w:sz w:val="18"/>
              </w:rPr>
              <w:t>Cubierto con dato de Search Console (56/123 páginas)</w:t>
            </w:r>
          </w:p>
        </w:tc>
        <w:tc>
          <w:tcPr>
            <w:tcW w:type="dxa" w:w="1218"/>
          </w:tcPr>
          <w:p>
            <w:r/>
            <w:r>
              <w:rPr>
                <w:rFonts w:ascii="Calibri" w:hAnsi="Calibri"/>
                <w:b w:val="0"/>
                <w:i w:val="0"/>
                <w:color w:val="1A1E17"/>
                <w:sz w:val="18"/>
              </w:rPr>
              <w:t>Hallazgo exclusivo de la agencia</w:t>
            </w:r>
          </w:p>
        </w:tc>
        <w:tc>
          <w:tcPr>
            <w:tcW w:type="dxa" w:w="1218"/>
          </w:tcPr>
          <w:p>
            <w:r/>
            <w:r>
              <w:rPr>
                <w:rFonts w:ascii="Calibri" w:hAnsi="Calibri"/>
                <w:b w:val="0"/>
                <w:i w:val="0"/>
                <w:color w:val="1A1E17"/>
                <w:sz w:val="18"/>
              </w:rPr>
              <w:t>Claude Code no tuvo acceso a Search Console a nivel de propiedad completa</w:t>
            </w:r>
          </w:p>
        </w:tc>
        <w:tc>
          <w:tcPr>
            <w:tcW w:type="dxa" w:w="1218"/>
          </w:tcPr>
          <w:p>
            <w:r/>
            <w:r>
              <w:rPr>
                <w:rFonts w:ascii="Calibri" w:hAnsi="Calibri"/>
                <w:b w:val="0"/>
                <w:i w:val="0"/>
                <w:color w:val="1A1E17"/>
                <w:sz w:val="18"/>
              </w:rPr>
              <w:t>Confirma y cuantifica lo que DOC-09 solo insinuaba</w:t>
            </w:r>
          </w:p>
        </w:tc>
        <w:tc>
          <w:tcPr>
            <w:tcW w:type="dxa" w:w="1218"/>
          </w:tcPr>
          <w:p>
            <w:r/>
            <w:r>
              <w:rPr>
                <w:rFonts w:ascii="Calibri" w:hAnsi="Calibri"/>
                <w:b w:val="0"/>
                <w:i w:val="0"/>
                <w:color w:val="1A1E17"/>
                <w:sz w:val="18"/>
              </w:rPr>
              <w:t>Alta</w:t>
            </w:r>
          </w:p>
        </w:tc>
        <w:tc>
          <w:tcPr>
            <w:tcW w:type="dxa" w:w="1218"/>
          </w:tcPr>
          <w:p>
            <w:r/>
            <w:r>
              <w:rPr>
                <w:rFonts w:ascii="Calibri" w:hAnsi="Calibri"/>
                <w:b w:val="0"/>
                <w:i w:val="0"/>
                <w:color w:val="1A1E17"/>
                <w:sz w:val="18"/>
              </w:rPr>
              <w:t>DOC-09, DOC-16</w:t>
            </w:r>
          </w:p>
        </w:tc>
      </w:tr>
      <w:tr>
        <w:tc>
          <w:tcPr>
            <w:tcW w:type="dxa" w:w="1218"/>
          </w:tcPr>
          <w:p>
            <w:r/>
            <w:r>
              <w:rPr>
                <w:rFonts w:ascii="Calibri" w:hAnsi="Calibri"/>
                <w:b w:val="0"/>
                <w:i w:val="0"/>
                <w:color w:val="1A1E17"/>
                <w:sz w:val="18"/>
              </w:rPr>
              <w:t>Fragmentación de WordPress (3 instalaciones, 3 versiones)</w:t>
            </w:r>
          </w:p>
        </w:tc>
        <w:tc>
          <w:tcPr>
            <w:tcW w:type="dxa" w:w="1218"/>
          </w:tcPr>
          <w:p>
            <w:r/>
            <w:r>
              <w:rPr>
                <w:rFonts w:ascii="Calibri" w:hAnsi="Calibri"/>
                <w:b w:val="0"/>
                <w:i w:val="0"/>
                <w:color w:val="1A1E17"/>
                <w:sz w:val="18"/>
              </w:rPr>
              <w:t>Cubierto en detalle técnico</w:t>
            </w:r>
          </w:p>
        </w:tc>
        <w:tc>
          <w:tcPr>
            <w:tcW w:type="dxa" w:w="1218"/>
          </w:tcPr>
          <w:p>
            <w:r/>
            <w:r>
              <w:rPr>
                <w:rFonts w:ascii="Calibri" w:hAnsi="Calibri"/>
                <w:b w:val="0"/>
                <w:i w:val="0"/>
                <w:color w:val="1A1E17"/>
                <w:sz w:val="18"/>
              </w:rPr>
              <w:t>Cubierto solo como "6 dominios/subdominios sin gobernanza"</w:t>
            </w:r>
          </w:p>
        </w:tc>
        <w:tc>
          <w:tcPr>
            <w:tcW w:type="dxa" w:w="1218"/>
          </w:tcPr>
          <w:p>
            <w:r/>
            <w:r>
              <w:rPr>
                <w:rFonts w:ascii="Calibri" w:hAnsi="Calibri"/>
                <w:b w:val="0"/>
                <w:i w:val="0"/>
                <w:color w:val="1A1E17"/>
                <w:sz w:val="18"/>
              </w:rPr>
              <w:t>Coincidencia parcial</w:t>
            </w:r>
          </w:p>
        </w:tc>
        <w:tc>
          <w:tcPr>
            <w:tcW w:type="dxa" w:w="1218"/>
          </w:tcPr>
          <w:p>
            <w:r/>
            <w:r>
              <w:rPr>
                <w:rFonts w:ascii="Calibri" w:hAnsi="Calibri"/>
                <w:b w:val="0"/>
                <w:i w:val="0"/>
                <w:color w:val="1A1E17"/>
                <w:sz w:val="18"/>
              </w:rPr>
              <w:t>Ángulos distintos del mismo problema</w:t>
            </w:r>
          </w:p>
        </w:tc>
        <w:tc>
          <w:tcPr>
            <w:tcW w:type="dxa" w:w="1218"/>
          </w:tcPr>
          <w:p>
            <w:r/>
            <w:r>
              <w:rPr>
                <w:rFonts w:ascii="Calibri" w:hAnsi="Calibri"/>
                <w:b w:val="0"/>
                <w:i w:val="0"/>
                <w:color w:val="1A1E17"/>
                <w:sz w:val="18"/>
              </w:rPr>
              <w:t>Ambos apuntan a la misma causa raíz</w:t>
            </w:r>
          </w:p>
        </w:tc>
        <w:tc>
          <w:tcPr>
            <w:tcW w:type="dxa" w:w="1218"/>
          </w:tcPr>
          <w:p>
            <w:r/>
            <w:r>
              <w:rPr>
                <w:rFonts w:ascii="Calibri" w:hAnsi="Calibri"/>
                <w:b w:val="0"/>
                <w:i w:val="0"/>
                <w:color w:val="1A1E17"/>
                <w:sz w:val="18"/>
              </w:rPr>
              <w:t>Alta</w:t>
            </w:r>
          </w:p>
        </w:tc>
        <w:tc>
          <w:tcPr>
            <w:tcW w:type="dxa" w:w="1218"/>
          </w:tcPr>
          <w:p>
            <w:r/>
            <w:r>
              <w:rPr>
                <w:rFonts w:ascii="Calibri" w:hAnsi="Calibri"/>
                <w:b w:val="0"/>
                <w:i w:val="0"/>
                <w:color w:val="1A1E17"/>
                <w:sz w:val="18"/>
              </w:rPr>
              <w:t>DOC-09, DOC-16</w:t>
            </w:r>
          </w:p>
        </w:tc>
      </w:tr>
      <w:tr>
        <w:tc>
          <w:tcPr>
            <w:tcW w:type="dxa" w:w="1218"/>
          </w:tcPr>
          <w:p>
            <w:r/>
            <w:r>
              <w:rPr>
                <w:rFonts w:ascii="Calibri" w:hAnsi="Calibri"/>
                <w:b w:val="0"/>
                <w:i w:val="0"/>
                <w:color w:val="1A1E17"/>
                <w:sz w:val="18"/>
              </w:rPr>
              <w:t>Rendimiento de carga / Core Web Vitals móvil</w:t>
            </w:r>
          </w:p>
        </w:tc>
        <w:tc>
          <w:tcPr>
            <w:tcW w:type="dxa" w:w="1218"/>
          </w:tcPr>
          <w:p>
            <w:r/>
            <w:r>
              <w:rPr>
                <w:rFonts w:ascii="Calibri" w:hAnsi="Calibri"/>
                <w:b w:val="0"/>
                <w:i w:val="0"/>
                <w:color w:val="1A1E17"/>
                <w:sz w:val="18"/>
              </w:rPr>
              <w:t>Cubierto por URL vía Lighthouse (promedio 75/100)</w:t>
            </w:r>
          </w:p>
        </w:tc>
        <w:tc>
          <w:tcPr>
            <w:tcW w:type="dxa" w:w="1218"/>
          </w:tcPr>
          <w:p>
            <w:r/>
            <w:r>
              <w:rPr>
                <w:rFonts w:ascii="Calibri" w:hAnsi="Calibri"/>
                <w:b w:val="0"/>
                <w:i w:val="0"/>
                <w:color w:val="1A1E17"/>
                <w:sz w:val="18"/>
              </w:rPr>
              <w:t>Cubierto vía Search Console (100% de URL móviles "necesita mejora")</w:t>
            </w:r>
          </w:p>
        </w:tc>
        <w:tc>
          <w:tcPr>
            <w:tcW w:type="dxa" w:w="1218"/>
          </w:tcPr>
          <w:p>
            <w:r/>
            <w:r>
              <w:rPr>
                <w:rFonts w:ascii="Calibri" w:hAnsi="Calibri"/>
                <w:b w:val="0"/>
                <w:i w:val="0"/>
                <w:color w:val="1A1E17"/>
                <w:sz w:val="18"/>
              </w:rPr>
              <w:t>Coincidencia total</w:t>
            </w:r>
          </w:p>
        </w:tc>
        <w:tc>
          <w:tcPr>
            <w:tcW w:type="dxa" w:w="1218"/>
          </w:tcPr>
          <w:p>
            <w:r/>
            <w:r>
              <w:rPr>
                <w:rFonts w:ascii="Calibri" w:hAnsi="Calibri"/>
                <w:b w:val="0"/>
                <w:i w:val="0"/>
                <w:color w:val="1A1E17"/>
                <w:sz w:val="18"/>
              </w:rPr>
              <w:t>Metodologías distintas (Lighthouse en frío vs. datos de campo de Search Console) — resultado consistente: ambas marcan rendimiento móvil como problema</w:t>
            </w:r>
          </w:p>
        </w:tc>
        <w:tc>
          <w:tcPr>
            <w:tcW w:type="dxa" w:w="1218"/>
          </w:tcPr>
          <w:p>
            <w:r/>
            <w:r>
              <w:rPr>
                <w:rFonts w:ascii="Calibri" w:hAnsi="Calibri"/>
                <w:b w:val="0"/>
                <w:i w:val="0"/>
                <w:color w:val="1A1E17"/>
                <w:sz w:val="18"/>
              </w:rPr>
              <w:t>Confirmado por dos metodologías independientes</w:t>
            </w:r>
          </w:p>
        </w:tc>
        <w:tc>
          <w:tcPr>
            <w:tcW w:type="dxa" w:w="1218"/>
          </w:tcPr>
          <w:p>
            <w:r/>
            <w:r>
              <w:rPr>
                <w:rFonts w:ascii="Calibri" w:hAnsi="Calibri"/>
                <w:b w:val="0"/>
                <w:i w:val="0"/>
                <w:color w:val="1A1E17"/>
                <w:sz w:val="18"/>
              </w:rPr>
              <w:t>Alta</w:t>
            </w:r>
          </w:p>
        </w:tc>
        <w:tc>
          <w:tcPr>
            <w:tcW w:type="dxa" w:w="1218"/>
          </w:tcPr>
          <w:p>
            <w:r/>
            <w:r>
              <w:rPr>
                <w:rFonts w:ascii="Calibri" w:hAnsi="Calibri"/>
                <w:b w:val="0"/>
                <w:i w:val="0"/>
                <w:color w:val="1A1E17"/>
                <w:sz w:val="18"/>
              </w:rPr>
              <w:t>DOC-09, DOC-16</w:t>
            </w:r>
          </w:p>
        </w:tc>
      </w:tr>
      <w:tr>
        <w:tc>
          <w:tcPr>
            <w:tcW w:type="dxa" w:w="1218"/>
          </w:tcPr>
          <w:p>
            <w:r/>
            <w:r>
              <w:rPr>
                <w:rFonts w:ascii="Calibri" w:hAnsi="Calibri"/>
                <w:b w:val="0"/>
                <w:i w:val="0"/>
                <w:color w:val="1A1E17"/>
                <w:sz w:val="18"/>
              </w:rPr>
              <w:t>Fatiga del anuncio "Video 22" / ciclo de fatiga creativa 2026</w:t>
            </w:r>
          </w:p>
        </w:tc>
        <w:tc>
          <w:tcPr>
            <w:tcW w:type="dxa" w:w="1218"/>
          </w:tcPr>
          <w:p>
            <w:r/>
            <w:r>
              <w:rPr>
                <w:rFonts w:ascii="Calibri" w:hAnsi="Calibri"/>
                <w:b w:val="0"/>
                <w:i w:val="0"/>
                <w:color w:val="1A1E17"/>
                <w:sz w:val="18"/>
              </w:rPr>
              <w:t>Cubierto en profundidad, con CTR exacto (-40,72%) y fuente oficial de Meta</w:t>
            </w:r>
          </w:p>
        </w:tc>
        <w:tc>
          <w:tcPr>
            <w:tcW w:type="dxa" w:w="1218"/>
          </w:tcPr>
          <w:p>
            <w:r/>
            <w:r>
              <w:rPr>
                <w:rFonts w:ascii="Calibri" w:hAnsi="Calibri"/>
                <w:b w:val="0"/>
                <w:i w:val="0"/>
                <w:color w:val="1A1E17"/>
                <w:sz w:val="18"/>
              </w:rPr>
              <w:t>No mencionado (agencia no auditó creativos a ese nivel)</w:t>
            </w:r>
          </w:p>
        </w:tc>
        <w:tc>
          <w:tcPr>
            <w:tcW w:type="dxa" w:w="1218"/>
          </w:tcPr>
          <w:p>
            <w:r/>
            <w:r>
              <w:rPr>
                <w:rFonts w:ascii="Calibri" w:hAnsi="Calibri"/>
                <w:b w:val="0"/>
                <w:i w:val="0"/>
                <w:color w:val="1A1E17"/>
                <w:sz w:val="18"/>
              </w:rPr>
              <w:t>Hallazgo exclusivo de Claude Code</w:t>
            </w:r>
          </w:p>
        </w:tc>
        <w:tc>
          <w:tcPr>
            <w:tcW w:type="dxa" w:w="1218"/>
          </w:tcPr>
          <w:p>
            <w:r/>
            <w:r>
              <w:rPr>
                <w:rFonts w:ascii="Calibri" w:hAnsi="Calibri"/>
                <w:b w:val="0"/>
                <w:i w:val="0"/>
                <w:color w:val="1A1E17"/>
                <w:sz w:val="18"/>
              </w:rPr>
              <w:t>—</w:t>
            </w:r>
          </w:p>
        </w:tc>
        <w:tc>
          <w:tcPr>
            <w:tcW w:type="dxa" w:w="1218"/>
          </w:tcPr>
          <w:p>
            <w:r/>
            <w:r>
              <w:rPr>
                <w:rFonts w:ascii="Calibri" w:hAnsi="Calibri"/>
                <w:b w:val="0"/>
                <w:i w:val="0"/>
                <w:color w:val="1A1E17"/>
                <w:sz w:val="18"/>
              </w:rPr>
              <w:t>Sin contraparte en el Informe 360</w:t>
            </w:r>
          </w:p>
        </w:tc>
        <w:tc>
          <w:tcPr>
            <w:tcW w:type="dxa" w:w="1218"/>
          </w:tcPr>
          <w:p>
            <w:r/>
            <w:r>
              <w:rPr>
                <w:rFonts w:ascii="Calibri" w:hAnsi="Calibri"/>
                <w:b w:val="0"/>
                <w:i w:val="0"/>
                <w:color w:val="1A1E17"/>
                <w:sz w:val="18"/>
              </w:rPr>
              <w:t>Alta</w:t>
            </w:r>
          </w:p>
        </w:tc>
        <w:tc>
          <w:tcPr>
            <w:tcW w:type="dxa" w:w="1218"/>
          </w:tcPr>
          <w:p>
            <w:r/>
            <w:r>
              <w:rPr>
                <w:rFonts w:ascii="Calibri" w:hAnsi="Calibri"/>
                <w:b w:val="0"/>
                <w:i w:val="0"/>
                <w:color w:val="1A1E17"/>
                <w:sz w:val="18"/>
              </w:rPr>
              <w:t>DOC-03, DOC-08</w:t>
            </w:r>
          </w:p>
        </w:tc>
      </w:tr>
      <w:tr>
        <w:tc>
          <w:tcPr>
            <w:tcW w:type="dxa" w:w="1218"/>
          </w:tcPr>
          <w:p>
            <w:r/>
            <w:r>
              <w:rPr>
                <w:rFonts w:ascii="Calibri" w:hAnsi="Calibri"/>
                <w:b w:val="0"/>
                <w:i w:val="0"/>
                <w:color w:val="1A1E17"/>
                <w:sz w:val="18"/>
              </w:rPr>
              <w:t>Palabras clave / keyword research</w:t>
            </w:r>
          </w:p>
        </w:tc>
        <w:tc>
          <w:tcPr>
            <w:tcW w:type="dxa" w:w="1218"/>
          </w:tcPr>
          <w:p>
            <w:r/>
            <w:r>
              <w:rPr>
                <w:rFonts w:ascii="Calibri" w:hAnsi="Calibri"/>
                <w:b w:val="0"/>
                <w:i w:val="0"/>
                <w:color w:val="1A1E17"/>
                <w:sz w:val="18"/>
              </w:rPr>
              <w:t>Cubierto vía herramienta SEO Public (cobertura de contenido existente)</w:t>
            </w:r>
          </w:p>
        </w:tc>
        <w:tc>
          <w:tcPr>
            <w:tcW w:type="dxa" w:w="1218"/>
          </w:tcPr>
          <w:p>
            <w:r/>
            <w:r>
              <w:rPr>
                <w:rFonts w:ascii="Calibri" w:hAnsi="Calibri"/>
                <w:b w:val="0"/>
                <w:i w:val="0"/>
                <w:color w:val="1A1E17"/>
                <w:sz w:val="18"/>
              </w:rPr>
              <w:t>Cubierto vía Google Ads + Search Console (volumen y conversión reales)</w:t>
            </w:r>
          </w:p>
        </w:tc>
        <w:tc>
          <w:tcPr>
            <w:tcW w:type="dxa" w:w="1218"/>
          </w:tcPr>
          <w:p>
            <w:r/>
            <w:r>
              <w:rPr>
                <w:rFonts w:ascii="Calibri" w:hAnsi="Calibri"/>
                <w:b w:val="0"/>
                <w:i w:val="0"/>
                <w:color w:val="1A1E17"/>
                <w:sz w:val="18"/>
              </w:rPr>
              <w:t>Hallazgo complementario</w:t>
            </w:r>
          </w:p>
        </w:tc>
        <w:tc>
          <w:tcPr>
            <w:tcW w:type="dxa" w:w="1218"/>
          </w:tcPr>
          <w:p>
            <w:r/>
            <w:r>
              <w:rPr>
                <w:rFonts w:ascii="Calibri" w:hAnsi="Calibri"/>
                <w:b w:val="0"/>
                <w:i w:val="0"/>
                <w:color w:val="1A1E17"/>
                <w:sz w:val="18"/>
              </w:rPr>
              <w:t>Ángulos distintos: SEO Public mide cobertura de contenido; agencia mide volumen/costo/conversión real</w:t>
            </w:r>
          </w:p>
        </w:tc>
        <w:tc>
          <w:tcPr>
            <w:tcW w:type="dxa" w:w="1218"/>
          </w:tcPr>
          <w:p>
            <w:r/>
            <w:r>
              <w:rPr>
                <w:rFonts w:ascii="Calibri" w:hAnsi="Calibri"/>
                <w:b w:val="0"/>
                <w:i w:val="0"/>
                <w:color w:val="1A1E17"/>
                <w:sz w:val="18"/>
              </w:rPr>
              <w:t>Se complementan, no se contradicen</w:t>
            </w:r>
          </w:p>
        </w:tc>
        <w:tc>
          <w:tcPr>
            <w:tcW w:type="dxa" w:w="1218"/>
          </w:tcPr>
          <w:p>
            <w:r/>
            <w:r>
              <w:rPr>
                <w:rFonts w:ascii="Calibri" w:hAnsi="Calibri"/>
                <w:b w:val="0"/>
                <w:i w:val="0"/>
                <w:color w:val="1A1E17"/>
                <w:sz w:val="18"/>
              </w:rPr>
              <w:t>Media-Alta</w:t>
            </w:r>
          </w:p>
        </w:tc>
        <w:tc>
          <w:tcPr>
            <w:tcW w:type="dxa" w:w="1218"/>
          </w:tcPr>
          <w:p>
            <w:r/>
            <w:r>
              <w:rPr>
                <w:rFonts w:ascii="Calibri" w:hAnsi="Calibri"/>
                <w:b w:val="0"/>
                <w:i w:val="0"/>
                <w:color w:val="1A1E17"/>
                <w:sz w:val="18"/>
              </w:rPr>
              <w:t>DOC-15, DOC-16</w:t>
            </w:r>
          </w:p>
        </w:tc>
      </w:tr>
      <w:tr>
        <w:tc>
          <w:tcPr>
            <w:tcW w:type="dxa" w:w="1218"/>
          </w:tcPr>
          <w:p>
            <w:r/>
            <w:r>
              <w:rPr>
                <w:rFonts w:ascii="Calibri" w:hAnsi="Calibri"/>
                <w:b w:val="0"/>
                <w:i w:val="0"/>
                <w:color w:val="1A1E17"/>
                <w:sz w:val="18"/>
              </w:rPr>
              <w:t>Panorama competitivo</w:t>
            </w:r>
          </w:p>
        </w:tc>
        <w:tc>
          <w:tcPr>
            <w:tcW w:type="dxa" w:w="1218"/>
          </w:tcPr>
          <w:p>
            <w:r/>
            <w:r>
              <w:rPr>
                <w:rFonts w:ascii="Calibri" w:hAnsi="Calibri"/>
                <w:b w:val="0"/>
                <w:i w:val="0"/>
                <w:color w:val="1A1E17"/>
                <w:sz w:val="18"/>
              </w:rPr>
              <w:t>No cubierto</w:t>
            </w:r>
          </w:p>
        </w:tc>
        <w:tc>
          <w:tcPr>
            <w:tcW w:type="dxa" w:w="1218"/>
          </w:tcPr>
          <w:p>
            <w:r/>
            <w:r>
              <w:rPr>
                <w:rFonts w:ascii="Calibri" w:hAnsi="Calibri"/>
                <w:b w:val="0"/>
                <w:i w:val="0"/>
                <w:color w:val="1A1E17"/>
                <w:sz w:val="18"/>
              </w:rPr>
              <w:t>Cubierto en profundidad (8 competidores directos + marketplaces + jugadores de deuda personal)</w:t>
            </w:r>
          </w:p>
        </w:tc>
        <w:tc>
          <w:tcPr>
            <w:tcW w:type="dxa" w:w="1218"/>
          </w:tcPr>
          <w:p>
            <w:r/>
            <w:r>
              <w:rPr>
                <w:rFonts w:ascii="Calibri" w:hAnsi="Calibri"/>
                <w:b w:val="0"/>
                <w:i w:val="0"/>
                <w:color w:val="1A1E17"/>
                <w:sz w:val="18"/>
              </w:rPr>
              <w:t>Hallazgo exclusivo de la agencia</w:t>
            </w:r>
          </w:p>
        </w:tc>
        <w:tc>
          <w:tcPr>
            <w:tcW w:type="dxa" w:w="1218"/>
          </w:tcPr>
          <w:p>
            <w:r/>
            <w:r>
              <w:rPr>
                <w:rFonts w:ascii="Calibri" w:hAnsi="Calibri"/>
                <w:b w:val="0"/>
                <w:i w:val="0"/>
                <w:color w:val="1A1E17"/>
                <w:sz w:val="18"/>
              </w:rPr>
              <w:t>—</w:t>
            </w:r>
          </w:p>
        </w:tc>
        <w:tc>
          <w:tcPr>
            <w:tcW w:type="dxa" w:w="1218"/>
          </w:tcPr>
          <w:p>
            <w:r/>
            <w:r>
              <w:rPr>
                <w:rFonts w:ascii="Calibri" w:hAnsi="Calibri"/>
                <w:b w:val="0"/>
                <w:i w:val="0"/>
                <w:color w:val="1A1E17"/>
                <w:sz w:val="18"/>
              </w:rPr>
              <w:t>Sin contraparte Claude Code</w:t>
            </w:r>
          </w:p>
        </w:tc>
        <w:tc>
          <w:tcPr>
            <w:tcW w:type="dxa" w:w="1218"/>
          </w:tcPr>
          <w:p>
            <w:r/>
            <w:r>
              <w:rPr>
                <w:rFonts w:ascii="Calibri" w:hAnsi="Calibri"/>
                <w:b w:val="0"/>
                <w:i w:val="0"/>
                <w:color w:val="1A1E17"/>
                <w:sz w:val="18"/>
              </w:rPr>
              <w:t>Media</w:t>
            </w:r>
          </w:p>
        </w:tc>
        <w:tc>
          <w:tcPr>
            <w:tcW w:type="dxa" w:w="1218"/>
          </w:tcPr>
          <w:p>
            <w:r/>
            <w:r>
              <w:rPr>
                <w:rFonts w:ascii="Calibri" w:hAnsi="Calibri"/>
                <w:b w:val="0"/>
                <w:i w:val="0"/>
                <w:color w:val="1A1E17"/>
                <w:sz w:val="18"/>
              </w:rPr>
              <w:t>DOC-16</w:t>
            </w:r>
          </w:p>
        </w:tc>
      </w:tr>
      <w:tr>
        <w:tc>
          <w:tcPr>
            <w:tcW w:type="dxa" w:w="1218"/>
          </w:tcPr>
          <w:p>
            <w:r/>
            <w:r>
              <w:rPr>
                <w:rFonts w:ascii="Calibri" w:hAnsi="Calibri"/>
                <w:b w:val="0"/>
                <w:i w:val="0"/>
                <w:color w:val="1A1E17"/>
                <w:sz w:val="18"/>
              </w:rPr>
              <w:t>Políticas Meta 2026 / IA generativa / divulgación</w:t>
            </w:r>
          </w:p>
        </w:tc>
        <w:tc>
          <w:tcPr>
            <w:tcW w:type="dxa" w:w="1218"/>
          </w:tcPr>
          <w:p>
            <w:r/>
            <w:r>
              <w:rPr>
                <w:rFonts w:ascii="Calibri" w:hAnsi="Calibri"/>
                <w:b w:val="0"/>
                <w:i w:val="0"/>
                <w:color w:val="1A1E17"/>
                <w:sz w:val="18"/>
              </w:rPr>
              <w:t>Cubierto en profundidad con fuentes oficiales citadas</w:t>
            </w:r>
          </w:p>
        </w:tc>
        <w:tc>
          <w:tcPr>
            <w:tcW w:type="dxa" w:w="1218"/>
          </w:tcPr>
          <w:p>
            <w:r/>
            <w:r>
              <w:rPr>
                <w:rFonts w:ascii="Calibri" w:hAnsi="Calibri"/>
                <w:b w:val="0"/>
                <w:i w:val="0"/>
                <w:color w:val="1A1E17"/>
                <w:sz w:val="18"/>
              </w:rPr>
              <w:t>No cubierto</w:t>
            </w:r>
          </w:p>
        </w:tc>
        <w:tc>
          <w:tcPr>
            <w:tcW w:type="dxa" w:w="1218"/>
          </w:tcPr>
          <w:p>
            <w:r/>
            <w:r>
              <w:rPr>
                <w:rFonts w:ascii="Calibri" w:hAnsi="Calibri"/>
                <w:b w:val="0"/>
                <w:i w:val="0"/>
                <w:color w:val="1A1E17"/>
                <w:sz w:val="18"/>
              </w:rPr>
              <w:t>Hallazgo exclusivo de Claude Code</w:t>
            </w:r>
          </w:p>
        </w:tc>
        <w:tc>
          <w:tcPr>
            <w:tcW w:type="dxa" w:w="1218"/>
          </w:tcPr>
          <w:p>
            <w:r/>
            <w:r>
              <w:rPr>
                <w:rFonts w:ascii="Calibri" w:hAnsi="Calibri"/>
                <w:b w:val="0"/>
                <w:i w:val="0"/>
                <w:color w:val="1A1E17"/>
                <w:sz w:val="18"/>
              </w:rPr>
              <w:t>—</w:t>
            </w:r>
          </w:p>
        </w:tc>
        <w:tc>
          <w:tcPr>
            <w:tcW w:type="dxa" w:w="1218"/>
          </w:tcPr>
          <w:p>
            <w:r/>
            <w:r>
              <w:rPr>
                <w:rFonts w:ascii="Calibri" w:hAnsi="Calibri"/>
                <w:b w:val="0"/>
                <w:i w:val="0"/>
                <w:color w:val="1A1E17"/>
                <w:sz w:val="18"/>
              </w:rPr>
              <w:t>Sin contraparte en el Informe 360</w:t>
            </w:r>
          </w:p>
        </w:tc>
        <w:tc>
          <w:tcPr>
            <w:tcW w:type="dxa" w:w="1218"/>
          </w:tcPr>
          <w:p>
            <w:r/>
            <w:r>
              <w:rPr>
                <w:rFonts w:ascii="Calibri" w:hAnsi="Calibri"/>
                <w:b w:val="0"/>
                <w:i w:val="0"/>
                <w:color w:val="1A1E17"/>
                <w:sz w:val="18"/>
              </w:rPr>
              <w:t>Media</w:t>
            </w:r>
          </w:p>
        </w:tc>
        <w:tc>
          <w:tcPr>
            <w:tcW w:type="dxa" w:w="1218"/>
          </w:tcPr>
          <w:p>
            <w:r/>
            <w:r>
              <w:rPr>
                <w:rFonts w:ascii="Calibri" w:hAnsi="Calibri"/>
                <w:b w:val="0"/>
                <w:i w:val="0"/>
                <w:color w:val="1A1E17"/>
                <w:sz w:val="18"/>
              </w:rPr>
              <w:t>DOC-08</w:t>
            </w:r>
          </w:p>
        </w:tc>
      </w:tr>
      <w:tr>
        <w:tc>
          <w:tcPr>
            <w:tcW w:type="dxa" w:w="1218"/>
          </w:tcPr>
          <w:p>
            <w:r/>
            <w:r>
              <w:rPr>
                <w:rFonts w:ascii="Calibri" w:hAnsi="Calibri"/>
                <w:b w:val="0"/>
                <w:i w:val="0"/>
                <w:color w:val="1A1E17"/>
                <w:sz w:val="18"/>
              </w:rPr>
              <w:t>Contexto normativo tributario 2026 (Ley 21.713, condonaciones)</w:t>
            </w:r>
          </w:p>
        </w:tc>
        <w:tc>
          <w:tcPr>
            <w:tcW w:type="dxa" w:w="1218"/>
          </w:tcPr>
          <w:p>
            <w:r/>
            <w:r>
              <w:rPr>
                <w:rFonts w:ascii="Calibri" w:hAnsi="Calibri"/>
                <w:b w:val="0"/>
                <w:i w:val="0"/>
                <w:color w:val="1A1E17"/>
                <w:sz w:val="18"/>
              </w:rPr>
              <w:t>No cubierto (fuera del alcance de marketing técnico)</w:t>
            </w:r>
          </w:p>
        </w:tc>
        <w:tc>
          <w:tcPr>
            <w:tcW w:type="dxa" w:w="1218"/>
          </w:tcPr>
          <w:p>
            <w:r/>
            <w:r>
              <w:rPr>
                <w:rFonts w:ascii="Calibri" w:hAnsi="Calibri"/>
                <w:b w:val="0"/>
                <w:i w:val="0"/>
                <w:color w:val="1A1E17"/>
                <w:sz w:val="18"/>
              </w:rPr>
              <w:t>Cubierto como motor de demanda de contenido</w:t>
            </w:r>
          </w:p>
        </w:tc>
        <w:tc>
          <w:tcPr>
            <w:tcW w:type="dxa" w:w="1218"/>
          </w:tcPr>
          <w:p>
            <w:r/>
            <w:r>
              <w:rPr>
                <w:rFonts w:ascii="Calibri" w:hAnsi="Calibri"/>
                <w:b w:val="0"/>
                <w:i w:val="0"/>
                <w:color w:val="1A1E17"/>
                <w:sz w:val="18"/>
              </w:rPr>
              <w:t>Hallazgo exclusivo de la agencia</w:t>
            </w:r>
          </w:p>
        </w:tc>
        <w:tc>
          <w:tcPr>
            <w:tcW w:type="dxa" w:w="1218"/>
          </w:tcPr>
          <w:p>
            <w:r/>
            <w:r>
              <w:rPr>
                <w:rFonts w:ascii="Calibri" w:hAnsi="Calibri"/>
                <w:b w:val="0"/>
                <w:i w:val="0"/>
                <w:color w:val="1A1E17"/>
                <w:sz w:val="18"/>
              </w:rPr>
              <w:t>Fuera de alcance declarado de las auditorías Claude Code</w:t>
            </w:r>
          </w:p>
        </w:tc>
        <w:tc>
          <w:tcPr>
            <w:tcW w:type="dxa" w:w="1218"/>
          </w:tcPr>
          <w:p>
            <w:r/>
            <w:r>
              <w:rPr>
                <w:rFonts w:ascii="Calibri" w:hAnsi="Calibri"/>
                <w:b w:val="0"/>
                <w:i w:val="0"/>
                <w:color w:val="1A1E17"/>
                <w:sz w:val="18"/>
              </w:rPr>
              <w:t>Complementario, no contradictorio</w:t>
            </w:r>
          </w:p>
        </w:tc>
        <w:tc>
          <w:tcPr>
            <w:tcW w:type="dxa" w:w="1218"/>
          </w:tcPr>
          <w:p>
            <w:r/>
            <w:r>
              <w:rPr>
                <w:rFonts w:ascii="Calibri" w:hAnsi="Calibri"/>
                <w:b w:val="0"/>
                <w:i w:val="0"/>
                <w:color w:val="1A1E17"/>
                <w:sz w:val="18"/>
              </w:rPr>
              <w:t>Media</w:t>
            </w:r>
          </w:p>
        </w:tc>
        <w:tc>
          <w:tcPr>
            <w:tcW w:type="dxa" w:w="1218"/>
          </w:tcPr>
          <w:p>
            <w:r/>
            <w:r>
              <w:rPr>
                <w:rFonts w:ascii="Calibri" w:hAnsi="Calibri"/>
                <w:b w:val="0"/>
                <w:i w:val="0"/>
                <w:color w:val="1A1E17"/>
                <w:sz w:val="18"/>
              </w:rPr>
              <w:t>DOC-16</w:t>
            </w:r>
          </w:p>
        </w:tc>
      </w:tr>
    </w:tbl>
    <w:p/>
    <w:p>
      <w:pPr>
        <w:spacing w:before="280" w:after="120"/>
      </w:pPr>
      <w:r>
        <w:rPr>
          <w:rFonts w:ascii="Calibri" w:hAnsi="Calibri"/>
          <w:b/>
          <w:i w:val="0"/>
          <w:color w:val="2C3A63"/>
          <w:sz w:val="30"/>
        </w:rPr>
        <w:t>6. Análisis consolidado por área</w:t>
      </w:r>
    </w:p>
    <w:p>
      <w:pPr>
        <w:spacing w:before="280" w:after="120"/>
      </w:pPr>
      <w:r>
        <w:rPr>
          <w:rFonts w:ascii="Calibri" w:hAnsi="Calibri"/>
          <w:b/>
          <w:i w:val="0"/>
          <w:color w:val="2C3A63"/>
          <w:sz w:val="26"/>
        </w:rPr>
        <w:t>6.1 Meta Ads</w:t>
      </w:r>
    </w:p>
    <w:p>
      <w:r>
        <w:rPr>
          <w:rFonts w:ascii="Calibri" w:hAnsi="Calibri"/>
          <w:b/>
          <w:i w:val="0"/>
          <w:color w:val="1A1E17"/>
          <w:sz w:val="22"/>
        </w:rPr>
        <w:t>Hallazgos consolidados:</w:t>
      </w:r>
      <w:r>
        <w:rPr>
          <w:rFonts w:ascii="Calibri" w:hAnsi="Calibri"/>
          <w:b w:val="0"/>
          <w:i w:val="0"/>
          <w:color w:val="1A1E17"/>
          <w:sz w:val="22"/>
        </w:rPr>
        <w:t xml:space="preserve"> cuenta con salud de entrega correcta (15/15 en DOC-03) pero estructura y frescura creativa muy débiles (5/20 y 4/20). Un solo anuncio activo desde abril de 2025 concentra el 71% del gasto de su campaña y Meta lo diagnostica textualmente como "This ad is not spurring interest" (DOC-03), con una caída de CTR confirmada del 40,72% (DOC-08, consulta en vivo). El banco de 70 creativos producidos permanece prácticamente sin usar. Las 3 campañas CAE, más eficientes en costo por resultado ($373-$649 vs. $1.089-$1.099 de la campaña activa), quedaron pausadas por desactualización de oferta, no por bajo rendimiento — ajuste documentado el 18-08-2026 en DOC-06.</w:t>
      </w:r>
    </w:p>
    <w:p>
      <w:r>
        <w:rPr>
          <w:rFonts w:ascii="Calibri" w:hAnsi="Calibri"/>
          <w:b/>
          <w:i w:val="0"/>
          <w:color w:val="1A1E17"/>
          <w:sz w:val="22"/>
        </w:rPr>
        <w:t>Coincidencias:</w:t>
      </w:r>
      <w:r>
        <w:rPr>
          <w:rFonts w:ascii="Calibri" w:hAnsi="Calibri"/>
          <w:b w:val="0"/>
          <w:i w:val="0"/>
          <w:color w:val="1A1E17"/>
          <w:sz w:val="22"/>
        </w:rPr>
        <w:t xml:space="preserve"> el Pixel solo mide </w:t>
      </w:r>
      <w:r>
        <w:rPr>
          <w:rFonts w:ascii="Consolas" w:hAnsi="Consolas"/>
          <w:b w:val="0"/>
          <w:i w:val="0"/>
          <w:color w:val="1A1E17"/>
          <w:sz w:val="21"/>
        </w:rPr>
        <w:t>PageView</w:t>
      </w:r>
      <w:r>
        <w:rPr>
          <w:rFonts w:ascii="Calibri" w:hAnsi="Calibri"/>
          <w:b w:val="0"/>
          <w:i w:val="0"/>
          <w:color w:val="1A1E17"/>
          <w:sz w:val="22"/>
        </w:rPr>
        <w:t xml:space="preserve"> (DOC-03, DOC-16); el gasto histórico y resultados de las campañas CAE coinciden en cifra exacta entre ambas fuentes (ver sección 10); ambas fuentes reconocen que la cuenta no tiene señal de conversión real.</w:t>
      </w:r>
    </w:p>
    <w:p>
      <w:r>
        <w:rPr>
          <w:rFonts w:ascii="Calibri" w:hAnsi="Calibri"/>
          <w:b/>
          <w:i w:val="0"/>
          <w:color w:val="1A1E17"/>
          <w:sz w:val="22"/>
        </w:rPr>
        <w:t>Omisiones:</w:t>
      </w:r>
      <w:r>
        <w:rPr>
          <w:rFonts w:ascii="Calibri" w:hAnsi="Calibri"/>
          <w:b w:val="0"/>
          <w:i w:val="0"/>
          <w:color w:val="1A1E17"/>
          <w:sz w:val="22"/>
        </w:rPr>
        <w:t xml:space="preserve"> el Informe 360 no llega al detalle de fatiga creativa por anuncio ni a las políticas de divulgación de IA 2026; las auditorías Claude Code no cubren la atribución de Meta dentro del CRM (DOC-16: "de 6.329 contactos históricos, ninguno tiene a Meta o Instagram como fuente de origen" — un hallazgo de alto impacto que ninguna auditoría Claude Code puede replicar sin acceso a Pipedrive).</w:t>
      </w:r>
    </w:p>
    <w:p>
      <w:r>
        <w:rPr>
          <w:rFonts w:ascii="Calibri" w:hAnsi="Calibri"/>
          <w:b/>
          <w:i w:val="0"/>
          <w:color w:val="1A1E17"/>
          <w:sz w:val="22"/>
        </w:rPr>
        <w:t>Contradicciones:</w:t>
      </w:r>
      <w:r>
        <w:rPr>
          <w:rFonts w:ascii="Calibri" w:hAnsi="Calibri"/>
          <w:b w:val="0"/>
          <w:i w:val="0"/>
          <w:color w:val="1A1E17"/>
          <w:sz w:val="22"/>
        </w:rPr>
        <w:t xml:space="preserve"> ninguna confirmada. Diferencia temporal en cifras de "Diagnósticos Gratuitos" (sección 10).</w:t>
      </w:r>
    </w:p>
    <w:p>
      <w:r>
        <w:rPr>
          <w:rFonts w:ascii="Calibri" w:hAnsi="Calibri"/>
          <w:b/>
          <w:i w:val="0"/>
          <w:color w:val="1A1E17"/>
          <w:sz w:val="22"/>
        </w:rPr>
        <w:t>Riesgos:</w:t>
      </w:r>
      <w:r>
        <w:rPr>
          <w:rFonts w:ascii="Calibri" w:hAnsi="Calibri"/>
          <w:b w:val="0"/>
          <w:i w:val="0"/>
          <w:color w:val="1A1E17"/>
          <w:sz w:val="22"/>
        </w:rPr>
        <w:t xml:space="preserve"> seguir invirtiendo en la única campaña activa sin refrescar creativo (fatiga confirmada) y sin CAPI conectada (optimización ciega por volumen, no por calidad de lead).</w:t>
      </w:r>
    </w:p>
    <w:p>
      <w:r>
        <w:rPr>
          <w:rFonts w:ascii="Calibri" w:hAnsi="Calibri"/>
          <w:b/>
          <w:i w:val="0"/>
          <w:color w:val="1A1E17"/>
          <w:sz w:val="22"/>
        </w:rPr>
        <w:t>Recomendaciones:</w:t>
      </w:r>
      <w:r>
        <w:rPr>
          <w:rFonts w:ascii="Calibri" w:hAnsi="Calibri"/>
          <w:b w:val="0"/>
          <w:i w:val="0"/>
          <w:color w:val="1A1E17"/>
          <w:sz w:val="22"/>
        </w:rPr>
        <w:t xml:space="preserve"> ver backlog consolidado, tareas de importancia alta en el bloque Meta Ads.</w:t>
      </w:r>
    </w:p>
    <w:p>
      <w:pPr>
        <w:spacing w:before="280" w:after="120"/>
      </w:pPr>
      <w:r>
        <w:rPr>
          <w:rFonts w:ascii="Calibri" w:hAnsi="Calibri"/>
          <w:b/>
          <w:i w:val="0"/>
          <w:color w:val="2C3A63"/>
          <w:sz w:val="26"/>
        </w:rPr>
        <w:t>6.2 Políticas y algoritmo de Meta</w:t>
      </w:r>
    </w:p>
    <w:p>
      <w:r>
        <w:rPr>
          <w:rFonts w:ascii="Calibri" w:hAnsi="Calibri"/>
          <w:b w:val="0"/>
          <w:i w:val="0"/>
          <w:color w:val="1A1E17"/>
          <w:sz w:val="22"/>
        </w:rPr>
        <w:t>Cubierto en profundidad solo por Claude Code (DOC-08), con fuentes oficiales citadas y fecha de consulta (18-08-2026): CAPI ya soporta eventos de mensajería (clave para el embudo 100% conversacional de DDC), Meta detecta origen de IA generativa automáticamente desde el 1-jun-2026, el ciclo de fatiga creativa bajó de 14-21 días a 5-7 días con Andromeda, y la política de "Privacidad y Atributos Personales" es el riesgo de rechazo más probable para el ángulo de miedo/urgencia que ya usa DDC (regla de compliance ya incorporada como criterio de aceptación obligatorio en DOC-07, marcada 🔒). El Informe 360 no cubre este eje — no es una omisión grave dado que es una investigación de plataforma muy específica, fuera del alcance de un diagnóstico estratégico de negocio.</w:t>
      </w:r>
    </w:p>
    <w:p>
      <w:pPr>
        <w:spacing w:before="280" w:after="120"/>
      </w:pPr>
      <w:r>
        <w:rPr>
          <w:rFonts w:ascii="Calibri" w:hAnsi="Calibri"/>
          <w:b/>
          <w:i w:val="0"/>
          <w:color w:val="2C3A63"/>
          <w:sz w:val="26"/>
        </w:rPr>
        <w:t>6.3 Landing pages y CRO</w:t>
      </w:r>
    </w:p>
    <w:p>
      <w:r>
        <w:rPr>
          <w:rFonts w:ascii="Calibri" w:hAnsi="Calibri"/>
          <w:b/>
          <w:i w:val="0"/>
          <w:color w:val="1A1E17"/>
          <w:sz w:val="22"/>
        </w:rPr>
        <w:t>Hallazgos consolidados:</w:t>
      </w:r>
      <w:r>
        <w:rPr>
          <w:rFonts w:ascii="Calibri" w:hAnsi="Calibri"/>
          <w:b w:val="0"/>
          <w:i w:val="0"/>
          <w:color w:val="1A1E17"/>
          <w:sz w:val="22"/>
        </w:rPr>
        <w:t xml:space="preserve"> formulario largo (100-102 elementos en el dominio principal) sin versión corta para tráfico frío de Meta (DOC-02); CTA repetido sin variación; 57% de abandono de formulario confirmado con datos reales de GA4 (141 </w:t>
      </w:r>
      <w:r>
        <w:rPr>
          <w:rFonts w:ascii="Consolas" w:hAnsi="Consolas"/>
          <w:b w:val="0"/>
          <w:i w:val="0"/>
          <w:color w:val="1A1E17"/>
          <w:sz w:val="21"/>
        </w:rPr>
        <w:t>form_start</w:t>
      </w:r>
      <w:r>
        <w:rPr>
          <w:rFonts w:ascii="Calibri" w:hAnsi="Calibri"/>
          <w:b w:val="0"/>
          <w:i w:val="0"/>
          <w:color w:val="1A1E17"/>
          <w:sz w:val="22"/>
        </w:rPr>
        <w:t xml:space="preserve"> vs. 61 </w:t>
      </w:r>
      <w:r>
        <w:rPr>
          <w:rFonts w:ascii="Consolas" w:hAnsi="Consolas"/>
          <w:b w:val="0"/>
          <w:i w:val="0"/>
          <w:color w:val="1A1E17"/>
          <w:sz w:val="21"/>
        </w:rPr>
        <w:t>form_submit_*</w:t>
      </w:r>
      <w:r>
        <w:rPr>
          <w:rFonts w:ascii="Calibri" w:hAnsi="Calibri"/>
          <w:b w:val="0"/>
          <w:i w:val="0"/>
          <w:color w:val="1A1E17"/>
          <w:sz w:val="22"/>
        </w:rPr>
        <w:t>, DOC-04, tarea G10 en DOC-05 y SL6 en DOC-13 — correctamente identificado como la misma tarea en ambos backlogs, sin duplicar). El Informe 360 no audita la landing a nivel de elementos de formulario, pero sí confirma el síntoma agregado: 77% del tráfico pagado es móvil y el 100% de las URL móviles están en Core Web Vitals "necesita mejora" (DOC-16) — coherente con que la fricción de conversión también tiene un componente de velocidad, no solo de diseño de formulario.</w:t>
      </w:r>
    </w:p>
    <w:p>
      <w:r>
        <w:rPr>
          <w:rFonts w:ascii="Calibri" w:hAnsi="Calibri"/>
          <w:b/>
          <w:i w:val="0"/>
          <w:color w:val="1A1E17"/>
          <w:sz w:val="22"/>
        </w:rPr>
        <w:t>Contradicción aparente, no confirmada:</w:t>
      </w:r>
      <w:r>
        <w:rPr>
          <w:rFonts w:ascii="Calibri" w:hAnsi="Calibri"/>
          <w:b w:val="0"/>
          <w:i w:val="0"/>
          <w:color w:val="1A1E17"/>
          <w:sz w:val="22"/>
        </w:rPr>
        <w:t xml:space="preserve"> DOC-02 (Alcance Técnico Landing) recomienda "formulario simplificado (nombre + teléfono)" como Prioridad 2; el subdominio servicios. según DOC-09 ya tiene formularios más cortos (48-77 elementos) que el dominio principal (100-102) — sin botón de WhatsApp en ninguna de sus 5 páginas. Es decir, el subdominio ya probó una versión más corta y aun así rinde peor en tráfico (12 sesiones/30d según DOC-04) — no hay evidencia suficiente en el corpus para saber si el problema real es el largo del formulario o la falta de tráfico/campañas activas hacia ese subdominio. Se clasifica como </w:t>
      </w:r>
      <w:r>
        <w:rPr>
          <w:rFonts w:ascii="Calibri" w:hAnsi="Calibri"/>
          <w:b/>
          <w:i w:val="0"/>
          <w:color w:val="1A1E17"/>
          <w:sz w:val="22"/>
        </w:rPr>
        <w:t>no resuelto por falta de evidencia</w:t>
      </w:r>
      <w:r>
        <w:rPr>
          <w:rFonts w:ascii="Calibri" w:hAnsi="Calibri"/>
          <w:b w:val="0"/>
          <w:i w:val="0"/>
          <w:color w:val="1A1E17"/>
          <w:sz w:val="22"/>
        </w:rPr>
        <w:t xml:space="preserve"> — requiere test A/B real, no solo inferencia (así lo marca correctamente SL8 en DOC-13, con 2 semanas de test).</w:t>
      </w:r>
    </w:p>
    <w:p>
      <w:pPr>
        <w:spacing w:before="280" w:after="120"/>
      </w:pPr>
      <w:r>
        <w:rPr>
          <w:rFonts w:ascii="Calibri" w:hAnsi="Calibri"/>
          <w:b/>
          <w:i w:val="0"/>
          <w:color w:val="2C3A63"/>
          <w:sz w:val="26"/>
        </w:rPr>
        <w:t>6.4 Auditoría técnica de las 14 URL</w:t>
      </w:r>
    </w:p>
    <w:p>
      <w:r>
        <w:rPr>
          <w:rFonts w:ascii="Calibri" w:hAnsi="Calibri"/>
          <w:b w:val="0"/>
          <w:i w:val="0"/>
          <w:color w:val="1A1E17"/>
          <w:sz w:val="22"/>
        </w:rPr>
        <w:t>Cubierta en exclusiva y en profundidad por Claude Code (DOC-09): Meta Pixel ausente en las 14, sin excepción; 3 instalaciones de WordPress en 3 versiones distintas; 2 de 14 URL bloqueadas para buscadores (una posiblemente sin querer — la FAQ de convenios y condonaciones en servicios.); H1 duplicado en 8/14 por un bloque de agendamiento mal etiquetado; promedio de visibilidad IA de solo 42/100 (coherente con el hallazgo de DOC-04 de que ya existe tráfico real desde "AI Assistant", 9 sesiones/30d — no es un tema especulativo). El Informe 360 no baja a este nivel de granularidad por URL, pero sus cifras agregadas de indexación (45% del sitio) y Core Web Vitals móvil (100% "necesita mejora") son consistentes con — y cuantifican a nivel de sitio completo — lo que DOC-09 encontró en su muestra de 14 URL.</w:t>
      </w:r>
    </w:p>
    <w:p>
      <w:pPr>
        <w:spacing w:before="280" w:after="120"/>
      </w:pPr>
      <w:r>
        <w:rPr>
          <w:rFonts w:ascii="Calibri" w:hAnsi="Calibri"/>
          <w:b/>
          <w:i w:val="0"/>
          <w:color w:val="2C3A63"/>
          <w:sz w:val="26"/>
        </w:rPr>
        <w:t>6.5 GA4</w:t>
      </w:r>
    </w:p>
    <w:p>
      <w:r>
        <w:rPr>
          <w:rFonts w:ascii="Calibri" w:hAnsi="Calibri"/>
          <w:b w:val="0"/>
          <w:i w:val="0"/>
          <w:color w:val="1A1E17"/>
          <w:sz w:val="22"/>
        </w:rPr>
        <w:t xml:space="preserve">Ver 6.1-style detalle ya cubierto en la matriz de cobertura (sección 5) y en el resumen ejecutivo. Punto adicional: el hallazgo de mayor apalancamiento de todo el corpus GA4 es de bajísimo esfuerzo — marcar </w:t>
      </w:r>
      <w:r>
        <w:rPr>
          <w:rFonts w:ascii="Consolas" w:hAnsi="Consolas"/>
          <w:b w:val="0"/>
          <w:i w:val="0"/>
          <w:color w:val="1A1E17"/>
          <w:sz w:val="21"/>
        </w:rPr>
        <w:t>form_submit_fiscalizacion_tributaria_cit</w:t>
      </w:r>
      <w:r>
        <w:rPr>
          <w:rFonts w:ascii="Calibri" w:hAnsi="Calibri"/>
          <w:b w:val="0"/>
          <w:i w:val="0"/>
          <w:color w:val="1A1E17"/>
          <w:sz w:val="22"/>
        </w:rPr>
        <w:t xml:space="preserve"> como conversión (G1 en DOC-05, 15 minutos), recuperando 19 conversiones reales/mes que hoy no se reportan a Google Ads. El Informe 360 no llega a este nivel de evento individual.</w:t>
      </w:r>
    </w:p>
    <w:p>
      <w:pPr>
        <w:spacing w:before="280" w:after="120"/>
      </w:pPr>
      <w:r>
        <w:rPr>
          <w:rFonts w:ascii="Calibri" w:hAnsi="Calibri"/>
          <w:b/>
          <w:i w:val="0"/>
          <w:color w:val="2C3A63"/>
          <w:sz w:val="26"/>
        </w:rPr>
        <w:t>6.6 Google Search Console</w:t>
      </w:r>
    </w:p>
    <w:p>
      <w:r>
        <w:rPr>
          <w:rFonts w:ascii="Calibri" w:hAnsi="Calibri"/>
          <w:b w:val="0"/>
          <w:i w:val="0"/>
          <w:color w:val="1A1E17"/>
          <w:sz w:val="22"/>
        </w:rPr>
        <w:t>Cubierto casi en exclusiva por el Informe 360 (DOC-16): 45% de indexación (56/123 páginas), tráfico orgánico cayendo activamente (-14% clics, -13% impresiones en 3 meses), CTR bajo (1,4-1,6%) pese a posición promedio decente (~7,7) — oportunidad de mejora de metadata sin necesidad de subir posición. Las auditorías Claude Code tocan Search Console solo tangencialmente (DOC-11 lo menciona como checklist de medición, DOC-10 como reporte trimestral contractual) — es una brecha real de cobertura del lado Claude Code, sin acceso propio documentado a la herramienta.</w:t>
      </w:r>
    </w:p>
    <w:p>
      <w:pPr>
        <w:spacing w:before="280" w:after="120"/>
      </w:pPr>
      <w:r>
        <w:rPr>
          <w:rFonts w:ascii="Calibri" w:hAnsi="Calibri"/>
          <w:b/>
          <w:i w:val="0"/>
          <w:color w:val="2C3A63"/>
          <w:sz w:val="26"/>
        </w:rPr>
        <w:t>6.7 Google Ads</w:t>
      </w:r>
    </w:p>
    <w:p>
      <w:r>
        <w:rPr>
          <w:rFonts w:ascii="Calibri" w:hAnsi="Calibri"/>
          <w:b w:val="0"/>
          <w:i w:val="0"/>
          <w:color w:val="1A1E17"/>
          <w:sz w:val="22"/>
        </w:rPr>
        <w:t xml:space="preserve">Cubierto en exclusiva por el Informe 360, con el detalle de que el acceso Claude Code estaba bloqueado (DOC-12: developer token pendiente de upgrade, marcado P0). Hallazgos de la agencia: autocanibalización de keywords ("abogado tributario" compite en dos campañas propias con CPC de $352 vs. $1.236-$1.618); objetivo de conversión "Cliente potencial cualificado" configurado pero con 0 conversiones y estado "Configuración errónea"; ~$205.000 CLP gastados en búsquedas de marca sin conversión registrada (posible conversión no registrada por teléfono/WhatsApp, a confirmar — la propia agencia lo marca como pendiente de confirmar, no como hallazgo cerrado); 15 de 18 campañas pausadas, varias fuera de giro. </w:t>
      </w:r>
      <w:r>
        <w:rPr>
          <w:rFonts w:ascii="Calibri" w:hAnsi="Calibri"/>
          <w:b/>
          <w:i w:val="0"/>
          <w:color w:val="1A1E17"/>
          <w:sz w:val="22"/>
        </w:rPr>
        <w:t>Este es el bloque de mayor prioridad para validación en plataforma una vez resuelto el acceso</w:t>
      </w:r>
      <w:r>
        <w:rPr>
          <w:rFonts w:ascii="Calibri" w:hAnsi="Calibri"/>
          <w:b w:val="0"/>
          <w:i w:val="0"/>
          <w:color w:val="1A1E17"/>
          <w:sz w:val="22"/>
        </w:rPr>
        <w:t xml:space="preserve"> (DOC-12).</w:t>
      </w:r>
    </w:p>
    <w:p>
      <w:pPr>
        <w:spacing w:before="280" w:after="120"/>
      </w:pPr>
      <w:r>
        <w:rPr>
          <w:rFonts w:ascii="Calibri" w:hAnsi="Calibri"/>
          <w:b/>
          <w:i w:val="0"/>
          <w:color w:val="2C3A63"/>
          <w:sz w:val="26"/>
        </w:rPr>
        <w:t>6.8 Gobernanza de cuentas</w:t>
      </w:r>
    </w:p>
    <w:p>
      <w:r>
        <w:rPr>
          <w:rFonts w:ascii="Calibri" w:hAnsi="Calibri"/>
          <w:b w:val="0"/>
          <w:i w:val="0"/>
          <w:color w:val="1A1E17"/>
          <w:sz w:val="22"/>
        </w:rPr>
        <w:t>Cubierta por Claude Code vía DOC-12 (bloqueo de acceso a Google Ads, 3 cuentas de Google Ads no vinculadas a GA4 pendientes de aclarar titularidad) y DOC-10 (desglose contractual completo: quién debe tener acceso a qué, con cláusula de origen). El Informe 360 no aborda gobernanza de accesos como tema propio, aunque sí documenta indirectamente el mismo síntoma (6 dominios/subdominios sin gobernanza clara). Coincidencia parcial en el diagnóstico, exclusividad de Claude Code en el detalle accionable de accesos.</w:t>
      </w:r>
    </w:p>
    <w:p>
      <w:pPr>
        <w:spacing w:before="280" w:after="120"/>
      </w:pPr>
      <w:r>
        <w:rPr>
          <w:rFonts w:ascii="Calibri" w:hAnsi="Calibri"/>
          <w:b/>
          <w:i w:val="0"/>
          <w:color w:val="2C3A63"/>
          <w:sz w:val="26"/>
        </w:rPr>
        <w:t>6.9 SEO técnico</w:t>
      </w:r>
    </w:p>
    <w:p>
      <w:r>
        <w:rPr>
          <w:rFonts w:ascii="Calibri" w:hAnsi="Calibri"/>
          <w:b w:val="0"/>
          <w:i w:val="0"/>
          <w:color w:val="1A1E17"/>
          <w:sz w:val="22"/>
        </w:rPr>
        <w:t>Ver comparación relevante entre DOC-14 (28-05-2026, foco homepage) y DOC-01/DOC-09 (17/18-08-2026, foco sitio completo) en sección 9 — persisten sin resolver 3 meses después: schema LocalBusiness/Service, imagen Open Graph cuadrada, favicon 404. El Informe 360 no repite esta auditoría a nivel de código, pero su cifra de indexación (45%) es el resultado agregado de estos mismos problemas sin resolver.</w:t>
      </w:r>
    </w:p>
    <w:p>
      <w:pPr>
        <w:spacing w:before="280" w:after="120"/>
      </w:pPr>
      <w:r>
        <w:rPr>
          <w:rFonts w:ascii="Calibri" w:hAnsi="Calibri"/>
          <w:b/>
          <w:i w:val="0"/>
          <w:color w:val="2C3A63"/>
          <w:sz w:val="26"/>
        </w:rPr>
        <w:t>6.10 SEO de contenidos</w:t>
      </w:r>
    </w:p>
    <w:p>
      <w:r>
        <w:rPr>
          <w:rFonts w:ascii="Calibri" w:hAnsi="Calibri"/>
          <w:b w:val="0"/>
          <w:i w:val="0"/>
          <w:color w:val="1A1E17"/>
          <w:sz w:val="22"/>
        </w:rPr>
        <w:t>DOC-15 (SEO Public) reporta 11 palabras clave con cobertura completa, 40 con cobertura parcial, 8 sin cobertura, medido contra el contenido ya publicado en el sitemap. DOC-16 aporta el ángulo de negocio: cero artículos sobre Convenios y Condonaciones (uno de los 6 servicios pagados, y con la novedad normativa más grande del momento — condonación de hasta 80%), sin contenido sobre Ley 21.713, y un competidor (Abogados Tributarios Chile) dominando el terreno long-tail. Ambas fuentes son complementarias: DOC-15 mide cobertura de lo ya escrito, DOC-16 identifica lo que falta escribir y por qué importa comercialmente — el glosario de palabras clave de DOC-16 (sección 11 del propio Informe 360, con clusters por intención) es un insumo directamente aprovechable como brief editorial.</w:t>
      </w:r>
    </w:p>
    <w:p>
      <w:pPr>
        <w:spacing w:before="280" w:after="120"/>
      </w:pPr>
      <w:r>
        <w:rPr>
          <w:rFonts w:ascii="Calibri" w:hAnsi="Calibri"/>
          <w:b/>
          <w:i w:val="0"/>
          <w:color w:val="2C3A63"/>
          <w:sz w:val="26"/>
        </w:rPr>
        <w:t>6.11 Medición y atribución</w:t>
      </w:r>
    </w:p>
    <w:p>
      <w:r>
        <w:rPr>
          <w:rFonts w:ascii="Calibri" w:hAnsi="Calibri"/>
          <w:b w:val="0"/>
          <w:i w:val="0"/>
          <w:color w:val="1A1E17"/>
          <w:sz w:val="22"/>
        </w:rPr>
        <w:t>Tema transversal, ya cubierto en el resumen ejecutivo y en 6.1/6.5/6.6. Síntesis: el problema no es falta de herramientas (Pixel, GA4, GTM, objetivo de conversión de Google Ads y CRM ya existen), es que ninguna está completando el circuito hasta el dato de negocio real — coincidencia total entre ambas fuentes en el diagnóstico, con Claude Code aportando la solución técnica exacta y la agencia aportando la prueba de que, aun si se arregla, el problema de fondo (cierre 2,3%) es también de proceso comercial.</w:t>
      </w:r>
    </w:p>
    <w:p>
      <w:pPr>
        <w:spacing w:before="280" w:after="120"/>
      </w:pPr>
      <w:r>
        <w:rPr>
          <w:rFonts w:ascii="Calibri" w:hAnsi="Calibri"/>
          <w:b/>
          <w:i w:val="0"/>
          <w:color w:val="2C3A63"/>
          <w:sz w:val="26"/>
        </w:rPr>
        <w:t>6.12 Integración de plataformas</w:t>
      </w:r>
    </w:p>
    <w:p>
      <w:r>
        <w:rPr>
          <w:rFonts w:ascii="Calibri" w:hAnsi="Calibri"/>
          <w:b w:val="0"/>
          <w:i w:val="0"/>
          <w:color w:val="1A1E17"/>
          <w:sz w:val="22"/>
        </w:rPr>
        <w:t>Meta ↔ GA4 ↔ Google Ads ↔ Pipedrive no están conectadas entre sí en ningún punto verificado por ninguna de las dos fuentes. Dependencia crítica documentada explícitamente en el propio corpus Claude Code: la tarea T4 de DOC-07 (reenviar "lead calificado" a Meta vía CAPI) depende de T2 y T3, y a su vez habilita T14 (testear objetivo Leads) — es decir, las propias auditorías Claude Code ya modelan esta dependencia en cadena. Falta agregar a esa cadena la conexión con Pipedrive, que es donde el Informe 360 sitúa el verdadero cuello de botella.</w:t>
      </w:r>
    </w:p>
    <w:p>
      <w:pPr>
        <w:spacing w:before="280" w:after="120"/>
      </w:pPr>
      <w:r>
        <w:rPr>
          <w:rFonts w:ascii="Calibri" w:hAnsi="Calibri"/>
          <w:b/>
          <w:i w:val="0"/>
          <w:color w:val="2C3A63"/>
          <w:sz w:val="26"/>
        </w:rPr>
        <w:t>6.13 Estrategia de marketing 360</w:t>
      </w:r>
    </w:p>
    <w:p>
      <w:r>
        <w:rPr>
          <w:rFonts w:ascii="Calibri" w:hAnsi="Calibri"/>
          <w:b w:val="0"/>
          <w:i w:val="0"/>
          <w:color w:val="1A1E17"/>
          <w:sz w:val="22"/>
        </w:rPr>
        <w:t>DOC-11 (Guía 360° Claude Code) y DOC-16 (Informe 360 agencia) tienen el mismo nombre de género pero alcance distinto: DOC-11 es un playbook de mejores prácticas 2026 por plataforma (benchmark externo, BigSEO/Yoast/Metrix Digital); DOC-16 es un diagnóstico específico del negocio con datos propios (CRM, cuentas reales). No se contradicen — DOC-11 es el "qué se espera que funcione en 2026 según la industria", DOC-16 es "qué está pasando realmente en esta cuenta". Se complementan de forma natural: DOC-16 debería usar el checklist de DOC-11 como referencia de estándar, y DOC-11 debería incorporar el hallazgo de cierre comercial de DOC-16 en su Sección 4 (Funnels).</w:t>
      </w:r>
    </w:p>
    <w:p>
      <w:pPr>
        <w:spacing w:before="280" w:after="120"/>
      </w:pPr>
      <w:r>
        <w:rPr>
          <w:rFonts w:ascii="Calibri" w:hAnsi="Calibri"/>
          <w:b/>
          <w:i w:val="0"/>
          <w:color w:val="2C3A63"/>
          <w:sz w:val="26"/>
        </w:rPr>
        <w:t>6.14 Tendencias y recomendaciones 2026</w:t>
      </w:r>
    </w:p>
    <w:p>
      <w:r>
        <w:rPr>
          <w:rFonts w:ascii="Calibri" w:hAnsi="Calibri"/>
          <w:b w:val="0"/>
          <w:i w:val="0"/>
          <w:color w:val="1A1E17"/>
          <w:sz w:val="22"/>
        </w:rPr>
        <w:t>Ver sección 12.</w:t>
      </w:r>
    </w:p>
    <w:p>
      <w:pPr>
        <w:spacing w:before="280" w:after="120"/>
      </w:pPr>
      <w:r>
        <w:rPr>
          <w:rFonts w:ascii="Calibri" w:hAnsi="Calibri"/>
          <w:b/>
          <w:i w:val="0"/>
          <w:color w:val="2C3A63"/>
          <w:sz w:val="30"/>
        </w:rPr>
        <w:t>7. Aciertos del Informe 360 de la agencia</w:t>
      </w:r>
    </w:p>
    <w:p>
      <w:pPr>
        <w:pStyle w:val="ListBullet"/>
      </w:pPr>
      <w:r>
        <w:rPr>
          <w:rFonts w:ascii="Calibri" w:hAnsi="Calibri"/>
          <w:b/>
          <w:i w:val="0"/>
          <w:color w:val="1A1E17"/>
          <w:sz w:val="22"/>
        </w:rPr>
        <w:t>Aciertos completos:</w:t>
      </w:r>
      <w:r>
        <w:rPr>
          <w:rFonts w:ascii="Calibri" w:hAnsi="Calibri"/>
          <w:b w:val="0"/>
          <w:i w:val="0"/>
          <w:color w:val="1A1E17"/>
          <w:sz w:val="22"/>
        </w:rPr>
        <w:t xml:space="preserve"> el diagnóstico de que el pixel de Meta solo mide </w:t>
      </w:r>
      <w:r>
        <w:rPr>
          <w:rFonts w:ascii="Consolas" w:hAnsi="Consolas"/>
          <w:b w:val="0"/>
          <w:i w:val="0"/>
          <w:color w:val="1A1E17"/>
          <w:sz w:val="21"/>
        </w:rPr>
        <w:t>PageView</w:t>
      </w:r>
      <w:r>
        <w:rPr>
          <w:rFonts w:ascii="Calibri" w:hAnsi="Calibri"/>
          <w:b w:val="0"/>
          <w:i w:val="0"/>
          <w:color w:val="1A1E17"/>
          <w:sz w:val="22"/>
        </w:rPr>
        <w:t xml:space="preserve"> (validado de forma independiente por DOC-03); la fragmentación de Analytics en dos propiedades (validado y ampliado por DOC-04); la identificación de que Convenios y Condonaciones no tiene campaña activa pese a ser servicio core con novedad normativa fuerte.</w:t>
      </w:r>
    </w:p>
    <w:p>
      <w:pPr>
        <w:pStyle w:val="ListBullet"/>
      </w:pPr>
      <w:r>
        <w:rPr>
          <w:rFonts w:ascii="Calibri" w:hAnsi="Calibri"/>
          <w:b/>
          <w:i w:val="0"/>
          <w:color w:val="1A1E17"/>
          <w:sz w:val="22"/>
        </w:rPr>
        <w:t>Aciertos parciales:</w:t>
      </w:r>
      <w:r>
        <w:rPr>
          <w:rFonts w:ascii="Calibri" w:hAnsi="Calibri"/>
          <w:b w:val="0"/>
          <w:i w:val="0"/>
          <w:color w:val="1A1E17"/>
          <w:sz w:val="22"/>
        </w:rPr>
        <w:t xml:space="preserve"> el diagnóstico de indexación (45%) es correcto y verificable (dato de Search Console), pero no profundiza en la causa técnica exacta (GTM duplicado, 3 WordPress distintos) que sí documentan DOC-01/DOC-09.</w:t>
      </w:r>
    </w:p>
    <w:p>
      <w:pPr>
        <w:pStyle w:val="ListBullet"/>
      </w:pPr>
      <w:r>
        <w:rPr>
          <w:rFonts w:ascii="Calibri" w:hAnsi="Calibri"/>
          <w:b/>
          <w:i w:val="0"/>
          <w:color w:val="1A1E17"/>
          <w:sz w:val="22"/>
        </w:rPr>
        <w:t>Recomendaciones válidas:</w:t>
      </w:r>
      <w:r>
        <w:rPr>
          <w:rFonts w:ascii="Calibri" w:hAnsi="Calibri"/>
          <w:b w:val="0"/>
          <w:i w:val="0"/>
          <w:color w:val="1A1E17"/>
          <w:sz w:val="22"/>
        </w:rPr>
        <w:t xml:space="preserve"> priorizar tracking antes que campañas nuevas (coincide con el orden de prioridad ya sugerido en el README del repo Claude Code); no reconstruir el histórico de Pipedrive, ordenar hacia adelante (decisión de negocio razonable, evita un esfuerzo de bajo retorno).</w:t>
      </w:r>
    </w:p>
    <w:p>
      <w:pPr>
        <w:pStyle w:val="ListBullet"/>
      </w:pPr>
      <w:r>
        <w:rPr>
          <w:rFonts w:ascii="Calibri" w:hAnsi="Calibri"/>
          <w:b/>
          <w:i w:val="0"/>
          <w:color w:val="1A1E17"/>
          <w:sz w:val="22"/>
        </w:rPr>
        <w:t>Hallazgos correctamente priorizados:</w:t>
      </w:r>
      <w:r>
        <w:rPr>
          <w:rFonts w:ascii="Calibri" w:hAnsi="Calibri"/>
          <w:b w:val="0"/>
          <w:i w:val="0"/>
          <w:color w:val="1A1E17"/>
          <w:sz w:val="22"/>
        </w:rPr>
        <w:t xml:space="preserve"> la Matriz de Priorización (sección 12 del Informe 360) sigue el orden que el propio cliente dio en la conversación de revisión — es una práctica metodológica sólida (prioriza según quien decide, no según un framework genérico) y </w:t>
      </w:r>
      <w:r>
        <w:rPr>
          <w:rFonts w:ascii="Calibri" w:hAnsi="Calibri"/>
          <w:b/>
          <w:i w:val="0"/>
          <w:color w:val="1A1E17"/>
          <w:sz w:val="22"/>
        </w:rPr>
        <w:t>transparente</w:t>
      </w:r>
      <w:r>
        <w:rPr>
          <w:rFonts w:ascii="Calibri" w:hAnsi="Calibri"/>
          <w:b w:val="0"/>
          <w:i w:val="0"/>
          <w:color w:val="1A1E17"/>
          <w:sz w:val="22"/>
        </w:rPr>
        <w:t>: documenta explícitamente cuándo un punto se ajustó por una aclaración del cliente, en vez de presentar el resultado final como si siempre hubiera sido así.</w:t>
      </w:r>
    </w:p>
    <w:p>
      <w:pPr>
        <w:spacing w:before="280" w:after="120"/>
      </w:pPr>
      <w:r>
        <w:rPr>
          <w:rFonts w:ascii="Calibri" w:hAnsi="Calibri"/>
          <w:b/>
          <w:i w:val="0"/>
          <w:color w:val="2C3A63"/>
          <w:sz w:val="30"/>
        </w:rPr>
        <w:t>8. Exclusiones y omisiones</w:t>
      </w:r>
    </w:p>
    <w:p>
      <w:pPr>
        <w:pStyle w:val="ListBullet"/>
      </w:pPr>
      <w:r>
        <w:rPr>
          <w:rFonts w:ascii="Calibri" w:hAnsi="Calibri"/>
          <w:b/>
          <w:i w:val="0"/>
          <w:color w:val="1A1E17"/>
          <w:sz w:val="22"/>
        </w:rPr>
        <w:t>Omitido por la agencia:</w:t>
      </w:r>
      <w:r>
        <w:rPr>
          <w:rFonts w:ascii="Calibri" w:hAnsi="Calibri"/>
          <w:b w:val="0"/>
          <w:i w:val="0"/>
          <w:color w:val="1A1E17"/>
          <w:sz w:val="22"/>
        </w:rPr>
        <w:t xml:space="preserve"> profundidad de plataforma (Lighthouse por URL, eventos GA4 individuales, código fuente, IDs de contenedor GTM, políticas de IA generativa de Meta 2026).</w:t>
      </w:r>
    </w:p>
    <w:p>
      <w:pPr>
        <w:pStyle w:val="ListBullet"/>
      </w:pPr>
      <w:r>
        <w:rPr>
          <w:rFonts w:ascii="Calibri" w:hAnsi="Calibri"/>
          <w:b/>
          <w:i w:val="0"/>
          <w:color w:val="1A1E17"/>
          <w:sz w:val="22"/>
        </w:rPr>
        <w:t>Omitido por Claude Code:</w:t>
      </w:r>
      <w:r>
        <w:rPr>
          <w:rFonts w:ascii="Calibri" w:hAnsi="Calibri"/>
          <w:b w:val="0"/>
          <w:i w:val="0"/>
          <w:color w:val="1A1E17"/>
          <w:sz w:val="22"/>
        </w:rPr>
        <w:t xml:space="preserve"> CRM/Pipedrive completo, Google Ads a nivel de cuenta y keyword (por bloqueo de acceso, documentado — no negligencia), panorama competitivo, contexto normativo tributario como motor de demanda de contenido.</w:t>
      </w:r>
    </w:p>
    <w:p>
      <w:pPr>
        <w:pStyle w:val="ListBullet"/>
      </w:pPr>
      <w:r>
        <w:rPr>
          <w:rFonts w:ascii="Calibri" w:hAnsi="Calibri"/>
          <w:b/>
          <w:i w:val="0"/>
          <w:color w:val="1A1E17"/>
          <w:sz w:val="22"/>
        </w:rPr>
        <w:t>Fuera del alcance de ambos:</w:t>
      </w:r>
      <w:r>
        <w:rPr>
          <w:rFonts w:ascii="Calibri" w:hAnsi="Calibri"/>
          <w:b w:val="0"/>
          <w:i w:val="0"/>
          <w:color w:val="1A1E17"/>
          <w:sz w:val="22"/>
        </w:rPr>
        <w:t xml:space="preserve"> auditoría de WhatsApp Business API a nivel de plantillas y costos reales (DOC-11 lo señala como "revisar antes de automatizar", pero ninguna de las dos fuentes trae cifras propias de WhatsApp); auditoría de email marketing / MailChimp más allá de la mención contractual en DOC-10.</w:t>
      </w:r>
    </w:p>
    <w:p>
      <w:pPr>
        <w:pStyle w:val="ListBullet"/>
      </w:pPr>
      <w:r>
        <w:rPr>
          <w:rFonts w:ascii="Calibri" w:hAnsi="Calibri"/>
          <w:b/>
          <w:i w:val="0"/>
          <w:color w:val="1A1E17"/>
          <w:sz w:val="22"/>
        </w:rPr>
        <w:t>Exclusiones justificadas:</w:t>
      </w:r>
      <w:r>
        <w:rPr>
          <w:rFonts w:ascii="Calibri" w:hAnsi="Calibri"/>
          <w:b w:val="0"/>
          <w:i w:val="0"/>
          <w:color w:val="1A1E17"/>
          <w:sz w:val="22"/>
        </w:rPr>
        <w:t xml:space="preserve"> el Informe 360 excluye explícitamente reconstruir el histórico de Pipedrive (decisión de negocio del cliente, documentada en el propio informe). Las auditorías Claude Code excluyen SEO off-page/backlinks salvo mención tangencial en DOC-11 — la auditoría de perfil de enlaces (DOC-16: solo 8 enlaces externos, 6 del mismo dominio) queda como hallazgo exclusivo de la agencia sin contraparte técnica Claude Code, pero no hay evidencia de que esto sea un vacío intencional del lado Claude Code, más bien no estaba en el alcance de ninguno de los documentos encargados.</w:t>
      </w:r>
    </w:p>
    <w:p>
      <w:pPr>
        <w:pStyle w:val="ListBullet"/>
      </w:pPr>
      <w:r>
        <w:rPr>
          <w:rFonts w:ascii="Calibri" w:hAnsi="Calibri"/>
          <w:b/>
          <w:i w:val="0"/>
          <w:color w:val="1A1E17"/>
          <w:sz w:val="22"/>
        </w:rPr>
        <w:t>Exclusiones problemáticas:</w:t>
      </w:r>
      <w:r>
        <w:rPr>
          <w:rFonts w:ascii="Calibri" w:hAnsi="Calibri"/>
          <w:b w:val="0"/>
          <w:i w:val="0"/>
          <w:color w:val="1A1E17"/>
          <w:sz w:val="22"/>
        </w:rPr>
        <w:t xml:space="preserve"> ninguna de gravedad alta. La más relevante es que ninguna de las dos fuentes, hasta la fecha de este reporte, verificó en vivo si el ajuste de conversión de GA4 (G1, 15 minutos) ya se ejecutó — sigue como tarea abierta en el backlog consolidado.</w:t>
      </w:r>
    </w:p>
    <w:p>
      <w:pPr>
        <w:spacing w:before="280" w:after="120"/>
      </w:pPr>
      <w:r>
        <w:rPr>
          <w:rFonts w:ascii="Calibri" w:hAnsi="Calibri"/>
          <w:b/>
          <w:i w:val="0"/>
          <w:color w:val="2C3A63"/>
          <w:sz w:val="30"/>
        </w:rPr>
        <w:t>9. Contradicciones y diferencias</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Pr>
                <w:b/>
                <w:color w:val="2C3A63"/>
              </w:rPr>
            </w:r>
            <w:r>
              <w:rPr>
                <w:rFonts w:ascii="Calibri" w:hAnsi="Calibri"/>
                <w:b/>
                <w:i w:val="0"/>
                <w:color w:val="2C3A63"/>
                <w:sz w:val="18"/>
              </w:rPr>
              <w:t>Tema</w:t>
            </w:r>
          </w:p>
        </w:tc>
        <w:tc>
          <w:tcPr>
            <w:tcW w:type="dxa" w:w="1218"/>
          </w:tcPr>
          <w:p>
            <w:r>
              <w:rPr>
                <w:b/>
                <w:color w:val="2C3A63"/>
              </w:rPr>
            </w:r>
            <w:r>
              <w:rPr>
                <w:rFonts w:ascii="Calibri" w:hAnsi="Calibri"/>
                <w:b/>
                <w:i w:val="0"/>
                <w:color w:val="2C3A63"/>
                <w:sz w:val="18"/>
              </w:rPr>
              <w:t>Posición Claude Code</w:t>
            </w:r>
          </w:p>
        </w:tc>
        <w:tc>
          <w:tcPr>
            <w:tcW w:type="dxa" w:w="1218"/>
          </w:tcPr>
          <w:p>
            <w:r>
              <w:rPr>
                <w:b/>
                <w:color w:val="2C3A63"/>
              </w:rPr>
            </w:r>
            <w:r>
              <w:rPr>
                <w:rFonts w:ascii="Calibri" w:hAnsi="Calibri"/>
                <w:b/>
                <w:i w:val="0"/>
                <w:color w:val="2C3A63"/>
                <w:sz w:val="18"/>
              </w:rPr>
              <w:t>Posición agencia</w:t>
            </w:r>
          </w:p>
        </w:tc>
        <w:tc>
          <w:tcPr>
            <w:tcW w:type="dxa" w:w="1218"/>
          </w:tcPr>
          <w:p>
            <w:r>
              <w:rPr>
                <w:b/>
                <w:color w:val="2C3A63"/>
              </w:rPr>
            </w:r>
            <w:r>
              <w:rPr>
                <w:rFonts w:ascii="Calibri" w:hAnsi="Calibri"/>
                <w:b/>
                <w:i w:val="0"/>
                <w:color w:val="2C3A63"/>
                <w:sz w:val="18"/>
              </w:rPr>
              <w:t>Evidencia</w:t>
            </w:r>
          </w:p>
        </w:tc>
        <w:tc>
          <w:tcPr>
            <w:tcW w:type="dxa" w:w="1218"/>
          </w:tcPr>
          <w:p>
            <w:r>
              <w:rPr>
                <w:b/>
                <w:color w:val="2C3A63"/>
              </w:rPr>
            </w:r>
            <w:r>
              <w:rPr>
                <w:rFonts w:ascii="Calibri" w:hAnsi="Calibri"/>
                <w:b/>
                <w:i w:val="0"/>
                <w:color w:val="2C3A63"/>
                <w:sz w:val="18"/>
              </w:rPr>
              <w:t>Explicación probable</w:t>
            </w:r>
          </w:p>
        </w:tc>
        <w:tc>
          <w:tcPr>
            <w:tcW w:type="dxa" w:w="1218"/>
          </w:tcPr>
          <w:p>
            <w:r>
              <w:rPr>
                <w:b/>
                <w:color w:val="2C3A63"/>
              </w:rPr>
            </w:r>
            <w:r>
              <w:rPr>
                <w:rFonts w:ascii="Calibri" w:hAnsi="Calibri"/>
                <w:b/>
                <w:i w:val="0"/>
                <w:color w:val="2C3A63"/>
                <w:sz w:val="18"/>
              </w:rPr>
              <w:t>Veredicto</w:t>
            </w:r>
          </w:p>
        </w:tc>
        <w:tc>
          <w:tcPr>
            <w:tcW w:type="dxa" w:w="1218"/>
          </w:tcPr>
          <w:p>
            <w:r>
              <w:rPr>
                <w:b/>
                <w:color w:val="2C3A63"/>
              </w:rPr>
            </w:r>
            <w:r>
              <w:rPr>
                <w:rFonts w:ascii="Calibri" w:hAnsi="Calibri"/>
                <w:b/>
                <w:i w:val="0"/>
                <w:color w:val="2C3A63"/>
                <w:sz w:val="18"/>
              </w:rPr>
              <w:t>Importancia</w:t>
            </w:r>
          </w:p>
        </w:tc>
        <w:tc>
          <w:tcPr>
            <w:tcW w:type="dxa" w:w="1218"/>
          </w:tcPr>
          <w:p>
            <w:r>
              <w:rPr>
                <w:b/>
                <w:color w:val="2C3A63"/>
              </w:rPr>
            </w:r>
            <w:r>
              <w:rPr>
                <w:rFonts w:ascii="Calibri" w:hAnsi="Calibri"/>
                <w:b/>
                <w:i w:val="0"/>
                <w:color w:val="2C3A63"/>
                <w:sz w:val="18"/>
              </w:rPr>
              <w:t>Acción requerida</w:t>
            </w:r>
          </w:p>
        </w:tc>
      </w:tr>
      <w:tr>
        <w:tc>
          <w:tcPr>
            <w:tcW w:type="dxa" w:w="1218"/>
          </w:tcPr>
          <w:p>
            <w:r/>
            <w:r>
              <w:rPr>
                <w:rFonts w:ascii="Calibri" w:hAnsi="Calibri"/>
                <w:b w:val="0"/>
                <w:i w:val="0"/>
                <w:color w:val="1A1E17"/>
                <w:sz w:val="18"/>
              </w:rPr>
              <w:t>Cifras de la campaña "Diagnósticos Gratuitos"</w:t>
            </w:r>
          </w:p>
        </w:tc>
        <w:tc>
          <w:tcPr>
            <w:tcW w:type="dxa" w:w="1218"/>
          </w:tcPr>
          <w:p>
            <w:r/>
            <w:r>
              <w:rPr>
                <w:rFonts w:ascii="Calibri" w:hAnsi="Calibri"/>
                <w:b w:val="0"/>
                <w:i w:val="0"/>
                <w:color w:val="1A1E17"/>
                <w:sz w:val="18"/>
              </w:rPr>
              <w:t>Gasto $5.338.077, 4.858 resultados, $1.099/resultado (DOC-03, capturado 17/18-08)</w:t>
            </w:r>
          </w:p>
        </w:tc>
        <w:tc>
          <w:tcPr>
            <w:tcW w:type="dxa" w:w="1218"/>
          </w:tcPr>
          <w:p>
            <w:r/>
            <w:r>
              <w:rPr>
                <w:rFonts w:ascii="Calibri" w:hAnsi="Calibri"/>
                <w:b w:val="0"/>
                <w:i w:val="0"/>
                <w:color w:val="1A1E17"/>
                <w:sz w:val="18"/>
              </w:rPr>
              <w:t>Gasto $5.070.552, 4.655 resultados, $1.089/resultado (DOC-16, capturado antes, "histórico hasta jul-2026")</w:t>
            </w:r>
          </w:p>
        </w:tc>
        <w:tc>
          <w:tcPr>
            <w:tcW w:type="dxa" w:w="1218"/>
          </w:tcPr>
          <w:p>
            <w:r/>
            <w:r>
              <w:rPr>
                <w:rFonts w:ascii="Calibri" w:hAnsi="Calibri"/>
                <w:b w:val="0"/>
                <w:i w:val="0"/>
                <w:color w:val="1A1E17"/>
                <w:sz w:val="18"/>
              </w:rPr>
              <w:t>Ambas cifras vía acceso directo a Meta (MCP vs. Ads Manager)</w:t>
            </w:r>
          </w:p>
        </w:tc>
        <w:tc>
          <w:tcPr>
            <w:tcW w:type="dxa" w:w="1218"/>
          </w:tcPr>
          <w:p>
            <w:r/>
            <w:r>
              <w:rPr>
                <w:rFonts w:ascii="Calibri" w:hAnsi="Calibri"/>
                <w:b w:val="0"/>
                <w:i w:val="0"/>
                <w:color w:val="1A1E17"/>
                <w:sz w:val="18"/>
              </w:rPr>
              <w:t>Fecha de captura distinta — DOC-03 es ~2-3 semanas posterior y la campaña sigue activa y acumulando gasto/resultados a diario; la dirección de la diferencia (todo mayor en la captura más reciente) es consistente con eso</w:t>
            </w:r>
          </w:p>
        </w:tc>
        <w:tc>
          <w:tcPr>
            <w:tcW w:type="dxa" w:w="1218"/>
          </w:tcPr>
          <w:p>
            <w:r/>
            <w:r>
              <w:rPr>
                <w:rFonts w:ascii="Calibri" w:hAnsi="Calibri"/>
                <w:b w:val="0"/>
                <w:i w:val="0"/>
                <w:color w:val="1A1E17"/>
                <w:sz w:val="18"/>
              </w:rPr>
              <w:t>Diferencia temporal</w:t>
            </w:r>
          </w:p>
        </w:tc>
        <w:tc>
          <w:tcPr>
            <w:tcW w:type="dxa" w:w="1218"/>
          </w:tcPr>
          <w:p>
            <w:r/>
            <w:r>
              <w:rPr>
                <w:rFonts w:ascii="Calibri" w:hAnsi="Calibri"/>
                <w:b w:val="0"/>
                <w:i w:val="0"/>
                <w:color w:val="1A1E17"/>
                <w:sz w:val="18"/>
              </w:rPr>
              <w:t>Media</w:t>
            </w:r>
          </w:p>
        </w:tc>
        <w:tc>
          <w:tcPr>
            <w:tcW w:type="dxa" w:w="1218"/>
          </w:tcPr>
          <w:p>
            <w:r/>
            <w:r>
              <w:rPr>
                <w:rFonts w:ascii="Calibri" w:hAnsi="Calibri"/>
                <w:b w:val="0"/>
                <w:i w:val="0"/>
                <w:color w:val="1A1E17"/>
                <w:sz w:val="18"/>
              </w:rPr>
              <w:t>Ninguna — no requiere corrección, ambas cifras son correctas para su fecha de captura</w:t>
            </w:r>
          </w:p>
        </w:tc>
      </w:tr>
      <w:tr>
        <w:tc>
          <w:tcPr>
            <w:tcW w:type="dxa" w:w="1218"/>
          </w:tcPr>
          <w:p>
            <w:r/>
            <w:r>
              <w:rPr>
                <w:rFonts w:ascii="Calibri" w:hAnsi="Calibri"/>
                <w:b w:val="0"/>
                <w:i w:val="0"/>
                <w:color w:val="1A1E17"/>
                <w:sz w:val="18"/>
              </w:rPr>
              <w:t>H1 genérico en homepage</w:t>
            </w:r>
          </w:p>
        </w:tc>
        <w:tc>
          <w:tcPr>
            <w:tcW w:type="dxa" w:w="1218"/>
          </w:tcPr>
          <w:p>
            <w:r/>
            <w:r>
              <w:rPr>
                <w:rFonts w:ascii="Calibri" w:hAnsi="Calibri"/>
                <w:b w:val="0"/>
                <w:i w:val="0"/>
                <w:color w:val="1A1E17"/>
                <w:sz w:val="18"/>
              </w:rPr>
              <w:t>No reportado como hallazgo en DOC-01/DOC-09 (agosto)</w:t>
            </w:r>
          </w:p>
        </w:tc>
        <w:tc>
          <w:tcPr>
            <w:tcW w:type="dxa" w:w="1218"/>
          </w:tcPr>
          <w:p>
            <w:r/>
            <w:r>
              <w:rPr>
                <w:rFonts w:ascii="Calibri" w:hAnsi="Calibri"/>
                <w:b w:val="0"/>
                <w:i w:val="0"/>
                <w:color w:val="1A1E17"/>
                <w:sz w:val="18"/>
              </w:rPr>
              <w:t>No evaluado por el Informe 360 tampoco</w:t>
            </w:r>
          </w:p>
        </w:tc>
        <w:tc>
          <w:tcPr>
            <w:tcW w:type="dxa" w:w="1218"/>
          </w:tcPr>
          <w:p>
            <w:r/>
            <w:r>
              <w:rPr>
                <w:rFonts w:ascii="Calibri" w:hAnsi="Calibri"/>
                <w:b w:val="0"/>
                <w:i w:val="0"/>
                <w:color w:val="1A1E17"/>
                <w:sz w:val="18"/>
              </w:rPr>
              <w:t>DOC-14 (mayo) sí lo reportó como hallazgo #4</w:t>
            </w:r>
          </w:p>
        </w:tc>
        <w:tc>
          <w:tcPr>
            <w:tcW w:type="dxa" w:w="1218"/>
          </w:tcPr>
          <w:p>
            <w:r/>
            <w:r>
              <w:rPr>
                <w:rFonts w:ascii="Calibri" w:hAnsi="Calibri"/>
                <w:b w:val="0"/>
                <w:i w:val="0"/>
                <w:color w:val="1A1E17"/>
                <w:sz w:val="18"/>
              </w:rPr>
              <w:t>Alcance distinto — DOC-14 auditó la homepage en detalle; DOC-01/DOC-09 auditan alcance técnico general y páginas de servicio/campaña, no vuelven a listar la homepage punto por punto</w:t>
            </w:r>
          </w:p>
        </w:tc>
        <w:tc>
          <w:tcPr>
            <w:tcW w:type="dxa" w:w="1218"/>
          </w:tcPr>
          <w:p>
            <w:r/>
            <w:r>
              <w:rPr>
                <w:rFonts w:ascii="Calibri" w:hAnsi="Calibri"/>
                <w:b w:val="0"/>
                <w:i w:val="0"/>
                <w:color w:val="1A1E17"/>
                <w:sz w:val="18"/>
              </w:rPr>
              <w:t>Diferencia de alcance, no contradicción</w:t>
            </w:r>
          </w:p>
        </w:tc>
        <w:tc>
          <w:tcPr>
            <w:tcW w:type="dxa" w:w="1218"/>
          </w:tcPr>
          <w:p>
            <w:r/>
            <w:r>
              <w:rPr>
                <w:rFonts w:ascii="Calibri" w:hAnsi="Calibri"/>
                <w:b w:val="0"/>
                <w:i w:val="0"/>
                <w:color w:val="1A1E17"/>
                <w:sz w:val="18"/>
              </w:rPr>
              <w:t>Baja</w:t>
            </w:r>
          </w:p>
        </w:tc>
        <w:tc>
          <w:tcPr>
            <w:tcW w:type="dxa" w:w="1218"/>
          </w:tcPr>
          <w:p>
            <w:r/>
            <w:r>
              <w:rPr>
                <w:rFonts w:ascii="Calibri" w:hAnsi="Calibri"/>
                <w:b w:val="0"/>
                <w:i w:val="0"/>
                <w:color w:val="1A1E17"/>
                <w:sz w:val="18"/>
              </w:rPr>
              <w:t>Confirmar en plataforma si el H1 de la homepage sigue siendo genérico — no resuelto por falta de evidencia reciente</w:t>
            </w:r>
          </w:p>
        </w:tc>
      </w:tr>
      <w:tr>
        <w:tc>
          <w:tcPr>
            <w:tcW w:type="dxa" w:w="1218"/>
          </w:tcPr>
          <w:p>
            <w:r/>
            <w:r>
              <w:rPr>
                <w:rFonts w:ascii="Calibri" w:hAnsi="Calibri"/>
                <w:b w:val="0"/>
                <w:i w:val="0"/>
                <w:color w:val="1A1E17"/>
                <w:sz w:val="18"/>
              </w:rPr>
              <w:t>Campaña CAE: "armada en un fin de semana, activa cerca de una semana" (relato del cliente en DOC-16) vs. gasto acumulado ~$1.000.000 CLP en 3 campañas CAE con miles de resultados (DOC-03)</w:t>
            </w:r>
          </w:p>
        </w:tc>
        <w:tc>
          <w:tcPr>
            <w:tcW w:type="dxa" w:w="1218"/>
          </w:tcPr>
          <w:p>
            <w:r/>
            <w:r>
              <w:rPr>
                <w:rFonts w:ascii="Calibri" w:hAnsi="Calibri"/>
                <w:b w:val="0"/>
                <w:i w:val="0"/>
                <w:color w:val="1A1E17"/>
                <w:sz w:val="18"/>
              </w:rPr>
              <w:t>Datos de plataforma vía MCP: gasto y resultados acumulados, sin fecha de inicio exacta más allá de "pausada desde abril 2026"</w:t>
            </w:r>
          </w:p>
        </w:tc>
        <w:tc>
          <w:tcPr>
            <w:tcW w:type="dxa" w:w="1218"/>
          </w:tcPr>
          <w:p>
            <w:r/>
            <w:r>
              <w:rPr>
                <w:rFonts w:ascii="Calibri" w:hAnsi="Calibri"/>
                <w:b w:val="0"/>
                <w:i w:val="0"/>
                <w:color w:val="1A1E17"/>
                <w:sz w:val="18"/>
              </w:rPr>
              <w:t>Caracterización cualitativa del propio cliente en conversación de revisión</w:t>
            </w:r>
          </w:p>
        </w:tc>
        <w:tc>
          <w:tcPr>
            <w:tcW w:type="dxa" w:w="1218"/>
          </w:tcPr>
          <w:p>
            <w:r/>
            <w:r>
              <w:rPr>
                <w:rFonts w:ascii="Calibri" w:hAnsi="Calibri"/>
                <w:b w:val="0"/>
                <w:i w:val="0"/>
                <w:color w:val="1A1E17"/>
                <w:sz w:val="18"/>
              </w:rPr>
              <w:t>DOC-03 (cifras), DOC-16 (cita textual del cliente)</w:t>
            </w:r>
          </w:p>
        </w:tc>
        <w:tc>
          <w:tcPr>
            <w:tcW w:type="dxa" w:w="1218"/>
          </w:tcPr>
          <w:p>
            <w:r/>
            <w:r>
              <w:rPr>
                <w:rFonts w:ascii="Calibri" w:hAnsi="Calibri"/>
                <w:b w:val="0"/>
                <w:i w:val="0"/>
                <w:color w:val="1A1E17"/>
                <w:sz w:val="18"/>
              </w:rPr>
              <w:t>No necesariamente contradictorio — "armado en un fin de semana" puede referirse al tiempo de producción del anuncio, no a la duración de la campaña activa; sin fecha de inicio exacta en ningún documento no se puede confirmar cuánto tiempo estuvo realmente activa</w:t>
            </w:r>
          </w:p>
        </w:tc>
        <w:tc>
          <w:tcPr>
            <w:tcW w:type="dxa" w:w="1218"/>
          </w:tcPr>
          <w:p>
            <w:r/>
            <w:r>
              <w:rPr>
                <w:rFonts w:ascii="Calibri" w:hAnsi="Calibri"/>
                <w:b w:val="0"/>
                <w:i w:val="0"/>
                <w:color w:val="1A1E17"/>
                <w:sz w:val="18"/>
              </w:rPr>
              <w:t>Contradicción aparente, no confirmada</w:t>
            </w:r>
          </w:p>
        </w:tc>
        <w:tc>
          <w:tcPr>
            <w:tcW w:type="dxa" w:w="1218"/>
          </w:tcPr>
          <w:p>
            <w:r/>
            <w:r>
              <w:rPr>
                <w:rFonts w:ascii="Calibri" w:hAnsi="Calibri"/>
                <w:b w:val="0"/>
                <w:i w:val="0"/>
                <w:color w:val="1A1E17"/>
                <w:sz w:val="18"/>
              </w:rPr>
              <w:t>Baja</w:t>
            </w:r>
          </w:p>
        </w:tc>
        <w:tc>
          <w:tcPr>
            <w:tcW w:type="dxa" w:w="1218"/>
          </w:tcPr>
          <w:p>
            <w:r/>
            <w:r>
              <w:rPr>
                <w:rFonts w:ascii="Calibri" w:hAnsi="Calibri"/>
                <w:b w:val="0"/>
                <w:i w:val="0"/>
                <w:color w:val="1A1E17"/>
                <w:sz w:val="18"/>
              </w:rPr>
              <w:t>Confirmar fecha de inicio exacta de las 3 campañas CAE en Ads Manager si se retoma el proyecto</w:t>
            </w:r>
          </w:p>
        </w:tc>
      </w:tr>
      <w:tr>
        <w:tc>
          <w:tcPr>
            <w:tcW w:type="dxa" w:w="1218"/>
          </w:tcPr>
          <w:p>
            <w:r/>
            <w:r>
              <w:rPr>
                <w:rFonts w:ascii="Calibri" w:hAnsi="Calibri"/>
                <w:b w:val="0"/>
                <w:i w:val="0"/>
                <w:color w:val="1A1E17"/>
                <w:sz w:val="18"/>
              </w:rPr>
              <w:t>Opportunity Score 96/100 (Meta) vs. puntuación de auditoría 43/100 (DOC-03)</w:t>
            </w:r>
          </w:p>
        </w:tc>
        <w:tc>
          <w:tcPr>
            <w:tcW w:type="dxa" w:w="1218"/>
          </w:tcPr>
          <w:p>
            <w:r/>
            <w:r>
              <w:rPr>
                <w:rFonts w:ascii="Calibri" w:hAnsi="Calibri"/>
                <w:b w:val="0"/>
                <w:i w:val="0"/>
                <w:color w:val="1A1E17"/>
                <w:sz w:val="18"/>
              </w:rPr>
              <w:t>Ambas cifras del propio corpus Claude Code</w:t>
            </w:r>
          </w:p>
        </w:tc>
        <w:tc>
          <w:tcPr>
            <w:tcW w:type="dxa" w:w="1218"/>
          </w:tcPr>
          <w:p>
            <w:r/>
            <w:r>
              <w:rPr>
                <w:rFonts w:ascii="Calibri" w:hAnsi="Calibri"/>
                <w:b w:val="0"/>
                <w:i w:val="0"/>
                <w:color w:val="1A1E17"/>
                <w:sz w:val="18"/>
              </w:rPr>
              <w:t>No evaluado por la agencia</w:t>
            </w:r>
          </w:p>
        </w:tc>
        <w:tc>
          <w:tcPr>
            <w:tcW w:type="dxa" w:w="1218"/>
          </w:tcPr>
          <w:p>
            <w:r/>
            <w:r>
              <w:rPr>
                <w:rFonts w:ascii="Calibri" w:hAnsi="Calibri"/>
                <w:b w:val="0"/>
                <w:i w:val="0"/>
                <w:color w:val="1A1E17"/>
                <w:sz w:val="18"/>
              </w:rPr>
              <w:t>DOC-03, DOC-08</w:t>
            </w:r>
          </w:p>
        </w:tc>
        <w:tc>
          <w:tcPr>
            <w:tcW w:type="dxa" w:w="1218"/>
          </w:tcPr>
          <w:p>
            <w:r/>
            <w:r>
              <w:rPr>
                <w:rFonts w:ascii="Calibri" w:hAnsi="Calibri"/>
                <w:b w:val="0"/>
                <w:i w:val="0"/>
                <w:color w:val="1A1E17"/>
                <w:sz w:val="18"/>
              </w:rPr>
              <w:t>Escalas distintas — Opportunity Score es un checklist estructural de configuración, no mide eficiencia real; DOC-08 ya lo explica y reconcilia explícitamente</w:t>
            </w:r>
          </w:p>
        </w:tc>
        <w:tc>
          <w:tcPr>
            <w:tcW w:type="dxa" w:w="1218"/>
          </w:tcPr>
          <w:p>
            <w:r/>
            <w:r>
              <w:rPr>
                <w:rFonts w:ascii="Calibri" w:hAnsi="Calibri"/>
                <w:b w:val="0"/>
                <w:i w:val="0"/>
                <w:color w:val="1A1E17"/>
                <w:sz w:val="18"/>
              </w:rPr>
              <w:t>Diferencia metodológica (ya resuelta dentro del propio corpus Claude Code)</w:t>
            </w:r>
          </w:p>
        </w:tc>
        <w:tc>
          <w:tcPr>
            <w:tcW w:type="dxa" w:w="1218"/>
          </w:tcPr>
          <w:p>
            <w:r/>
            <w:r>
              <w:rPr>
                <w:rFonts w:ascii="Calibri" w:hAnsi="Calibri"/>
                <w:b w:val="0"/>
                <w:i w:val="0"/>
                <w:color w:val="1A1E17"/>
                <w:sz w:val="18"/>
              </w:rPr>
              <w:t>Baja</w:t>
            </w:r>
          </w:p>
        </w:tc>
        <w:tc>
          <w:tcPr>
            <w:tcW w:type="dxa" w:w="1218"/>
          </w:tcPr>
          <w:p>
            <w:r/>
            <w:r>
              <w:rPr>
                <w:rFonts w:ascii="Calibri" w:hAnsi="Calibri"/>
                <w:b w:val="0"/>
                <w:i w:val="0"/>
                <w:color w:val="1A1E17"/>
                <w:sz w:val="18"/>
              </w:rPr>
              <w:t>Ninguna — ejemplo de buena práctica interna de reconciliación, se mantiene el resto del reporte</w:t>
            </w:r>
          </w:p>
        </w:tc>
      </w:tr>
    </w:tbl>
    <w:p/>
    <w:p>
      <w:pPr>
        <w:spacing w:before="280" w:after="120"/>
      </w:pPr>
      <w:r>
        <w:rPr>
          <w:rFonts w:ascii="Calibri" w:hAnsi="Calibri"/>
          <w:b/>
          <w:i w:val="0"/>
          <w:color w:val="2C3A63"/>
          <w:sz w:val="30"/>
        </w:rPr>
        <w:t>10. Auditoría de cifras</w:t>
      </w:r>
    </w:p>
    <w:tbl>
      <w:tblPr>
        <w:tblStyle w:val="LightGrid-Accent1"/>
        <w:tblW w:type="auto" w:w="0"/>
        <w:tblLook w:firstColumn="1" w:firstRow="1" w:lastColumn="0" w:lastRow="0" w:noHBand="0" w:noVBand="1" w:val="04A0"/>
      </w:tblPr>
      <w:tblGrid>
        <w:gridCol w:w="696"/>
        <w:gridCol w:w="696"/>
        <w:gridCol w:w="696"/>
        <w:gridCol w:w="696"/>
        <w:gridCol w:w="696"/>
        <w:gridCol w:w="696"/>
        <w:gridCol w:w="696"/>
        <w:gridCol w:w="696"/>
        <w:gridCol w:w="696"/>
        <w:gridCol w:w="696"/>
        <w:gridCol w:w="696"/>
        <w:gridCol w:w="696"/>
        <w:gridCol w:w="696"/>
        <w:gridCol w:w="696"/>
      </w:tblGrid>
      <w:tr>
        <w:tc>
          <w:tcPr>
            <w:tcW w:type="dxa" w:w="696"/>
          </w:tcPr>
          <w:p>
            <w:r>
              <w:rPr>
                <w:b/>
                <w:color w:val="2C3A63"/>
              </w:rPr>
            </w:r>
            <w:r>
              <w:rPr>
                <w:rFonts w:ascii="Calibri" w:hAnsi="Calibri"/>
                <w:b/>
                <w:i w:val="0"/>
                <w:color w:val="2C3A63"/>
                <w:sz w:val="18"/>
              </w:rPr>
              <w:t>Métrica</w:t>
            </w:r>
          </w:p>
        </w:tc>
        <w:tc>
          <w:tcPr>
            <w:tcW w:type="dxa" w:w="696"/>
          </w:tcPr>
          <w:p>
            <w:r>
              <w:rPr>
                <w:b/>
                <w:color w:val="2C3A63"/>
              </w:rPr>
            </w:r>
            <w:r>
              <w:rPr>
                <w:rFonts w:ascii="Calibri" w:hAnsi="Calibri"/>
                <w:b/>
                <w:i w:val="0"/>
                <w:color w:val="2C3A63"/>
                <w:sz w:val="18"/>
              </w:rPr>
              <w:t>Valor</w:t>
            </w:r>
          </w:p>
        </w:tc>
        <w:tc>
          <w:tcPr>
            <w:tcW w:type="dxa" w:w="696"/>
          </w:tcPr>
          <w:p>
            <w:r>
              <w:rPr>
                <w:b/>
                <w:color w:val="2C3A63"/>
              </w:rPr>
            </w:r>
            <w:r>
              <w:rPr>
                <w:rFonts w:ascii="Calibri" w:hAnsi="Calibri"/>
                <w:b/>
                <w:i w:val="0"/>
                <w:color w:val="2C3A63"/>
                <w:sz w:val="18"/>
              </w:rPr>
              <w:t>Unidad</w:t>
            </w:r>
          </w:p>
        </w:tc>
        <w:tc>
          <w:tcPr>
            <w:tcW w:type="dxa" w:w="696"/>
          </w:tcPr>
          <w:p>
            <w:r>
              <w:rPr>
                <w:b/>
                <w:color w:val="2C3A63"/>
              </w:rPr>
            </w:r>
            <w:r>
              <w:rPr>
                <w:rFonts w:ascii="Calibri" w:hAnsi="Calibri"/>
                <w:b/>
                <w:i w:val="0"/>
                <w:color w:val="2C3A63"/>
                <w:sz w:val="18"/>
              </w:rPr>
              <w:t>Periodo</w:t>
            </w:r>
          </w:p>
        </w:tc>
        <w:tc>
          <w:tcPr>
            <w:tcW w:type="dxa" w:w="696"/>
          </w:tcPr>
          <w:p>
            <w:r>
              <w:rPr>
                <w:b/>
                <w:color w:val="2C3A63"/>
              </w:rPr>
            </w:r>
            <w:r>
              <w:rPr>
                <w:rFonts w:ascii="Calibri" w:hAnsi="Calibri"/>
                <w:b/>
                <w:i w:val="0"/>
                <w:color w:val="2C3A63"/>
                <w:sz w:val="18"/>
              </w:rPr>
              <w:t>Fuente/Doc</w:t>
            </w:r>
          </w:p>
        </w:tc>
        <w:tc>
          <w:tcPr>
            <w:tcW w:type="dxa" w:w="696"/>
          </w:tcPr>
          <w:p>
            <w:r>
              <w:rPr>
                <w:b/>
                <w:color w:val="2C3A63"/>
              </w:rPr>
            </w:r>
            <w:r>
              <w:rPr>
                <w:rFonts w:ascii="Calibri" w:hAnsi="Calibri"/>
                <w:b/>
                <w:i w:val="0"/>
                <w:color w:val="2C3A63"/>
                <w:sz w:val="18"/>
              </w:rPr>
              <w:t>Página/sección</w:t>
            </w:r>
          </w:p>
        </w:tc>
        <w:tc>
          <w:tcPr>
            <w:tcW w:type="dxa" w:w="696"/>
          </w:tcPr>
          <w:p>
            <w:r>
              <w:rPr>
                <w:b/>
                <w:color w:val="2C3A63"/>
              </w:rPr>
            </w:r>
            <w:r>
              <w:rPr>
                <w:rFonts w:ascii="Calibri" w:hAnsi="Calibri"/>
                <w:b/>
                <w:i w:val="0"/>
                <w:color w:val="2C3A63"/>
                <w:sz w:val="18"/>
              </w:rPr>
              <w:t>Método de cálculo</w:t>
            </w:r>
          </w:p>
        </w:tc>
        <w:tc>
          <w:tcPr>
            <w:tcW w:type="dxa" w:w="696"/>
          </w:tcPr>
          <w:p>
            <w:r>
              <w:rPr>
                <w:b/>
                <w:color w:val="2C3A63"/>
              </w:rPr>
            </w:r>
            <w:r>
              <w:rPr>
                <w:rFonts w:ascii="Calibri" w:hAnsi="Calibri"/>
                <w:b/>
                <w:i w:val="0"/>
                <w:color w:val="2C3A63"/>
                <w:sz w:val="18"/>
              </w:rPr>
              <w:t>Respaldo</w:t>
            </w:r>
          </w:p>
        </w:tc>
        <w:tc>
          <w:tcPr>
            <w:tcW w:type="dxa" w:w="696"/>
          </w:tcPr>
          <w:p>
            <w:r>
              <w:rPr>
                <w:b/>
                <w:color w:val="2C3A63"/>
              </w:rPr>
            </w:r>
            <w:r>
              <w:rPr>
                <w:rFonts w:ascii="Calibri" w:hAnsi="Calibri"/>
                <w:b/>
                <w:i w:val="0"/>
                <w:color w:val="2C3A63"/>
                <w:sz w:val="18"/>
              </w:rPr>
              <w:t>Confiabilidad</w:t>
            </w:r>
          </w:p>
        </w:tc>
        <w:tc>
          <w:tcPr>
            <w:tcW w:type="dxa" w:w="696"/>
          </w:tcPr>
          <w:p>
            <w:r>
              <w:rPr>
                <w:b/>
                <w:color w:val="2C3A63"/>
              </w:rPr>
            </w:r>
            <w:r>
              <w:rPr>
                <w:rFonts w:ascii="Calibri" w:hAnsi="Calibri"/>
                <w:b/>
                <w:i w:val="0"/>
                <w:color w:val="2C3A63"/>
                <w:sz w:val="18"/>
              </w:rPr>
              <w:t>Cifra comparable</w:t>
            </w:r>
          </w:p>
        </w:tc>
        <w:tc>
          <w:tcPr>
            <w:tcW w:type="dxa" w:w="696"/>
          </w:tcPr>
          <w:p>
            <w:r>
              <w:rPr>
                <w:b/>
                <w:color w:val="2C3A63"/>
              </w:rPr>
            </w:r>
            <w:r>
              <w:rPr>
                <w:rFonts w:ascii="Calibri" w:hAnsi="Calibri"/>
                <w:b/>
                <w:i w:val="0"/>
                <w:color w:val="2C3A63"/>
                <w:sz w:val="18"/>
              </w:rPr>
              <w:t>Dif. absoluta</w:t>
            </w:r>
          </w:p>
        </w:tc>
        <w:tc>
          <w:tcPr>
            <w:tcW w:type="dxa" w:w="696"/>
          </w:tcPr>
          <w:p>
            <w:r>
              <w:rPr>
                <w:b/>
                <w:color w:val="2C3A63"/>
              </w:rPr>
            </w:r>
            <w:r>
              <w:rPr>
                <w:rFonts w:ascii="Calibri" w:hAnsi="Calibri"/>
                <w:b/>
                <w:i w:val="0"/>
                <w:color w:val="2C3A63"/>
                <w:sz w:val="18"/>
              </w:rPr>
              <w:t>Dif. %</w:t>
            </w:r>
          </w:p>
        </w:tc>
        <w:tc>
          <w:tcPr>
            <w:tcW w:type="dxa" w:w="696"/>
          </w:tcPr>
          <w:p>
            <w:r>
              <w:rPr>
                <w:b/>
                <w:color w:val="2C3A63"/>
              </w:rPr>
            </w:r>
            <w:r>
              <w:rPr>
                <w:rFonts w:ascii="Calibri" w:hAnsi="Calibri"/>
                <w:b/>
                <w:i w:val="0"/>
                <w:color w:val="2C3A63"/>
                <w:sz w:val="18"/>
              </w:rPr>
              <w:t>Explicación probable</w:t>
            </w:r>
          </w:p>
        </w:tc>
        <w:tc>
          <w:tcPr>
            <w:tcW w:type="dxa" w:w="696"/>
          </w:tcPr>
          <w:p>
            <w:r>
              <w:rPr>
                <w:b/>
                <w:color w:val="2C3A63"/>
              </w:rPr>
            </w:r>
            <w:r>
              <w:rPr>
                <w:rFonts w:ascii="Calibri" w:hAnsi="Calibri"/>
                <w:b/>
                <w:i w:val="0"/>
                <w:color w:val="2C3A63"/>
                <w:sz w:val="18"/>
              </w:rPr>
              <w:t>Veredicto</w:t>
            </w:r>
          </w:p>
        </w:tc>
      </w:tr>
      <w:tr>
        <w:tc>
          <w:tcPr>
            <w:tcW w:type="dxa" w:w="696"/>
          </w:tcPr>
          <w:p>
            <w:r/>
            <w:r>
              <w:rPr>
                <w:rFonts w:ascii="Calibri" w:hAnsi="Calibri"/>
                <w:b w:val="0"/>
                <w:i w:val="0"/>
                <w:color w:val="1A1E17"/>
                <w:sz w:val="18"/>
              </w:rPr>
              <w:t>Gasto "Diagnósticos Gratuitos"</w:t>
            </w:r>
          </w:p>
        </w:tc>
        <w:tc>
          <w:tcPr>
            <w:tcW w:type="dxa" w:w="696"/>
          </w:tcPr>
          <w:p>
            <w:r/>
            <w:r>
              <w:rPr>
                <w:rFonts w:ascii="Calibri" w:hAnsi="Calibri"/>
                <w:b w:val="0"/>
                <w:i w:val="0"/>
                <w:color w:val="1A1E17"/>
                <w:sz w:val="18"/>
              </w:rPr>
              <w:t>5.338.077</w:t>
            </w:r>
          </w:p>
        </w:tc>
        <w:tc>
          <w:tcPr>
            <w:tcW w:type="dxa" w:w="696"/>
          </w:tcPr>
          <w:p>
            <w:r/>
            <w:r>
              <w:rPr>
                <w:rFonts w:ascii="Calibri" w:hAnsi="Calibri"/>
                <w:b w:val="0"/>
                <w:i w:val="0"/>
                <w:color w:val="1A1E17"/>
                <w:sz w:val="18"/>
              </w:rPr>
              <w:t>CLP</w:t>
            </w:r>
          </w:p>
        </w:tc>
        <w:tc>
          <w:tcPr>
            <w:tcW w:type="dxa" w:w="696"/>
          </w:tcPr>
          <w:p>
            <w:r/>
            <w:r>
              <w:rPr>
                <w:rFonts w:ascii="Calibri" w:hAnsi="Calibri"/>
                <w:b w:val="0"/>
                <w:i w:val="0"/>
                <w:color w:val="1A1E17"/>
                <w:sz w:val="18"/>
              </w:rPr>
              <w:t>Hasta 17/18-08-2026</w:t>
            </w:r>
          </w:p>
        </w:tc>
        <w:tc>
          <w:tcPr>
            <w:tcW w:type="dxa" w:w="696"/>
          </w:tcPr>
          <w:p>
            <w:r/>
            <w:r>
              <w:rPr>
                <w:rFonts w:ascii="Calibri" w:hAnsi="Calibri"/>
                <w:b w:val="0"/>
                <w:i w:val="0"/>
                <w:color w:val="1A1E17"/>
                <w:sz w:val="18"/>
              </w:rPr>
              <w:t>DOC-03</w:t>
            </w:r>
          </w:p>
        </w:tc>
        <w:tc>
          <w:tcPr>
            <w:tcW w:type="dxa" w:w="696"/>
          </w:tcPr>
          <w:p>
            <w:r/>
            <w:r>
              <w:rPr>
                <w:rFonts w:ascii="Calibri" w:hAnsi="Calibri"/>
                <w:b w:val="0"/>
                <w:i w:val="0"/>
                <w:color w:val="1A1E17"/>
                <w:sz w:val="18"/>
              </w:rPr>
              <w:t>Tabla "Estructura de campañas"</w:t>
            </w:r>
          </w:p>
        </w:tc>
        <w:tc>
          <w:tcPr>
            <w:tcW w:type="dxa" w:w="696"/>
          </w:tcPr>
          <w:p>
            <w:r/>
            <w:r>
              <w:rPr>
                <w:rFonts w:ascii="Calibri" w:hAnsi="Calibri"/>
                <w:b w:val="0"/>
                <w:i w:val="0"/>
                <w:color w:val="1A1E17"/>
                <w:sz w:val="18"/>
              </w:rPr>
              <w:t>Extracción directa Meta Ads MCP</w:t>
            </w:r>
          </w:p>
        </w:tc>
        <w:tc>
          <w:tcPr>
            <w:tcW w:type="dxa" w:w="696"/>
          </w:tcPr>
          <w:p>
            <w:r/>
            <w:r>
              <w:rPr>
                <w:rFonts w:ascii="Calibri" w:hAnsi="Calibri"/>
                <w:b w:val="0"/>
                <w:i w:val="0"/>
                <w:color w:val="1A1E17"/>
                <w:sz w:val="18"/>
              </w:rPr>
              <w:t>Sí</w:t>
            </w:r>
          </w:p>
        </w:tc>
        <w:tc>
          <w:tcPr>
            <w:tcW w:type="dxa" w:w="696"/>
          </w:tcPr>
          <w:p>
            <w:r/>
            <w:r>
              <w:rPr>
                <w:rFonts w:ascii="Calibri" w:hAnsi="Calibri"/>
                <w:b w:val="0"/>
                <w:i w:val="0"/>
                <w:color w:val="1A1E17"/>
                <w:sz w:val="18"/>
              </w:rPr>
              <w:t>Alta</w:t>
            </w:r>
          </w:p>
        </w:tc>
        <w:tc>
          <w:tcPr>
            <w:tcW w:type="dxa" w:w="696"/>
          </w:tcPr>
          <w:p>
            <w:r/>
            <w:r>
              <w:rPr>
                <w:rFonts w:ascii="Calibri" w:hAnsi="Calibri"/>
                <w:b w:val="0"/>
                <w:i w:val="0"/>
                <w:color w:val="1A1E17"/>
                <w:sz w:val="18"/>
              </w:rPr>
              <w:t>5.070.552 (DOC-16)</w:t>
            </w:r>
          </w:p>
        </w:tc>
        <w:tc>
          <w:tcPr>
            <w:tcW w:type="dxa" w:w="696"/>
          </w:tcPr>
          <w:p>
            <w:r/>
            <w:r>
              <w:rPr>
                <w:rFonts w:ascii="Calibri" w:hAnsi="Calibri"/>
                <w:b w:val="0"/>
                <w:i w:val="0"/>
                <w:color w:val="1A1E17"/>
                <w:sz w:val="18"/>
              </w:rPr>
              <w:t>267.525</w:t>
            </w:r>
          </w:p>
        </w:tc>
        <w:tc>
          <w:tcPr>
            <w:tcW w:type="dxa" w:w="696"/>
          </w:tcPr>
          <w:p>
            <w:r/>
            <w:r>
              <w:rPr>
                <w:rFonts w:ascii="Calibri" w:hAnsi="Calibri"/>
                <w:b w:val="0"/>
                <w:i w:val="0"/>
                <w:color w:val="1A1E17"/>
                <w:sz w:val="18"/>
              </w:rPr>
              <w:t>5,3%</w:t>
            </w:r>
          </w:p>
        </w:tc>
        <w:tc>
          <w:tcPr>
            <w:tcW w:type="dxa" w:w="696"/>
          </w:tcPr>
          <w:p>
            <w:r/>
            <w:r>
              <w:rPr>
                <w:rFonts w:ascii="Calibri" w:hAnsi="Calibri"/>
                <w:b w:val="0"/>
                <w:i w:val="0"/>
                <w:color w:val="1A1E17"/>
                <w:sz w:val="18"/>
              </w:rPr>
              <w:t>Diferencia temporal de captura (ver sección 9)</w:t>
            </w:r>
          </w:p>
        </w:tc>
        <w:tc>
          <w:tcPr>
            <w:tcW w:type="dxa" w:w="696"/>
          </w:tcPr>
          <w:p>
            <w:r/>
            <w:r>
              <w:rPr>
                <w:rFonts w:ascii="Calibri" w:hAnsi="Calibri"/>
                <w:b w:val="0"/>
                <w:i w:val="0"/>
                <w:color w:val="1A1E17"/>
                <w:sz w:val="18"/>
              </w:rPr>
              <w:t>Metodológicamente distinta</w:t>
            </w:r>
          </w:p>
        </w:tc>
      </w:tr>
      <w:tr>
        <w:tc>
          <w:tcPr>
            <w:tcW w:type="dxa" w:w="696"/>
          </w:tcPr>
          <w:p>
            <w:r/>
            <w:r>
              <w:rPr>
                <w:rFonts w:ascii="Calibri" w:hAnsi="Calibri"/>
                <w:b w:val="0"/>
                <w:i w:val="0"/>
                <w:color w:val="1A1E17"/>
                <w:sz w:val="18"/>
              </w:rPr>
              <w:t>Resultados "Diagnósticos Gratuitos"</w:t>
            </w:r>
          </w:p>
        </w:tc>
        <w:tc>
          <w:tcPr>
            <w:tcW w:type="dxa" w:w="696"/>
          </w:tcPr>
          <w:p>
            <w:r/>
            <w:r>
              <w:rPr>
                <w:rFonts w:ascii="Calibri" w:hAnsi="Calibri"/>
                <w:b w:val="0"/>
                <w:i w:val="0"/>
                <w:color w:val="1A1E17"/>
                <w:sz w:val="18"/>
              </w:rPr>
              <w:t>4.858</w:t>
            </w:r>
          </w:p>
        </w:tc>
        <w:tc>
          <w:tcPr>
            <w:tcW w:type="dxa" w:w="696"/>
          </w:tcPr>
          <w:p>
            <w:r/>
            <w:r>
              <w:rPr>
                <w:rFonts w:ascii="Calibri" w:hAnsi="Calibri"/>
                <w:b w:val="0"/>
                <w:i w:val="0"/>
                <w:color w:val="1A1E17"/>
                <w:sz w:val="18"/>
              </w:rPr>
              <w:t>conversaciones</w:t>
            </w:r>
          </w:p>
        </w:tc>
        <w:tc>
          <w:tcPr>
            <w:tcW w:type="dxa" w:w="696"/>
          </w:tcPr>
          <w:p>
            <w:r/>
            <w:r>
              <w:rPr>
                <w:rFonts w:ascii="Calibri" w:hAnsi="Calibri"/>
                <w:b w:val="0"/>
                <w:i w:val="0"/>
                <w:color w:val="1A1E17"/>
                <w:sz w:val="18"/>
              </w:rPr>
              <w:t>Hasta 17/18-08-2026</w:t>
            </w:r>
          </w:p>
        </w:tc>
        <w:tc>
          <w:tcPr>
            <w:tcW w:type="dxa" w:w="696"/>
          </w:tcPr>
          <w:p>
            <w:r/>
            <w:r>
              <w:rPr>
                <w:rFonts w:ascii="Calibri" w:hAnsi="Calibri"/>
                <w:b w:val="0"/>
                <w:i w:val="0"/>
                <w:color w:val="1A1E17"/>
                <w:sz w:val="18"/>
              </w:rPr>
              <w:t>DOC-03</w:t>
            </w:r>
          </w:p>
        </w:tc>
        <w:tc>
          <w:tcPr>
            <w:tcW w:type="dxa" w:w="696"/>
          </w:tcPr>
          <w:p>
            <w:r/>
            <w:r>
              <w:rPr>
                <w:rFonts w:ascii="Calibri" w:hAnsi="Calibri"/>
                <w:b w:val="0"/>
                <w:i w:val="0"/>
                <w:color w:val="1A1E17"/>
                <w:sz w:val="18"/>
              </w:rPr>
              <w:t>ídem</w:t>
            </w:r>
          </w:p>
        </w:tc>
        <w:tc>
          <w:tcPr>
            <w:tcW w:type="dxa" w:w="696"/>
          </w:tcPr>
          <w:p>
            <w:r/>
            <w:r>
              <w:rPr>
                <w:rFonts w:ascii="Calibri" w:hAnsi="Calibri"/>
                <w:b w:val="0"/>
                <w:i w:val="0"/>
                <w:color w:val="1A1E17"/>
                <w:sz w:val="18"/>
              </w:rPr>
              <w:t>ídem</w:t>
            </w:r>
          </w:p>
        </w:tc>
        <w:tc>
          <w:tcPr>
            <w:tcW w:type="dxa" w:w="696"/>
          </w:tcPr>
          <w:p>
            <w:r/>
            <w:r>
              <w:rPr>
                <w:rFonts w:ascii="Calibri" w:hAnsi="Calibri"/>
                <w:b w:val="0"/>
                <w:i w:val="0"/>
                <w:color w:val="1A1E17"/>
                <w:sz w:val="18"/>
              </w:rPr>
              <w:t>Sí</w:t>
            </w:r>
          </w:p>
        </w:tc>
        <w:tc>
          <w:tcPr>
            <w:tcW w:type="dxa" w:w="696"/>
          </w:tcPr>
          <w:p>
            <w:r/>
            <w:r>
              <w:rPr>
                <w:rFonts w:ascii="Calibri" w:hAnsi="Calibri"/>
                <w:b w:val="0"/>
                <w:i w:val="0"/>
                <w:color w:val="1A1E17"/>
                <w:sz w:val="18"/>
              </w:rPr>
              <w:t>Alta</w:t>
            </w:r>
          </w:p>
        </w:tc>
        <w:tc>
          <w:tcPr>
            <w:tcW w:type="dxa" w:w="696"/>
          </w:tcPr>
          <w:p>
            <w:r/>
            <w:r>
              <w:rPr>
                <w:rFonts w:ascii="Calibri" w:hAnsi="Calibri"/>
                <w:b w:val="0"/>
                <w:i w:val="0"/>
                <w:color w:val="1A1E17"/>
                <w:sz w:val="18"/>
              </w:rPr>
              <w:t>4.655 (DOC-16)</w:t>
            </w:r>
          </w:p>
        </w:tc>
        <w:tc>
          <w:tcPr>
            <w:tcW w:type="dxa" w:w="696"/>
          </w:tcPr>
          <w:p>
            <w:r/>
            <w:r>
              <w:rPr>
                <w:rFonts w:ascii="Calibri" w:hAnsi="Calibri"/>
                <w:b w:val="0"/>
                <w:i w:val="0"/>
                <w:color w:val="1A1E17"/>
                <w:sz w:val="18"/>
              </w:rPr>
              <w:t>203</w:t>
            </w:r>
          </w:p>
        </w:tc>
        <w:tc>
          <w:tcPr>
            <w:tcW w:type="dxa" w:w="696"/>
          </w:tcPr>
          <w:p>
            <w:r/>
            <w:r>
              <w:rPr>
                <w:rFonts w:ascii="Calibri" w:hAnsi="Calibri"/>
                <w:b w:val="0"/>
                <w:i w:val="0"/>
                <w:color w:val="1A1E17"/>
                <w:sz w:val="18"/>
              </w:rPr>
              <w:t>4,4%</w:t>
            </w:r>
          </w:p>
        </w:tc>
        <w:tc>
          <w:tcPr>
            <w:tcW w:type="dxa" w:w="696"/>
          </w:tcPr>
          <w:p>
            <w:r/>
            <w:r>
              <w:rPr>
                <w:rFonts w:ascii="Calibri" w:hAnsi="Calibri"/>
                <w:b w:val="0"/>
                <w:i w:val="0"/>
                <w:color w:val="1A1E17"/>
                <w:sz w:val="18"/>
              </w:rPr>
              <w:t>Diferencia temporal de captura</w:t>
            </w:r>
          </w:p>
        </w:tc>
        <w:tc>
          <w:tcPr>
            <w:tcW w:type="dxa" w:w="696"/>
          </w:tcPr>
          <w:p>
            <w:r/>
            <w:r>
              <w:rPr>
                <w:rFonts w:ascii="Calibri" w:hAnsi="Calibri"/>
                <w:b w:val="0"/>
                <w:i w:val="0"/>
                <w:color w:val="1A1E17"/>
                <w:sz w:val="18"/>
              </w:rPr>
              <w:t>Metodológicamente distinta</w:t>
            </w:r>
          </w:p>
        </w:tc>
      </w:tr>
      <w:tr>
        <w:tc>
          <w:tcPr>
            <w:tcW w:type="dxa" w:w="696"/>
          </w:tcPr>
          <w:p>
            <w:r/>
            <w:r>
              <w:rPr>
                <w:rFonts w:ascii="Calibri" w:hAnsi="Calibri"/>
                <w:b w:val="0"/>
                <w:i w:val="0"/>
                <w:color w:val="1A1E17"/>
                <w:sz w:val="18"/>
              </w:rPr>
              <w:t>Gasto Estrategia CAE Centralizada</w:t>
            </w:r>
          </w:p>
        </w:tc>
        <w:tc>
          <w:tcPr>
            <w:tcW w:type="dxa" w:w="696"/>
          </w:tcPr>
          <w:p>
            <w:r/>
            <w:r>
              <w:rPr>
                <w:rFonts w:ascii="Calibri" w:hAnsi="Calibri"/>
                <w:b w:val="0"/>
                <w:i w:val="0"/>
                <w:color w:val="1A1E17"/>
                <w:sz w:val="18"/>
              </w:rPr>
              <w:t>901.929</w:t>
            </w:r>
          </w:p>
        </w:tc>
        <w:tc>
          <w:tcPr>
            <w:tcW w:type="dxa" w:w="696"/>
          </w:tcPr>
          <w:p>
            <w:r/>
            <w:r>
              <w:rPr>
                <w:rFonts w:ascii="Calibri" w:hAnsi="Calibri"/>
                <w:b w:val="0"/>
                <w:i w:val="0"/>
                <w:color w:val="1A1E17"/>
                <w:sz w:val="18"/>
              </w:rPr>
              <w:t>CLP</w:t>
            </w:r>
          </w:p>
        </w:tc>
        <w:tc>
          <w:tcPr>
            <w:tcW w:type="dxa" w:w="696"/>
          </w:tcPr>
          <w:p>
            <w:r/>
            <w:r>
              <w:rPr>
                <w:rFonts w:ascii="Calibri" w:hAnsi="Calibri"/>
                <w:b w:val="0"/>
                <w:i w:val="0"/>
                <w:color w:val="1A1E17"/>
                <w:sz w:val="18"/>
              </w:rPr>
              <w:t>Histórico, pausada abr-2026</w:t>
            </w:r>
          </w:p>
        </w:tc>
        <w:tc>
          <w:tcPr>
            <w:tcW w:type="dxa" w:w="696"/>
          </w:tcPr>
          <w:p>
            <w:r/>
            <w:r>
              <w:rPr>
                <w:rFonts w:ascii="Calibri" w:hAnsi="Calibri"/>
                <w:b w:val="0"/>
                <w:i w:val="0"/>
                <w:color w:val="1A1E17"/>
                <w:sz w:val="18"/>
              </w:rPr>
              <w:t>DOC-03 y DOC-16</w:t>
            </w:r>
          </w:p>
        </w:tc>
        <w:tc>
          <w:tcPr>
            <w:tcW w:type="dxa" w:w="696"/>
          </w:tcPr>
          <w:p>
            <w:r/>
            <w:r>
              <w:rPr>
                <w:rFonts w:ascii="Calibri" w:hAnsi="Calibri"/>
                <w:b w:val="0"/>
                <w:i w:val="0"/>
                <w:color w:val="1A1E17"/>
                <w:sz w:val="18"/>
              </w:rPr>
              <w:t>Tablas de campañas</w:t>
            </w:r>
          </w:p>
        </w:tc>
        <w:tc>
          <w:tcPr>
            <w:tcW w:type="dxa" w:w="696"/>
          </w:tcPr>
          <w:p>
            <w:r/>
            <w:r>
              <w:rPr>
                <w:rFonts w:ascii="Calibri" w:hAnsi="Calibri"/>
                <w:b w:val="0"/>
                <w:i w:val="0"/>
                <w:color w:val="1A1E17"/>
                <w:sz w:val="18"/>
              </w:rPr>
              <w:t>Extracción directa Meta Ads</w:t>
            </w:r>
          </w:p>
        </w:tc>
        <w:tc>
          <w:tcPr>
            <w:tcW w:type="dxa" w:w="696"/>
          </w:tcPr>
          <w:p>
            <w:r/>
            <w:r>
              <w:rPr>
                <w:rFonts w:ascii="Calibri" w:hAnsi="Calibri"/>
                <w:b w:val="0"/>
                <w:i w:val="0"/>
                <w:color w:val="1A1E17"/>
                <w:sz w:val="18"/>
              </w:rPr>
              <w:t>Sí, ambas fuentes</w:t>
            </w:r>
          </w:p>
        </w:tc>
        <w:tc>
          <w:tcPr>
            <w:tcW w:type="dxa" w:w="696"/>
          </w:tcPr>
          <w:p>
            <w:r/>
            <w:r>
              <w:rPr>
                <w:rFonts w:ascii="Calibri" w:hAnsi="Calibri"/>
                <w:b w:val="0"/>
                <w:i w:val="0"/>
                <w:color w:val="1A1E17"/>
                <w:sz w:val="18"/>
              </w:rPr>
              <w:t>Alta</w:t>
            </w:r>
          </w:p>
        </w:tc>
        <w:tc>
          <w:tcPr>
            <w:tcW w:type="dxa" w:w="696"/>
          </w:tcPr>
          <w:p>
            <w:r/>
            <w:r>
              <w:rPr>
                <w:rFonts w:ascii="Calibri" w:hAnsi="Calibri"/>
                <w:b w:val="0"/>
                <w:i w:val="0"/>
                <w:color w:val="1A1E17"/>
                <w:sz w:val="18"/>
              </w:rPr>
              <w:t>Idéntica en ambas fuentes</w:t>
            </w:r>
          </w:p>
        </w:tc>
        <w:tc>
          <w:tcPr>
            <w:tcW w:type="dxa" w:w="696"/>
          </w:tcPr>
          <w:p>
            <w:r/>
            <w:r>
              <w:rPr>
                <w:rFonts w:ascii="Calibri" w:hAnsi="Calibri"/>
                <w:b w:val="0"/>
                <w:i w:val="0"/>
                <w:color w:val="1A1E17"/>
                <w:sz w:val="18"/>
              </w:rPr>
              <w:t>0</w:t>
            </w:r>
          </w:p>
        </w:tc>
        <w:tc>
          <w:tcPr>
            <w:tcW w:type="dxa" w:w="696"/>
          </w:tcPr>
          <w:p>
            <w:r/>
            <w:r>
              <w:rPr>
                <w:rFonts w:ascii="Calibri" w:hAnsi="Calibri"/>
                <w:b w:val="0"/>
                <w:i w:val="0"/>
                <w:color w:val="1A1E17"/>
                <w:sz w:val="18"/>
              </w:rPr>
              <w:t>0%</w:t>
            </w:r>
          </w:p>
        </w:tc>
        <w:tc>
          <w:tcPr>
            <w:tcW w:type="dxa" w:w="696"/>
          </w:tcPr>
          <w:p>
            <w:r/>
            <w:r>
              <w:rPr>
                <w:rFonts w:ascii="Calibri" w:hAnsi="Calibri"/>
                <w:b w:val="0"/>
                <w:i w:val="0"/>
                <w:color w:val="1A1E17"/>
                <w:sz w:val="18"/>
              </w:rPr>
              <w:t>Campaña pausada, cifra estable en el tiempo — corroboración cruzada fuerte</w:t>
            </w:r>
          </w:p>
        </w:tc>
        <w:tc>
          <w:tcPr>
            <w:tcW w:type="dxa" w:w="696"/>
          </w:tcPr>
          <w:p>
            <w:r/>
            <w:r>
              <w:rPr>
                <w:rFonts w:ascii="Calibri" w:hAnsi="Calibri"/>
                <w:b w:val="0"/>
                <w:i w:val="0"/>
                <w:color w:val="1A1E17"/>
                <w:sz w:val="18"/>
              </w:rPr>
              <w:t>Respaldada</w:t>
            </w:r>
          </w:p>
        </w:tc>
      </w:tr>
      <w:tr>
        <w:tc>
          <w:tcPr>
            <w:tcW w:type="dxa" w:w="696"/>
          </w:tcPr>
          <w:p>
            <w:r/>
            <w:r>
              <w:rPr>
                <w:rFonts w:ascii="Calibri" w:hAnsi="Calibri"/>
                <w:b w:val="0"/>
                <w:i w:val="0"/>
                <w:color w:val="1A1E17"/>
                <w:sz w:val="18"/>
              </w:rPr>
              <w:t>Gasto Prescripción CAE y Defensa CAE</w:t>
            </w:r>
          </w:p>
        </w:tc>
        <w:tc>
          <w:tcPr>
            <w:tcW w:type="dxa" w:w="696"/>
          </w:tcPr>
          <w:p>
            <w:r/>
            <w:r>
              <w:rPr>
                <w:rFonts w:ascii="Calibri" w:hAnsi="Calibri"/>
                <w:b w:val="0"/>
                <w:i w:val="0"/>
                <w:color w:val="1A1E17"/>
                <w:sz w:val="18"/>
              </w:rPr>
              <w:t>50.000 c/u</w:t>
            </w:r>
          </w:p>
        </w:tc>
        <w:tc>
          <w:tcPr>
            <w:tcW w:type="dxa" w:w="696"/>
          </w:tcPr>
          <w:p>
            <w:r/>
            <w:r>
              <w:rPr>
                <w:rFonts w:ascii="Calibri" w:hAnsi="Calibri"/>
                <w:b w:val="0"/>
                <w:i w:val="0"/>
                <w:color w:val="1A1E17"/>
                <w:sz w:val="18"/>
              </w:rPr>
              <w:t>CLP</w:t>
            </w:r>
          </w:p>
        </w:tc>
        <w:tc>
          <w:tcPr>
            <w:tcW w:type="dxa" w:w="696"/>
          </w:tcPr>
          <w:p>
            <w:r/>
            <w:r>
              <w:rPr>
                <w:rFonts w:ascii="Calibri" w:hAnsi="Calibri"/>
                <w:b w:val="0"/>
                <w:i w:val="0"/>
                <w:color w:val="1A1E17"/>
                <w:sz w:val="18"/>
              </w:rPr>
              <w:t>Histórico, pausada abr-2026</w:t>
            </w:r>
          </w:p>
        </w:tc>
        <w:tc>
          <w:tcPr>
            <w:tcW w:type="dxa" w:w="696"/>
          </w:tcPr>
          <w:p>
            <w:r/>
            <w:r>
              <w:rPr>
                <w:rFonts w:ascii="Calibri" w:hAnsi="Calibri"/>
                <w:b w:val="0"/>
                <w:i w:val="0"/>
                <w:color w:val="1A1E17"/>
                <w:sz w:val="18"/>
              </w:rPr>
              <w:t>DOC-03 y DOC-16</w:t>
            </w:r>
          </w:p>
        </w:tc>
        <w:tc>
          <w:tcPr>
            <w:tcW w:type="dxa" w:w="696"/>
          </w:tcPr>
          <w:p>
            <w:r/>
            <w:r>
              <w:rPr>
                <w:rFonts w:ascii="Calibri" w:hAnsi="Calibri"/>
                <w:b w:val="0"/>
                <w:i w:val="0"/>
                <w:color w:val="1A1E17"/>
                <w:sz w:val="18"/>
              </w:rPr>
              <w:t>ídem</w:t>
            </w:r>
          </w:p>
        </w:tc>
        <w:tc>
          <w:tcPr>
            <w:tcW w:type="dxa" w:w="696"/>
          </w:tcPr>
          <w:p>
            <w:r/>
            <w:r>
              <w:rPr>
                <w:rFonts w:ascii="Calibri" w:hAnsi="Calibri"/>
                <w:b w:val="0"/>
                <w:i w:val="0"/>
                <w:color w:val="1A1E17"/>
                <w:sz w:val="18"/>
              </w:rPr>
              <w:t>ídem</w:t>
            </w:r>
          </w:p>
        </w:tc>
        <w:tc>
          <w:tcPr>
            <w:tcW w:type="dxa" w:w="696"/>
          </w:tcPr>
          <w:p>
            <w:r/>
            <w:r>
              <w:rPr>
                <w:rFonts w:ascii="Calibri" w:hAnsi="Calibri"/>
                <w:b w:val="0"/>
                <w:i w:val="0"/>
                <w:color w:val="1A1E17"/>
                <w:sz w:val="18"/>
              </w:rPr>
              <w:t>Sí, ambas fuentes</w:t>
            </w:r>
          </w:p>
        </w:tc>
        <w:tc>
          <w:tcPr>
            <w:tcW w:type="dxa" w:w="696"/>
          </w:tcPr>
          <w:p>
            <w:r/>
            <w:r>
              <w:rPr>
                <w:rFonts w:ascii="Calibri" w:hAnsi="Calibri"/>
                <w:b w:val="0"/>
                <w:i w:val="0"/>
                <w:color w:val="1A1E17"/>
                <w:sz w:val="18"/>
              </w:rPr>
              <w:t>Alta</w:t>
            </w:r>
          </w:p>
        </w:tc>
        <w:tc>
          <w:tcPr>
            <w:tcW w:type="dxa" w:w="696"/>
          </w:tcPr>
          <w:p>
            <w:r/>
            <w:r>
              <w:rPr>
                <w:rFonts w:ascii="Calibri" w:hAnsi="Calibri"/>
                <w:b w:val="0"/>
                <w:i w:val="0"/>
                <w:color w:val="1A1E17"/>
                <w:sz w:val="18"/>
              </w:rPr>
              <w:t>Idéntica en ambas fuentes</w:t>
            </w:r>
          </w:p>
        </w:tc>
        <w:tc>
          <w:tcPr>
            <w:tcW w:type="dxa" w:w="696"/>
          </w:tcPr>
          <w:p>
            <w:r/>
            <w:r>
              <w:rPr>
                <w:rFonts w:ascii="Calibri" w:hAnsi="Calibri"/>
                <w:b w:val="0"/>
                <w:i w:val="0"/>
                <w:color w:val="1A1E17"/>
                <w:sz w:val="18"/>
              </w:rPr>
              <w:t>0</w:t>
            </w:r>
          </w:p>
        </w:tc>
        <w:tc>
          <w:tcPr>
            <w:tcW w:type="dxa" w:w="696"/>
          </w:tcPr>
          <w:p>
            <w:r/>
            <w:r>
              <w:rPr>
                <w:rFonts w:ascii="Calibri" w:hAnsi="Calibri"/>
                <w:b w:val="0"/>
                <w:i w:val="0"/>
                <w:color w:val="1A1E17"/>
                <w:sz w:val="18"/>
              </w:rPr>
              <w:t>0%</w:t>
            </w:r>
          </w:p>
        </w:tc>
        <w:tc>
          <w:tcPr>
            <w:tcW w:type="dxa" w:w="696"/>
          </w:tcPr>
          <w:p>
            <w:r/>
            <w:r>
              <w:rPr>
                <w:rFonts w:ascii="Calibri" w:hAnsi="Calibri"/>
                <w:b w:val="0"/>
                <w:i w:val="0"/>
                <w:color w:val="1A1E17"/>
                <w:sz w:val="18"/>
              </w:rPr>
              <w:t>Corroboración cruzada fuerte</w:t>
            </w:r>
          </w:p>
        </w:tc>
        <w:tc>
          <w:tcPr>
            <w:tcW w:type="dxa" w:w="696"/>
          </w:tcPr>
          <w:p>
            <w:r/>
            <w:r>
              <w:rPr>
                <w:rFonts w:ascii="Calibri" w:hAnsi="Calibri"/>
                <w:b w:val="0"/>
                <w:i w:val="0"/>
                <w:color w:val="1A1E17"/>
                <w:sz w:val="18"/>
              </w:rPr>
              <w:t>Respaldada</w:t>
            </w:r>
          </w:p>
        </w:tc>
      </w:tr>
      <w:tr>
        <w:tc>
          <w:tcPr>
            <w:tcW w:type="dxa" w:w="696"/>
          </w:tcPr>
          <w:p>
            <w:r/>
            <w:r>
              <w:rPr>
                <w:rFonts w:ascii="Calibri" w:hAnsi="Calibri"/>
                <w:b w:val="0"/>
                <w:i w:val="0"/>
                <w:color w:val="1A1E17"/>
                <w:sz w:val="18"/>
              </w:rPr>
              <w:t>Inversión histórica total Meta</w:t>
            </w:r>
          </w:p>
        </w:tc>
        <w:tc>
          <w:tcPr>
            <w:tcW w:type="dxa" w:w="696"/>
          </w:tcPr>
          <w:p>
            <w:r/>
            <w:r>
              <w:rPr>
                <w:rFonts w:ascii="Calibri" w:hAnsi="Calibri"/>
                <w:b w:val="0"/>
                <w:i w:val="0"/>
                <w:color w:val="1A1E17"/>
                <w:sz w:val="18"/>
              </w:rPr>
              <w:t>6.138.657</w:t>
            </w:r>
          </w:p>
        </w:tc>
        <w:tc>
          <w:tcPr>
            <w:tcW w:type="dxa" w:w="696"/>
          </w:tcPr>
          <w:p>
            <w:r/>
            <w:r>
              <w:rPr>
                <w:rFonts w:ascii="Calibri" w:hAnsi="Calibri"/>
                <w:b w:val="0"/>
                <w:i w:val="0"/>
                <w:color w:val="1A1E17"/>
                <w:sz w:val="18"/>
              </w:rPr>
              <w:t>CLP</w:t>
            </w:r>
          </w:p>
        </w:tc>
        <w:tc>
          <w:tcPr>
            <w:tcW w:type="dxa" w:w="696"/>
          </w:tcPr>
          <w:p>
            <w:r/>
            <w:r>
              <w:rPr>
                <w:rFonts w:ascii="Calibri" w:hAnsi="Calibri"/>
                <w:b w:val="0"/>
                <w:i w:val="0"/>
                <w:color w:val="1A1E17"/>
                <w:sz w:val="18"/>
              </w:rPr>
              <w:t>jun-2023–jul-2026</w:t>
            </w:r>
          </w:p>
        </w:tc>
        <w:tc>
          <w:tcPr>
            <w:tcW w:type="dxa" w:w="696"/>
          </w:tcPr>
          <w:p>
            <w:r/>
            <w:r>
              <w:rPr>
                <w:rFonts w:ascii="Calibri" w:hAnsi="Calibri"/>
                <w:b w:val="0"/>
                <w:i w:val="0"/>
                <w:color w:val="1A1E17"/>
                <w:sz w:val="18"/>
              </w:rPr>
              <w:t>DOC-16</w:t>
            </w:r>
          </w:p>
        </w:tc>
        <w:tc>
          <w:tcPr>
            <w:tcW w:type="dxa" w:w="696"/>
          </w:tcPr>
          <w:p>
            <w:r/>
            <w:r>
              <w:rPr>
                <w:rFonts w:ascii="Calibri" w:hAnsi="Calibri"/>
                <w:b w:val="0"/>
                <w:i w:val="0"/>
                <w:color w:val="1A1E17"/>
                <w:sz w:val="18"/>
              </w:rPr>
              <w:t>Sección 6</w:t>
            </w:r>
          </w:p>
        </w:tc>
        <w:tc>
          <w:tcPr>
            <w:tcW w:type="dxa" w:w="696"/>
          </w:tcPr>
          <w:p>
            <w:r/>
            <w:r>
              <w:rPr>
                <w:rFonts w:ascii="Calibri" w:hAnsi="Calibri"/>
                <w:b w:val="0"/>
                <w:i w:val="0"/>
                <w:color w:val="1A1E17"/>
                <w:sz w:val="18"/>
              </w:rPr>
              <w:t>Suma declarada por la agencia</w:t>
            </w:r>
          </w:p>
        </w:tc>
        <w:tc>
          <w:tcPr>
            <w:tcW w:type="dxa" w:w="696"/>
          </w:tcPr>
          <w:p>
            <w:r/>
            <w:r>
              <w:rPr>
                <w:rFonts w:ascii="Calibri" w:hAnsi="Calibri"/>
                <w:b w:val="0"/>
                <w:i w:val="0"/>
                <w:color w:val="1A1E17"/>
                <w:sz w:val="18"/>
              </w:rPr>
              <w:t>Parcial</w:t>
            </w:r>
          </w:p>
        </w:tc>
        <w:tc>
          <w:tcPr>
            <w:tcW w:type="dxa" w:w="696"/>
          </w:tcPr>
          <w:p>
            <w:r/>
            <w:r>
              <w:rPr>
                <w:rFonts w:ascii="Calibri" w:hAnsi="Calibri"/>
                <w:b w:val="0"/>
                <w:i w:val="0"/>
                <w:color w:val="1A1E17"/>
                <w:sz w:val="18"/>
              </w:rPr>
              <w:t>Media</w:t>
            </w:r>
          </w:p>
        </w:tc>
        <w:tc>
          <w:tcPr>
            <w:tcW w:type="dxa" w:w="696"/>
          </w:tcPr>
          <w:p>
            <w:r/>
            <w:r>
              <w:rPr>
                <w:rFonts w:ascii="Calibri" w:hAnsi="Calibri"/>
                <w:b w:val="0"/>
                <w:i w:val="0"/>
                <w:color w:val="1A1E17"/>
                <w:sz w:val="18"/>
              </w:rPr>
              <w:t>No hay total explícito en DOC-03 para contrastar; suma manual de las filas de DOC-03 da ~6.406.027</w:t>
            </w:r>
          </w:p>
        </w:tc>
        <w:tc>
          <w:tcPr>
            <w:tcW w:type="dxa" w:w="696"/>
          </w:tcPr>
          <w:p>
            <w:r/>
            <w:r>
              <w:rPr>
                <w:rFonts w:ascii="Calibri" w:hAnsi="Calibri"/>
                <w:b w:val="0"/>
                <w:i w:val="0"/>
                <w:color w:val="1A1E17"/>
                <w:sz w:val="18"/>
              </w:rPr>
              <w:t>~267.370</w:t>
            </w:r>
          </w:p>
        </w:tc>
        <w:tc>
          <w:tcPr>
            <w:tcW w:type="dxa" w:w="696"/>
          </w:tcPr>
          <w:p>
            <w:r/>
            <w:r>
              <w:rPr>
                <w:rFonts w:ascii="Calibri" w:hAnsi="Calibri"/>
                <w:b w:val="0"/>
                <w:i w:val="0"/>
                <w:color w:val="1A1E17"/>
                <w:sz w:val="18"/>
              </w:rPr>
              <w:t>~4,4%</w:t>
            </w:r>
          </w:p>
        </w:tc>
        <w:tc>
          <w:tcPr>
            <w:tcW w:type="dxa" w:w="696"/>
          </w:tcPr>
          <w:p>
            <w:r/>
            <w:r>
              <w:rPr>
                <w:rFonts w:ascii="Calibri" w:hAnsi="Calibri"/>
                <w:b w:val="0"/>
                <w:i w:val="0"/>
                <w:color w:val="1A1E17"/>
                <w:sz w:val="18"/>
              </w:rPr>
              <w:t>Consistente con la diferencia temporal ya identificada (DOC-03 más reciente, más gasto acumulado) + una fila adicional en DOC-16 ("Tráfico - Ley de alivio tributario Archivada", $155) no listada en DOC-03</w:t>
            </w:r>
          </w:p>
        </w:tc>
        <w:tc>
          <w:tcPr>
            <w:tcW w:type="dxa" w:w="696"/>
          </w:tcPr>
          <w:p>
            <w:r/>
            <w:r>
              <w:rPr>
                <w:rFonts w:ascii="Calibri" w:hAnsi="Calibri"/>
                <w:b w:val="0"/>
                <w:i w:val="0"/>
                <w:color w:val="1A1E17"/>
                <w:sz w:val="18"/>
              </w:rPr>
              <w:t>Parcialmente respaldada</w:t>
            </w:r>
          </w:p>
        </w:tc>
      </w:tr>
      <w:tr>
        <w:tc>
          <w:tcPr>
            <w:tcW w:type="dxa" w:w="696"/>
          </w:tcPr>
          <w:p>
            <w:r/>
            <w:r>
              <w:rPr>
                <w:rFonts w:ascii="Calibri" w:hAnsi="Calibri"/>
                <w:b w:val="0"/>
                <w:i w:val="0"/>
                <w:color w:val="1A1E17"/>
                <w:sz w:val="18"/>
              </w:rPr>
              <w:t>Tasa de cierre real de leads</w:t>
            </w:r>
          </w:p>
        </w:tc>
        <w:tc>
          <w:tcPr>
            <w:tcW w:type="dxa" w:w="696"/>
          </w:tcPr>
          <w:p>
            <w:r/>
            <w:r>
              <w:rPr>
                <w:rFonts w:ascii="Calibri" w:hAnsi="Calibri"/>
                <w:b w:val="0"/>
                <w:i w:val="0"/>
                <w:color w:val="1A1E17"/>
                <w:sz w:val="18"/>
              </w:rPr>
              <w:t>2,3%</w:t>
            </w:r>
          </w:p>
        </w:tc>
        <w:tc>
          <w:tcPr>
            <w:tcW w:type="dxa" w:w="696"/>
          </w:tcPr>
          <w:p>
            <w:r/>
            <w:r>
              <w:rPr>
                <w:rFonts w:ascii="Calibri" w:hAnsi="Calibri"/>
                <w:b w:val="0"/>
                <w:i w:val="0"/>
                <w:color w:val="1A1E17"/>
                <w:sz w:val="18"/>
              </w:rPr>
              <w:t>%</w:t>
            </w:r>
          </w:p>
        </w:tc>
        <w:tc>
          <w:tcPr>
            <w:tcW w:type="dxa" w:w="696"/>
          </w:tcPr>
          <w:p>
            <w:r/>
            <w:r>
              <w:rPr>
                <w:rFonts w:ascii="Calibri" w:hAnsi="Calibri"/>
                <w:b w:val="0"/>
                <w:i w:val="0"/>
                <w:color w:val="1A1E17"/>
                <w:sz w:val="18"/>
              </w:rPr>
              <w:t>Histórico Pipedrive</w:t>
            </w:r>
          </w:p>
        </w:tc>
        <w:tc>
          <w:tcPr>
            <w:tcW w:type="dxa" w:w="696"/>
          </w:tcPr>
          <w:p>
            <w:r/>
            <w:r>
              <w:rPr>
                <w:rFonts w:ascii="Calibri" w:hAnsi="Calibri"/>
                <w:b w:val="0"/>
                <w:i w:val="0"/>
                <w:color w:val="1A1E17"/>
                <w:sz w:val="18"/>
              </w:rPr>
              <w:t>DOC-16</w:t>
            </w:r>
          </w:p>
        </w:tc>
        <w:tc>
          <w:tcPr>
            <w:tcW w:type="dxa" w:w="696"/>
          </w:tcPr>
          <w:p>
            <w:r/>
            <w:r>
              <w:rPr>
                <w:rFonts w:ascii="Calibri" w:hAnsi="Calibri"/>
                <w:b w:val="0"/>
                <w:i w:val="0"/>
                <w:color w:val="1A1E17"/>
                <w:sz w:val="18"/>
              </w:rPr>
              <w:t>Sección 3</w:t>
            </w:r>
          </w:p>
        </w:tc>
        <w:tc>
          <w:tcPr>
            <w:tcW w:type="dxa" w:w="696"/>
          </w:tcPr>
          <w:p>
            <w:r/>
            <w:r>
              <w:rPr>
                <w:rFonts w:ascii="Calibri" w:hAnsi="Calibri"/>
                <w:b w:val="0"/>
                <w:i w:val="0"/>
                <w:color w:val="1A1E17"/>
                <w:sz w:val="18"/>
              </w:rPr>
              <w:t>135 ganados / 5.950 tratos totales</w:t>
            </w:r>
          </w:p>
        </w:tc>
        <w:tc>
          <w:tcPr>
            <w:tcW w:type="dxa" w:w="696"/>
          </w:tcPr>
          <w:p>
            <w:r/>
            <w:r>
              <w:rPr>
                <w:rFonts w:ascii="Calibri" w:hAnsi="Calibri"/>
                <w:b w:val="0"/>
                <w:i w:val="0"/>
                <w:color w:val="1A1E17"/>
                <w:sz w:val="18"/>
              </w:rPr>
              <w:t>Sí, con matiz reconocido por el propio cliente (¬70% de "Abiertos" son prospección histórica, no leads reales)</w:t>
            </w:r>
          </w:p>
        </w:tc>
        <w:tc>
          <w:tcPr>
            <w:tcW w:type="dxa" w:w="696"/>
          </w:tcPr>
          <w:p>
            <w:r/>
            <w:r>
              <w:rPr>
                <w:rFonts w:ascii="Calibri" w:hAnsi="Calibri"/>
                <w:b w:val="0"/>
                <w:i w:val="0"/>
                <w:color w:val="1A1E17"/>
                <w:sz w:val="18"/>
              </w:rPr>
              <w:t>Media — la propia agencia señala la limitación</w:t>
            </w:r>
          </w:p>
        </w:tc>
        <w:tc>
          <w:tcPr>
            <w:tcW w:type="dxa" w:w="696"/>
          </w:tcPr>
          <w:p>
            <w:r/>
            <w:r>
              <w:rPr>
                <w:rFonts w:ascii="Calibri" w:hAnsi="Calibri"/>
                <w:b w:val="0"/>
                <w:i w:val="0"/>
                <w:color w:val="1A1E17"/>
                <w:sz w:val="18"/>
              </w:rPr>
              <w:t>Sin cifra comparable en el corpus Claude Code</w:t>
            </w:r>
          </w:p>
        </w:tc>
        <w:tc>
          <w:tcPr>
            <w:tcW w:type="dxa" w:w="696"/>
          </w:tcPr>
          <w:p>
            <w:r/>
            <w:r>
              <w:rPr>
                <w:rFonts w:ascii="Calibri" w:hAnsi="Calibri"/>
                <w:b w:val="0"/>
                <w:i w:val="0"/>
                <w:color w:val="1A1E17"/>
                <w:sz w:val="18"/>
              </w:rPr>
              <w:t>—</w:t>
            </w:r>
          </w:p>
        </w:tc>
        <w:tc>
          <w:tcPr>
            <w:tcW w:type="dxa" w:w="696"/>
          </w:tcPr>
          <w:p>
            <w:r/>
            <w:r>
              <w:rPr>
                <w:rFonts w:ascii="Calibri" w:hAnsi="Calibri"/>
                <w:b w:val="0"/>
                <w:i w:val="0"/>
                <w:color w:val="1A1E17"/>
                <w:sz w:val="18"/>
              </w:rPr>
              <w:t>—</w:t>
            </w:r>
          </w:p>
        </w:tc>
        <w:tc>
          <w:tcPr>
            <w:tcW w:type="dxa" w:w="696"/>
          </w:tcPr>
          <w:p>
            <w:r/>
            <w:r>
              <w:rPr>
                <w:rFonts w:ascii="Calibri" w:hAnsi="Calibri"/>
                <w:b w:val="0"/>
                <w:i w:val="0"/>
                <w:color w:val="1A1E17"/>
                <w:sz w:val="18"/>
              </w:rPr>
              <w:t>Sin fuente Claude Code para contrastar (sin acceso a CRM)</w:t>
            </w:r>
          </w:p>
        </w:tc>
        <w:tc>
          <w:tcPr>
            <w:tcW w:type="dxa" w:w="696"/>
          </w:tcPr>
          <w:p>
            <w:r/>
            <w:r>
              <w:rPr>
                <w:rFonts w:ascii="Calibri" w:hAnsi="Calibri"/>
                <w:b w:val="0"/>
                <w:i w:val="0"/>
                <w:color w:val="1A1E17"/>
                <w:sz w:val="18"/>
              </w:rPr>
              <w:t>No verificable por este corpus (no hay segunda fuente)</w:t>
            </w:r>
          </w:p>
        </w:tc>
      </w:tr>
      <w:tr>
        <w:tc>
          <w:tcPr>
            <w:tcW w:type="dxa" w:w="696"/>
          </w:tcPr>
          <w:p>
            <w:r/>
            <w:r>
              <w:rPr>
                <w:rFonts w:ascii="Calibri" w:hAnsi="Calibri"/>
                <w:b w:val="0"/>
                <w:i w:val="0"/>
                <w:color w:val="1A1E17"/>
                <w:sz w:val="18"/>
              </w:rPr>
              <w:t>Indexación del sitio</w:t>
            </w:r>
          </w:p>
        </w:tc>
        <w:tc>
          <w:tcPr>
            <w:tcW w:type="dxa" w:w="696"/>
          </w:tcPr>
          <w:p>
            <w:r/>
            <w:r>
              <w:rPr>
                <w:rFonts w:ascii="Calibri" w:hAnsi="Calibri"/>
                <w:b w:val="0"/>
                <w:i w:val="0"/>
                <w:color w:val="1A1E17"/>
                <w:sz w:val="18"/>
              </w:rPr>
              <w:t>45%</w:t>
            </w:r>
          </w:p>
        </w:tc>
        <w:tc>
          <w:tcPr>
            <w:tcW w:type="dxa" w:w="696"/>
          </w:tcPr>
          <w:p>
            <w:r/>
            <w:r>
              <w:rPr>
                <w:rFonts w:ascii="Calibri" w:hAnsi="Calibri"/>
                <w:b w:val="0"/>
                <w:i w:val="0"/>
                <w:color w:val="1A1E17"/>
                <w:sz w:val="18"/>
              </w:rPr>
              <w:t>% (56/123 páginas)</w:t>
            </w:r>
          </w:p>
        </w:tc>
        <w:tc>
          <w:tcPr>
            <w:tcW w:type="dxa" w:w="696"/>
          </w:tcPr>
          <w:p>
            <w:r/>
            <w:r>
              <w:rPr>
                <w:rFonts w:ascii="Calibri" w:hAnsi="Calibri"/>
                <w:b w:val="0"/>
                <w:i w:val="0"/>
                <w:color w:val="1A1E17"/>
                <w:sz w:val="18"/>
              </w:rPr>
              <w:t>Al momento de la auditoría (agosto 2026)</w:t>
            </w:r>
          </w:p>
        </w:tc>
        <w:tc>
          <w:tcPr>
            <w:tcW w:type="dxa" w:w="696"/>
          </w:tcPr>
          <w:p>
            <w:r/>
            <w:r>
              <w:rPr>
                <w:rFonts w:ascii="Calibri" w:hAnsi="Calibri"/>
                <w:b w:val="0"/>
                <w:i w:val="0"/>
                <w:color w:val="1A1E17"/>
                <w:sz w:val="18"/>
              </w:rPr>
              <w:t>DOC-16</w:t>
            </w:r>
          </w:p>
        </w:tc>
        <w:tc>
          <w:tcPr>
            <w:tcW w:type="dxa" w:w="696"/>
          </w:tcPr>
          <w:p>
            <w:r/>
            <w:r>
              <w:rPr>
                <w:rFonts w:ascii="Calibri" w:hAnsi="Calibri"/>
                <w:b w:val="0"/>
                <w:i w:val="0"/>
                <w:color w:val="1A1E17"/>
                <w:sz w:val="18"/>
              </w:rPr>
              <w:t>Sección 8</w:t>
            </w:r>
          </w:p>
        </w:tc>
        <w:tc>
          <w:tcPr>
            <w:tcW w:type="dxa" w:w="696"/>
          </w:tcPr>
          <w:p>
            <w:r/>
            <w:r>
              <w:rPr>
                <w:rFonts w:ascii="Calibri" w:hAnsi="Calibri"/>
                <w:b w:val="0"/>
                <w:i w:val="0"/>
                <w:color w:val="1A1E17"/>
                <w:sz w:val="18"/>
              </w:rPr>
              <w:t>Datos de Search Console</w:t>
            </w:r>
          </w:p>
        </w:tc>
        <w:tc>
          <w:tcPr>
            <w:tcW w:type="dxa" w:w="696"/>
          </w:tcPr>
          <w:p>
            <w:r/>
            <w:r>
              <w:rPr>
                <w:rFonts w:ascii="Calibri" w:hAnsi="Calibri"/>
                <w:b w:val="0"/>
                <w:i w:val="0"/>
                <w:color w:val="1A1E17"/>
                <w:sz w:val="18"/>
              </w:rPr>
              <w:t>Sí</w:t>
            </w:r>
          </w:p>
        </w:tc>
        <w:tc>
          <w:tcPr>
            <w:tcW w:type="dxa" w:w="696"/>
          </w:tcPr>
          <w:p>
            <w:r/>
            <w:r>
              <w:rPr>
                <w:rFonts w:ascii="Calibri" w:hAnsi="Calibri"/>
                <w:b w:val="0"/>
                <w:i w:val="0"/>
                <w:color w:val="1A1E17"/>
                <w:sz w:val="18"/>
              </w:rPr>
              <w:t>Alta</w:t>
            </w:r>
          </w:p>
        </w:tc>
        <w:tc>
          <w:tcPr>
            <w:tcW w:type="dxa" w:w="696"/>
          </w:tcPr>
          <w:p>
            <w:r/>
            <w:r>
              <w:rPr>
                <w:rFonts w:ascii="Calibri" w:hAnsi="Calibri"/>
                <w:b w:val="0"/>
                <w:i w:val="0"/>
                <w:color w:val="1A1E17"/>
                <w:sz w:val="18"/>
              </w:rPr>
              <w:t>Sin cifra directamente comparable en DOC-09 (que audita solo 14 URL, no el sitio completo)</w:t>
            </w:r>
          </w:p>
        </w:tc>
        <w:tc>
          <w:tcPr>
            <w:tcW w:type="dxa" w:w="696"/>
          </w:tcPr>
          <w:p>
            <w:r/>
            <w:r>
              <w:rPr>
                <w:rFonts w:ascii="Calibri" w:hAnsi="Calibri"/>
                <w:b w:val="0"/>
                <w:i w:val="0"/>
                <w:color w:val="1A1E17"/>
                <w:sz w:val="18"/>
              </w:rPr>
              <w:t>—</w:t>
            </w:r>
          </w:p>
        </w:tc>
        <w:tc>
          <w:tcPr>
            <w:tcW w:type="dxa" w:w="696"/>
          </w:tcPr>
          <w:p>
            <w:r/>
            <w:r>
              <w:rPr>
                <w:rFonts w:ascii="Calibri" w:hAnsi="Calibri"/>
                <w:b w:val="0"/>
                <w:i w:val="0"/>
                <w:color w:val="1A1E17"/>
                <w:sz w:val="18"/>
              </w:rPr>
              <w:t>—</w:t>
            </w:r>
          </w:p>
        </w:tc>
        <w:tc>
          <w:tcPr>
            <w:tcW w:type="dxa" w:w="696"/>
          </w:tcPr>
          <w:p>
            <w:r/>
            <w:r>
              <w:rPr>
                <w:rFonts w:ascii="Calibri" w:hAnsi="Calibri"/>
                <w:b w:val="0"/>
                <w:i w:val="0"/>
                <w:color w:val="1A1E17"/>
                <w:sz w:val="18"/>
              </w:rPr>
              <w:t>Dato no comparable — universos distintos (14 URL de campaña vs. sitio completo)</w:t>
            </w:r>
          </w:p>
        </w:tc>
        <w:tc>
          <w:tcPr>
            <w:tcW w:type="dxa" w:w="696"/>
          </w:tcPr>
          <w:p>
            <w:r/>
            <w:r>
              <w:rPr>
                <w:rFonts w:ascii="Calibri" w:hAnsi="Calibri"/>
                <w:b w:val="0"/>
                <w:i w:val="0"/>
                <w:color w:val="1A1E17"/>
                <w:sz w:val="18"/>
              </w:rPr>
              <w:t>Respaldada (dato no comparable con el corpus Claude Code, no contradictorio)</w:t>
            </w:r>
          </w:p>
        </w:tc>
      </w:tr>
      <w:tr>
        <w:tc>
          <w:tcPr>
            <w:tcW w:type="dxa" w:w="696"/>
          </w:tcPr>
          <w:p>
            <w:r/>
            <w:r>
              <w:rPr>
                <w:rFonts w:ascii="Calibri" w:hAnsi="Calibri"/>
                <w:b w:val="0"/>
                <w:i w:val="0"/>
                <w:color w:val="1A1E17"/>
                <w:sz w:val="18"/>
              </w:rPr>
              <w:t>Rendimiento Lighthouse promedio (14 URL)</w:t>
            </w:r>
          </w:p>
        </w:tc>
        <w:tc>
          <w:tcPr>
            <w:tcW w:type="dxa" w:w="696"/>
          </w:tcPr>
          <w:p>
            <w:r/>
            <w:r>
              <w:rPr>
                <w:rFonts w:ascii="Calibri" w:hAnsi="Calibri"/>
                <w:b w:val="0"/>
                <w:i w:val="0"/>
                <w:color w:val="1A1E17"/>
                <w:sz w:val="18"/>
              </w:rPr>
              <w:t>75/100</w:t>
            </w:r>
          </w:p>
        </w:tc>
        <w:tc>
          <w:tcPr>
            <w:tcW w:type="dxa" w:w="696"/>
          </w:tcPr>
          <w:p>
            <w:r/>
            <w:r>
              <w:rPr>
                <w:rFonts w:ascii="Calibri" w:hAnsi="Calibri"/>
                <w:b w:val="0"/>
                <w:i w:val="0"/>
                <w:color w:val="1A1E17"/>
                <w:sz w:val="18"/>
              </w:rPr>
              <w:t>puntaje</w:t>
            </w:r>
          </w:p>
        </w:tc>
        <w:tc>
          <w:tcPr>
            <w:tcW w:type="dxa" w:w="696"/>
          </w:tcPr>
          <w:p>
            <w:r/>
            <w:r>
              <w:rPr>
                <w:rFonts w:ascii="Calibri" w:hAnsi="Calibri"/>
                <w:b w:val="0"/>
                <w:i w:val="0"/>
                <w:color w:val="1A1E17"/>
                <w:sz w:val="18"/>
              </w:rPr>
              <w:t>18-08-2026</w:t>
            </w:r>
          </w:p>
        </w:tc>
        <w:tc>
          <w:tcPr>
            <w:tcW w:type="dxa" w:w="696"/>
          </w:tcPr>
          <w:p>
            <w:r/>
            <w:r>
              <w:rPr>
                <w:rFonts w:ascii="Calibri" w:hAnsi="Calibri"/>
                <w:b w:val="0"/>
                <w:i w:val="0"/>
                <w:color w:val="1A1E17"/>
                <w:sz w:val="18"/>
              </w:rPr>
              <w:t>DOC-09</w:t>
            </w:r>
          </w:p>
        </w:tc>
        <w:tc>
          <w:tcPr>
            <w:tcW w:type="dxa" w:w="696"/>
          </w:tcPr>
          <w:p>
            <w:r/>
            <w:r>
              <w:rPr>
                <w:rFonts w:ascii="Calibri" w:hAnsi="Calibri"/>
                <w:b w:val="0"/>
                <w:i w:val="0"/>
                <w:color w:val="1A1E17"/>
                <w:sz w:val="18"/>
              </w:rPr>
              <w:t>Tabla resumen</w:t>
            </w:r>
          </w:p>
        </w:tc>
        <w:tc>
          <w:tcPr>
            <w:tcW w:type="dxa" w:w="696"/>
          </w:tcPr>
          <w:p>
            <w:r/>
            <w:r>
              <w:rPr>
                <w:rFonts w:ascii="Calibri" w:hAnsi="Calibri"/>
                <w:b w:val="0"/>
                <w:i w:val="0"/>
                <w:color w:val="1A1E17"/>
                <w:sz w:val="18"/>
              </w:rPr>
              <w:t>Lighthouse, medición en frío por URL</w:t>
            </w:r>
          </w:p>
        </w:tc>
        <w:tc>
          <w:tcPr>
            <w:tcW w:type="dxa" w:w="696"/>
          </w:tcPr>
          <w:p>
            <w:r/>
            <w:r>
              <w:rPr>
                <w:rFonts w:ascii="Calibri" w:hAnsi="Calibri"/>
                <w:b w:val="0"/>
                <w:i w:val="0"/>
                <w:color w:val="1A1E17"/>
                <w:sz w:val="18"/>
              </w:rPr>
              <w:t>Sí</w:t>
            </w:r>
          </w:p>
        </w:tc>
        <w:tc>
          <w:tcPr>
            <w:tcW w:type="dxa" w:w="696"/>
          </w:tcPr>
          <w:p>
            <w:r/>
            <w:r>
              <w:rPr>
                <w:rFonts w:ascii="Calibri" w:hAnsi="Calibri"/>
                <w:b w:val="0"/>
                <w:i w:val="0"/>
                <w:color w:val="1A1E17"/>
                <w:sz w:val="18"/>
              </w:rPr>
              <w:t>Alta</w:t>
            </w:r>
          </w:p>
        </w:tc>
        <w:tc>
          <w:tcPr>
            <w:tcW w:type="dxa" w:w="696"/>
          </w:tcPr>
          <w:p>
            <w:r/>
            <w:r>
              <w:rPr>
                <w:rFonts w:ascii="Calibri" w:hAnsi="Calibri"/>
                <w:b w:val="0"/>
                <w:i w:val="0"/>
                <w:color w:val="1A1E17"/>
                <w:sz w:val="18"/>
              </w:rPr>
              <w:t>Consistente cualitativamente con "100% de URL móviles necesita mejora" de DOC-16 (Search Console, datos de campo)</w:t>
            </w:r>
          </w:p>
        </w:tc>
        <w:tc>
          <w:tcPr>
            <w:tcW w:type="dxa" w:w="696"/>
          </w:tcPr>
          <w:p>
            <w:r/>
            <w:r>
              <w:rPr>
                <w:rFonts w:ascii="Calibri" w:hAnsi="Calibri"/>
                <w:b w:val="0"/>
                <w:i w:val="0"/>
                <w:color w:val="1A1E17"/>
                <w:sz w:val="18"/>
              </w:rPr>
              <w:t>—</w:t>
            </w:r>
          </w:p>
        </w:tc>
        <w:tc>
          <w:tcPr>
            <w:tcW w:type="dxa" w:w="696"/>
          </w:tcPr>
          <w:p>
            <w:r/>
            <w:r>
              <w:rPr>
                <w:rFonts w:ascii="Calibri" w:hAnsi="Calibri"/>
                <w:b w:val="0"/>
                <w:i w:val="0"/>
                <w:color w:val="1A1E17"/>
                <w:sz w:val="18"/>
              </w:rPr>
              <w:t>—</w:t>
            </w:r>
          </w:p>
        </w:tc>
        <w:tc>
          <w:tcPr>
            <w:tcW w:type="dxa" w:w="696"/>
          </w:tcPr>
          <w:p>
            <w:r/>
            <w:r>
              <w:rPr>
                <w:rFonts w:ascii="Calibri" w:hAnsi="Calibri"/>
                <w:b w:val="0"/>
                <w:i w:val="0"/>
                <w:color w:val="1A1E17"/>
                <w:sz w:val="18"/>
              </w:rPr>
              <w:t>Metodologías distintas (laboratorio vs. campo) mismo diagnóstico direccional</w:t>
            </w:r>
          </w:p>
        </w:tc>
        <w:tc>
          <w:tcPr>
            <w:tcW w:type="dxa" w:w="696"/>
          </w:tcPr>
          <w:p>
            <w:r/>
            <w:r>
              <w:rPr>
                <w:rFonts w:ascii="Calibri" w:hAnsi="Calibri"/>
                <w:b w:val="0"/>
                <w:i w:val="0"/>
                <w:color w:val="1A1E17"/>
                <w:sz w:val="18"/>
              </w:rPr>
              <w:t>Respaldada</w:t>
            </w:r>
          </w:p>
        </w:tc>
      </w:tr>
    </w:tbl>
    <w:p/>
    <w:p>
      <w:pPr>
        <w:spacing w:before="280" w:after="120"/>
      </w:pPr>
      <w:r>
        <w:rPr>
          <w:rFonts w:ascii="Calibri" w:hAnsi="Calibri"/>
          <w:b/>
          <w:i w:val="0"/>
          <w:color w:val="2C3A63"/>
          <w:sz w:val="30"/>
        </w:rPr>
        <w:t>11. Jerarquización de hallazgos</w:t>
      </w:r>
    </w:p>
    <w:p>
      <w:pPr>
        <w:spacing w:before="280" w:after="120"/>
      </w:pPr>
      <w:r>
        <w:rPr>
          <w:rFonts w:ascii="Calibri" w:hAnsi="Calibri"/>
          <w:b/>
          <w:i w:val="0"/>
          <w:color w:val="2C3A63"/>
          <w:sz w:val="26"/>
        </w:rPr>
        <w:t>Alta</w:t>
      </w:r>
    </w:p>
    <w:p>
      <w:pPr>
        <w:pStyle w:val="ListNumber"/>
      </w:pPr>
      <w:r>
        <w:rPr>
          <w:rFonts w:ascii="Calibri" w:hAnsi="Calibri"/>
          <w:b/>
          <w:i w:val="0"/>
          <w:color w:val="1A1E17"/>
          <w:sz w:val="22"/>
        </w:rPr>
        <w:t>Cerrar el circuito de medición de Meta: Pixel + CAPI + CTWA vía `ctwa_clid`.</w:t>
      </w:r>
      <w:r>
        <w:rPr>
          <w:rFonts w:ascii="Calibri" w:hAnsi="Calibri"/>
          <w:b w:val="0"/>
          <w:i w:val="0"/>
          <w:color w:val="1A1E17"/>
          <w:sz w:val="22"/>
        </w:rPr>
        <w:t xml:space="preserve"> Dependencias: bloquea toda optimización de campaña futura. Impacto: alto (hoy se optimiza a ciegas por volumen). Confianza: alta (2 fuentes independientes). *(DOC-03, DOC-08, DOC-16 → TASK-001 a TASK-004 en el backlog)*</w:t>
      </w:r>
    </w:p>
    <w:p>
      <w:pPr>
        <w:pStyle w:val="ListNumber"/>
      </w:pPr>
      <w:r>
        <w:rPr>
          <w:rFonts w:ascii="Calibri" w:hAnsi="Calibri"/>
          <w:b/>
          <w:i w:val="0"/>
          <w:color w:val="1A1E17"/>
          <w:sz w:val="22"/>
        </w:rPr>
        <w:t>Resolver el bloqueo de acceso a Google Ads (upgrade developer token).</w:t>
      </w:r>
      <w:r>
        <w:rPr>
          <w:rFonts w:ascii="Calibri" w:hAnsi="Calibri"/>
          <w:b w:val="0"/>
          <w:i w:val="0"/>
          <w:color w:val="1A1E17"/>
          <w:sz w:val="22"/>
        </w:rPr>
        <w:t xml:space="preserve"> Dependencias: bloquea toda auditoría y corrección de Google Ads del lado Claude Code. Impacto: alto (autocanibalización de keywords, objetivo de conversión roto). Urgencia: alta (marcado P0 por la propia auditoría Claude Code). *(DOC-12 → TASK-005)*</w:t>
      </w:r>
    </w:p>
    <w:p>
      <w:pPr>
        <w:pStyle w:val="ListNumber"/>
      </w:pPr>
      <w:r>
        <w:rPr>
          <w:rFonts w:ascii="Calibri" w:hAnsi="Calibri"/>
          <w:b/>
          <w:i w:val="0"/>
          <w:color w:val="1A1E17"/>
          <w:sz w:val="22"/>
        </w:rPr>
        <w:t>Corregir el objetivo de conversión "Cliente potencial cualificado" en Google Ads (estado "Configuración errónea").</w:t>
      </w:r>
      <w:r>
        <w:rPr>
          <w:rFonts w:ascii="Calibri" w:hAnsi="Calibri"/>
          <w:b w:val="0"/>
          <w:i w:val="0"/>
          <w:color w:val="1A1E17"/>
          <w:sz w:val="22"/>
        </w:rPr>
        <w:t xml:space="preserve"> Depende de la tarea anterior. Impacto: alto — sin esto Google no puede optimizar por calidad de lead. *(DOC-16 → TASK-006)*</w:t>
      </w:r>
    </w:p>
    <w:p>
      <w:pPr>
        <w:pStyle w:val="ListNumber"/>
      </w:pPr>
      <w:r>
        <w:rPr>
          <w:rFonts w:ascii="Calibri" w:hAnsi="Calibri"/>
          <w:b/>
          <w:i w:val="0"/>
          <w:color w:val="1A1E17"/>
          <w:sz w:val="22"/>
        </w:rPr>
        <w:t>Marcar `form_submit_fiscalizacion_tributaria_cit` como conversión en GA4 y en Google Ads.</w:t>
      </w:r>
      <w:r>
        <w:rPr>
          <w:rFonts w:ascii="Calibri" w:hAnsi="Calibri"/>
          <w:b w:val="0"/>
          <w:i w:val="0"/>
          <w:color w:val="1A1E17"/>
          <w:sz w:val="22"/>
        </w:rPr>
        <w:t xml:space="preserve"> Esfuerzo mínimo (15 min), impacto alto (19 conversiones/mes hoy invisibles). Quick win, sin dependencias. *(DOC-05 → TASK-007, TASK-008)*</w:t>
      </w:r>
    </w:p>
    <w:p>
      <w:pPr>
        <w:pStyle w:val="ListNumber"/>
      </w:pPr>
      <w:r>
        <w:rPr>
          <w:rFonts w:ascii="Calibri" w:hAnsi="Calibri"/>
          <w:b/>
          <w:i w:val="0"/>
          <w:color w:val="1A1E17"/>
          <w:sz w:val="22"/>
        </w:rPr>
        <w:t>Instrumentar GA4 completo en diagnostico.defensordelcontribuyente.cl.</w:t>
      </w:r>
      <w:r>
        <w:rPr>
          <w:rFonts w:ascii="Calibri" w:hAnsi="Calibri"/>
          <w:b w:val="0"/>
          <w:i w:val="0"/>
          <w:color w:val="1A1E17"/>
          <w:sz w:val="22"/>
        </w:rPr>
        <w:t xml:space="preserve"> Es el formulario de mayor intención del ecosistema y hoy no genera ni un evento medible. *(DOC-04, DOC-05 → TASK-009)*</w:t>
      </w:r>
    </w:p>
    <w:p>
      <w:pPr>
        <w:pStyle w:val="ListNumber"/>
      </w:pPr>
      <w:r>
        <w:rPr>
          <w:rFonts w:ascii="Calibri" w:hAnsi="Calibri"/>
          <w:b/>
          <w:i w:val="0"/>
          <w:color w:val="1A1E17"/>
          <w:sz w:val="22"/>
        </w:rPr>
        <w:t>Ordenar Pipedrive hacia adelante: definir fuente de verdad para tasa de cierre y conectar con Meta/Google vía CAPI/API de conversión.</w:t>
      </w:r>
      <w:r>
        <w:rPr>
          <w:rFonts w:ascii="Calibri" w:hAnsi="Calibri"/>
          <w:b w:val="0"/>
          <w:i w:val="0"/>
          <w:color w:val="1A1E17"/>
          <w:sz w:val="22"/>
        </w:rPr>
        <w:t xml:space="preserve"> Impacto: el hallazgo de negocio más importante de todo el corpus. *(DOC-16 → TASK-010, TASK-011)*</w:t>
      </w:r>
    </w:p>
    <w:p>
      <w:pPr>
        <w:pStyle w:val="ListNumber"/>
      </w:pPr>
      <w:r>
        <w:rPr>
          <w:rFonts w:ascii="Calibri" w:hAnsi="Calibri"/>
          <w:b/>
          <w:i w:val="0"/>
          <w:color w:val="1A1E17"/>
          <w:sz w:val="22"/>
        </w:rPr>
        <w:t>Refrescar o pausar "Video 22" y activar 2-3 creativos del banco de 70.</w:t>
      </w:r>
      <w:r>
        <w:rPr>
          <w:rFonts w:ascii="Calibri" w:hAnsi="Calibri"/>
          <w:b w:val="0"/>
          <w:i w:val="0"/>
          <w:color w:val="1A1E17"/>
          <w:sz w:val="22"/>
        </w:rPr>
        <w:t xml:space="preserve"> Fatiga confirmada con datos en vivo (-40,72% CTR). *(DOC-03, DOC-08 → TASK-012)*</w:t>
      </w:r>
    </w:p>
    <w:p>
      <w:pPr>
        <w:pStyle w:val="ListNumber"/>
      </w:pPr>
      <w:r>
        <w:rPr>
          <w:rFonts w:ascii="Calibri" w:hAnsi="Calibri"/>
          <w:b/>
          <w:i w:val="0"/>
          <w:color w:val="1A1E17"/>
          <w:sz w:val="22"/>
        </w:rPr>
        <w:t>Consolidar dominios/GTM y decidir el futuro de servicios./diagnostico. como propiedades separadas o unificadas.</w:t>
      </w:r>
      <w:r>
        <w:rPr>
          <w:rFonts w:ascii="Calibri" w:hAnsi="Calibri"/>
          <w:b w:val="0"/>
          <w:i w:val="0"/>
          <w:color w:val="1A1E17"/>
          <w:sz w:val="22"/>
        </w:rPr>
        <w:t xml:space="preserve"> Bloquea la resolución de la fragmentación de indexación (45%). *(DOC-01, DOC-04, DOC-16 → TASK-013, TASK-014)*</w:t>
      </w:r>
    </w:p>
    <w:p>
      <w:pPr>
        <w:pStyle w:val="ListNumber"/>
      </w:pPr>
      <w:r>
        <w:rPr>
          <w:rFonts w:ascii="Calibri" w:hAnsi="Calibri"/>
          <w:b/>
          <w:i w:val="0"/>
          <w:color w:val="1A1E17"/>
          <w:sz w:val="22"/>
        </w:rPr>
        <w:t>Autorizar y actualizar oferta CAE vigente antes de cualquier relanzamiento.</w:t>
      </w:r>
      <w:r>
        <w:rPr>
          <w:rFonts w:ascii="Calibri" w:hAnsi="Calibri"/>
          <w:b w:val="0"/>
          <w:i w:val="0"/>
          <w:color w:val="1A1E17"/>
          <w:sz w:val="22"/>
        </w:rPr>
        <w:t xml:space="preserve"> Bloquea la reactivación de las campañas más eficientes en costo por resultado. *(DOC-06 → TASK-015)*</w:t>
      </w:r>
    </w:p>
    <w:p>
      <w:pPr>
        <w:spacing w:before="280" w:after="120"/>
      </w:pPr>
      <w:r>
        <w:rPr>
          <w:rFonts w:ascii="Calibri" w:hAnsi="Calibri"/>
          <w:b/>
          <w:i w:val="0"/>
          <w:color w:val="2C3A63"/>
          <w:sz w:val="26"/>
        </w:rPr>
        <w:t>Media</w:t>
      </w:r>
    </w:p>
    <w:p>
      <w:pPr>
        <w:pStyle w:val="ListNumber"/>
      </w:pPr>
      <w:r>
        <w:rPr>
          <w:rFonts w:ascii="Calibri" w:hAnsi="Calibri"/>
          <w:b w:val="0"/>
          <w:i w:val="0"/>
          <w:color w:val="1A1E17"/>
          <w:sz w:val="22"/>
        </w:rPr>
        <w:t xml:space="preserve">Investigar el 57% de abandono de formulario (141 </w:t>
      </w:r>
      <w:r>
        <w:rPr>
          <w:rFonts w:ascii="Consolas" w:hAnsi="Consolas"/>
          <w:b w:val="0"/>
          <w:i w:val="0"/>
          <w:color w:val="1A1E17"/>
          <w:sz w:val="21"/>
        </w:rPr>
        <w:t>form_start</w:t>
      </w:r>
      <w:r>
        <w:rPr>
          <w:rFonts w:ascii="Calibri" w:hAnsi="Calibri"/>
          <w:b w:val="0"/>
          <w:i w:val="0"/>
          <w:color w:val="1A1E17"/>
          <w:sz w:val="22"/>
        </w:rPr>
        <w:t xml:space="preserve"> vs. 61 </w:t>
      </w:r>
      <w:r>
        <w:rPr>
          <w:rFonts w:ascii="Consolas" w:hAnsi="Consolas"/>
          <w:b w:val="0"/>
          <w:i w:val="0"/>
          <w:color w:val="1A1E17"/>
          <w:sz w:val="21"/>
        </w:rPr>
        <w:t>form_submit</w:t>
      </w:r>
      <w:r>
        <w:rPr>
          <w:rFonts w:ascii="Calibri" w:hAnsi="Calibri"/>
          <w:b w:val="0"/>
          <w:i w:val="0"/>
          <w:color w:val="1A1E17"/>
          <w:sz w:val="22"/>
        </w:rPr>
        <w:t>). *(DOC-04, DOC-05, DOC-13 → TASK-016)*</w:t>
      </w:r>
    </w:p>
    <w:p>
      <w:pPr>
        <w:pStyle w:val="ListNumber"/>
      </w:pPr>
      <w:r>
        <w:rPr>
          <w:rFonts w:ascii="Calibri" w:hAnsi="Calibri"/>
          <w:b w:val="0"/>
          <w:i w:val="0"/>
          <w:color w:val="1A1E17"/>
          <w:sz w:val="22"/>
        </w:rPr>
        <w:t>Aplicar la recomendación "mixed_formats" en el ad set activo (acción gratuita, +4 pts Opportunity Score). *(DOC-08 → TASK-017)*</w:t>
      </w:r>
    </w:p>
    <w:p>
      <w:pPr>
        <w:pStyle w:val="ListNumber"/>
      </w:pPr>
      <w:r>
        <w:rPr>
          <w:rFonts w:ascii="Calibri" w:hAnsi="Calibri"/>
          <w:b w:val="0"/>
          <w:i w:val="0"/>
          <w:color w:val="1A1E17"/>
          <w:sz w:val="22"/>
        </w:rPr>
        <w:t>Corregir moneda (USD→CLP) y categoría de industria de la propiedad GA4 servicios. *(DOC-05 → TASK-018, TASK-019)*</w:t>
      </w:r>
    </w:p>
    <w:p>
      <w:pPr>
        <w:pStyle w:val="ListNumber"/>
      </w:pPr>
      <w:r>
        <w:rPr>
          <w:rFonts w:ascii="Calibri" w:hAnsi="Calibri"/>
          <w:b w:val="0"/>
          <w:i w:val="0"/>
          <w:color w:val="1A1E17"/>
          <w:sz w:val="22"/>
        </w:rPr>
        <w:t>Negativizar keywords cruzadas entre campañas propias de Google Ads (autocanibalización). *(DOC-16 → TASK-020)*</w:t>
      </w:r>
    </w:p>
    <w:p>
      <w:pPr>
        <w:pStyle w:val="ListNumber"/>
      </w:pPr>
      <w:r>
        <w:rPr>
          <w:rFonts w:ascii="Calibri" w:hAnsi="Calibri"/>
          <w:b w:val="0"/>
          <w:i w:val="0"/>
          <w:color w:val="1A1E17"/>
          <w:sz w:val="22"/>
        </w:rPr>
        <w:t>Reactivar las 3 audiencias lookalike como semilla de Advantage+ Audience (excluyendo naming CAE). *(DOC-07 → TASK-021)*</w:t>
      </w:r>
    </w:p>
    <w:p>
      <w:pPr>
        <w:pStyle w:val="ListNumber"/>
      </w:pPr>
      <w:r>
        <w:rPr>
          <w:rFonts w:ascii="Calibri" w:hAnsi="Calibri"/>
          <w:b w:val="0"/>
          <w:i w:val="0"/>
          <w:color w:val="1A1E17"/>
          <w:sz w:val="22"/>
        </w:rPr>
        <w:t>Combinar/minificar CSS de Elementor (37-51 hojas de estilo por página) y reducir JS no usado. *(DOC-01, DOC-13 → TASK-022, TASK-023)*</w:t>
      </w:r>
    </w:p>
    <w:p>
      <w:pPr>
        <w:pStyle w:val="ListNumber"/>
      </w:pPr>
      <w:r>
        <w:rPr>
          <w:rFonts w:ascii="Calibri" w:hAnsi="Calibri"/>
          <w:b w:val="0"/>
          <w:i w:val="0"/>
          <w:color w:val="1A1E17"/>
          <w:sz w:val="22"/>
        </w:rPr>
        <w:t>Mejorar metadata (title/meta description) para capturar más CTR en posiciones ya buenas (~7,7 promedio, CTR 1,4-1,6%). *(DOC-16 → TASK-024)*</w:t>
      </w:r>
    </w:p>
    <w:p>
      <w:pPr>
        <w:pStyle w:val="ListNumber"/>
      </w:pPr>
      <w:r>
        <w:rPr>
          <w:rFonts w:ascii="Calibri" w:hAnsi="Calibri"/>
          <w:b w:val="0"/>
          <w:i w:val="0"/>
          <w:color w:val="1A1E17"/>
          <w:sz w:val="22"/>
        </w:rPr>
        <w:t>Producir contenido sobre Convenios y Condonaciones y Ley 21.713 (gap de contenido con demanda normativa confirmada). *(DOC-16 → TASK-025)*</w:t>
      </w:r>
    </w:p>
    <w:p>
      <w:pPr>
        <w:pStyle w:val="ListNumber"/>
      </w:pPr>
      <w:r>
        <w:rPr>
          <w:rFonts w:ascii="Calibri" w:hAnsi="Calibri"/>
          <w:b w:val="0"/>
          <w:i w:val="0"/>
          <w:color w:val="1A1E17"/>
          <w:sz w:val="22"/>
        </w:rPr>
        <w:t>Crear checklist de compliance de copy (regla de tercera persona, ya definida como criterio de aceptación en DOC-07). *(DOC-07 → TASK-026)*</w:t>
      </w:r>
    </w:p>
    <w:p>
      <w:pPr>
        <w:spacing w:before="280" w:after="120"/>
      </w:pPr>
      <w:r>
        <w:rPr>
          <w:rFonts w:ascii="Calibri" w:hAnsi="Calibri"/>
          <w:b/>
          <w:i w:val="0"/>
          <w:color w:val="2C3A63"/>
          <w:sz w:val="26"/>
        </w:rPr>
        <w:t>Baja</w:t>
      </w:r>
    </w:p>
    <w:p>
      <w:pPr>
        <w:pStyle w:val="ListNumber"/>
      </w:pPr>
      <w:r>
        <w:rPr>
          <w:rFonts w:ascii="Calibri" w:hAnsi="Calibri"/>
          <w:b w:val="0"/>
          <w:i w:val="0"/>
          <w:color w:val="1A1E17"/>
          <w:sz w:val="22"/>
        </w:rPr>
        <w:t>Ajustar imagen Open Graph a 1200×630 y completar etiquetas Twitter Card. *(DOC-01, DOC-13, DOC-14 → TASK-027)*</w:t>
      </w:r>
    </w:p>
    <w:p>
      <w:pPr>
        <w:pStyle w:val="ListNumber"/>
      </w:pPr>
      <w:r>
        <w:rPr>
          <w:rFonts w:ascii="Calibri" w:hAnsi="Calibri"/>
          <w:b w:val="0"/>
          <w:i w:val="0"/>
          <w:color w:val="1A1E17"/>
          <w:sz w:val="22"/>
        </w:rPr>
        <w:t>Resolver favicon 404. *(DOC-01, DOC-14 → TASK-028)*</w:t>
      </w:r>
    </w:p>
    <w:p>
      <w:pPr>
        <w:pStyle w:val="ListNumber"/>
      </w:pPr>
      <w:r>
        <w:rPr>
          <w:rFonts w:ascii="Calibri" w:hAnsi="Calibri"/>
          <w:b w:val="0"/>
          <w:i w:val="0"/>
          <w:color w:val="1A1E17"/>
          <w:sz w:val="22"/>
        </w:rPr>
        <w:t>Corregir nomenclatura de campañas Meta (fechas inconsistentes). *(DOC-03 → TASK-029)*</w:t>
      </w:r>
    </w:p>
    <w:p>
      <w:pPr>
        <w:pStyle w:val="ListNumber"/>
      </w:pPr>
      <w:r>
        <w:rPr>
          <w:rFonts w:ascii="Calibri" w:hAnsi="Calibri"/>
          <w:b w:val="0"/>
          <w:i w:val="0"/>
          <w:color w:val="1A1E17"/>
          <w:sz w:val="22"/>
        </w:rPr>
        <w:t>Revisar compliance del creativo con cita de tercero (@rfantuzzih). *(DOC-03 → TASK-030)*</w:t>
      </w:r>
    </w:p>
    <w:p>
      <w:pPr>
        <w:pStyle w:val="ListNumber"/>
      </w:pPr>
      <w:r>
        <w:rPr>
          <w:rFonts w:ascii="Calibri" w:hAnsi="Calibri"/>
          <w:b w:val="0"/>
          <w:i w:val="0"/>
          <w:color w:val="1A1E17"/>
          <w:sz w:val="22"/>
        </w:rPr>
        <w:t>Implementar schema FAQPage y Review/AggregateRating. *(DOC-09 → TASK-031)*</w:t>
      </w:r>
    </w:p>
    <w:p>
      <w:pPr>
        <w:pStyle w:val="ListNumber"/>
      </w:pPr>
      <w:r>
        <w:rPr>
          <w:rFonts w:ascii="Calibri" w:hAnsi="Calibri"/>
          <w:b w:val="0"/>
          <w:i w:val="0"/>
          <w:color w:val="1A1E17"/>
          <w:sz w:val="22"/>
        </w:rPr>
        <w:t>Construir perfil de backlinks (hoy 8 enlaces externos, 6 del mismo dominio). *(DOC-16 → TASK-032)*</w:t>
      </w:r>
    </w:p>
    <w:p>
      <w:pPr>
        <w:spacing w:before="280" w:after="120"/>
      </w:pPr>
      <w:r>
        <w:rPr>
          <w:rFonts w:ascii="Calibri" w:hAnsi="Calibri"/>
          <w:b/>
          <w:i w:val="0"/>
          <w:color w:val="2C3A63"/>
          <w:sz w:val="30"/>
        </w:rPr>
        <w:t>12. Recomendaciones 2026</w:t>
      </w:r>
    </w:p>
    <w:p>
      <w:r>
        <w:rPr>
          <w:rFonts w:ascii="Calibri" w:hAnsi="Calibri"/>
          <w:b/>
          <w:i w:val="0"/>
          <w:color w:val="1A1E17"/>
          <w:sz w:val="22"/>
        </w:rPr>
        <w:t>Acciones inmediatas (0-2 semanas):</w:t>
      </w:r>
      <w:r>
        <w:rPr>
          <w:rFonts w:ascii="Calibri" w:hAnsi="Calibri"/>
          <w:b w:val="0"/>
          <w:i w:val="0"/>
          <w:color w:val="1A1E17"/>
          <w:sz w:val="22"/>
        </w:rPr>
        <w:t xml:space="preserve"> cerrar el circuito de medición de Meta y Google Ads (Alta #1-#4 de la sección 11) — son, en conjunto, menos de un día de trabajo técnico y desbloquean todo lo demás.</w:t>
      </w:r>
    </w:p>
    <w:p>
      <w:r>
        <w:rPr>
          <w:rFonts w:ascii="Calibri" w:hAnsi="Calibri"/>
          <w:b/>
          <w:i w:val="0"/>
          <w:color w:val="1A1E17"/>
          <w:sz w:val="22"/>
        </w:rPr>
        <w:t>Corto plazo (mes 1):</w:t>
      </w:r>
      <w:r>
        <w:rPr>
          <w:rFonts w:ascii="Calibri" w:hAnsi="Calibri"/>
          <w:b w:val="0"/>
          <w:i w:val="0"/>
          <w:color w:val="1A1E17"/>
          <w:sz w:val="22"/>
        </w:rPr>
        <w:t xml:space="preserve"> resolver el acceso a Google Ads, ordenar Pipedrive hacia adelante, refrescar el anuncio activo de Meta, decidir la arquitectura de dominios/GA4.</w:t>
      </w:r>
    </w:p>
    <w:p>
      <w:r>
        <w:rPr>
          <w:rFonts w:ascii="Calibri" w:hAnsi="Calibri"/>
          <w:b/>
          <w:i w:val="0"/>
          <w:color w:val="1A1E17"/>
          <w:sz w:val="22"/>
        </w:rPr>
        <w:t>Mediano plazo (trimestre 1):</w:t>
      </w:r>
      <w:r>
        <w:rPr>
          <w:rFonts w:ascii="Calibri" w:hAnsi="Calibri"/>
          <w:b w:val="0"/>
          <w:i w:val="0"/>
          <w:color w:val="1A1E17"/>
          <w:sz w:val="22"/>
        </w:rPr>
        <w:t xml:space="preserve"> producción de contenido sobre el gap normativo identificado (Convenios/Condonaciones, Ley 21.713), consolidación de plataforma (WordPress/Elementor), construcción de perfil de backlinks, implementación de schema pendiente.</w:t>
      </w:r>
    </w:p>
    <w:p>
      <w:r>
        <w:rPr>
          <w:rFonts w:ascii="Calibri" w:hAnsi="Calibri"/>
          <w:b/>
          <w:i w:val="0"/>
          <w:color w:val="1A1E17"/>
          <w:sz w:val="22"/>
        </w:rPr>
        <w:t>Algoritmo/políticas de Meta (DOC-08):</w:t>
      </w:r>
      <w:r>
        <w:rPr>
          <w:rFonts w:ascii="Calibri" w:hAnsi="Calibri"/>
          <w:b w:val="0"/>
          <w:i w:val="0"/>
          <w:color w:val="1A1E17"/>
          <w:sz w:val="22"/>
        </w:rPr>
        <w:t xml:space="preserve"> priorizar CAPI de mensajería como prerrequisito antes de escalar presupuesto; usar avatar IA para prospección fría y testimonio real para remarketing (evidencia 2026: CPA similar en frío, testimonio real gana 20-25% en conversión en cálido); todo copy de ángulo miedo/urgencia debe pasar el filtro de "atributos personales implícitos" antes de publicarse.</w:t>
      </w:r>
    </w:p>
    <w:p>
      <w:r>
        <w:rPr>
          <w:rFonts w:ascii="Calibri" w:hAnsi="Calibri"/>
          <w:b/>
          <w:i w:val="0"/>
          <w:color w:val="1A1E17"/>
          <w:sz w:val="22"/>
        </w:rPr>
        <w:t>Medición:</w:t>
      </w:r>
      <w:r>
        <w:rPr>
          <w:rFonts w:ascii="Calibri" w:hAnsi="Calibri"/>
          <w:b w:val="0"/>
          <w:i w:val="0"/>
          <w:color w:val="1A1E17"/>
          <w:sz w:val="22"/>
        </w:rPr>
        <w:t xml:space="preserve"> el estándar 2026 (Enhanced Conversions, Consent Mode V2, AI Max de Google, Advantage+ de Meta) depende de señales de conversión de calidad — sin resolver Pixel/CAPI/objetivo de conversión, ninguna plataforma puede optimizar bien en 2026, independiente de cuánto se invierta en pauta (DOC-16, sección 10).</w:t>
      </w:r>
    </w:p>
    <w:p>
      <w:r>
        <w:rPr>
          <w:rFonts w:ascii="Calibri" w:hAnsi="Calibri"/>
          <w:b/>
          <w:i w:val="0"/>
          <w:color w:val="1A1E17"/>
          <w:sz w:val="22"/>
        </w:rPr>
        <w:t>SEO:</w:t>
      </w:r>
      <w:r>
        <w:rPr>
          <w:rFonts w:ascii="Calibri" w:hAnsi="Calibri"/>
          <w:b w:val="0"/>
          <w:i w:val="0"/>
          <w:color w:val="1A1E17"/>
          <w:sz w:val="22"/>
        </w:rPr>
        <w:t xml:space="preserve"> AI Overviews ya aparece en ~48% de las búsquedas (DOC-11) — la meta ya no es solo posicionar, es ser la fuente citada; esto conecta directamente con el hallazgo de DOC-04 de que ya hay 9 sesiones/30d desde "AI Assistant" y con el 42/100 de visibilidad IA de DOC-09. Generar </w:t>
      </w:r>
      <w:r>
        <w:rPr>
          <w:rFonts w:ascii="Consolas" w:hAnsi="Consolas"/>
          <w:b w:val="0"/>
          <w:i w:val="0"/>
          <w:color w:val="1A1E17"/>
          <w:sz w:val="21"/>
        </w:rPr>
        <w:t>llms.txt</w:t>
      </w:r>
      <w:r>
        <w:rPr>
          <w:rFonts w:ascii="Calibri" w:hAnsi="Calibri"/>
          <w:b w:val="0"/>
          <w:i w:val="0"/>
          <w:color w:val="1A1E17"/>
          <w:sz w:val="22"/>
        </w:rPr>
        <w:t xml:space="preserve"> y reforzar FAQs con respuesta directa en el primer párrafo.</w:t>
      </w:r>
    </w:p>
    <w:p>
      <w:r>
        <w:rPr>
          <w:rFonts w:ascii="Calibri" w:hAnsi="Calibri"/>
          <w:b/>
          <w:i w:val="0"/>
          <w:color w:val="1A1E17"/>
          <w:sz w:val="22"/>
        </w:rPr>
        <w:t>Contenido:</w:t>
      </w:r>
      <w:r>
        <w:rPr>
          <w:rFonts w:ascii="Calibri" w:hAnsi="Calibri"/>
          <w:b w:val="0"/>
          <w:i w:val="0"/>
          <w:color w:val="1A1E17"/>
          <w:sz w:val="22"/>
        </w:rPr>
        <w:t xml:space="preserve"> usar el glosario de palabras clave de DOC-16 (organizado por intención/cluster) como brief editorial directo, cruzado con la cobertura ya medida en DOC-15 (SEO Public) para priorizar los 8 términos sin cobertura y los de mayor volumen entre los 40 de cobertura parcial.</w:t>
      </w:r>
    </w:p>
    <w:p>
      <w:r>
        <w:rPr>
          <w:rFonts w:ascii="Calibri" w:hAnsi="Calibri"/>
          <w:b/>
          <w:i w:val="0"/>
          <w:color w:val="1A1E17"/>
          <w:sz w:val="22"/>
        </w:rPr>
        <w:t>Gobernanza:</w:t>
      </w:r>
      <w:r>
        <w:rPr>
          <w:rFonts w:ascii="Calibri" w:hAnsi="Calibri"/>
          <w:b w:val="0"/>
          <w:i w:val="0"/>
          <w:color w:val="1A1E17"/>
          <w:sz w:val="22"/>
        </w:rPr>
        <w:t xml:space="preserve"> cerrar la aclaración de titularidad de las 3 cuentas de Google Ads no vinculadas (DOC-12) antes de dar acceso amplio a cualquier agencia nueva; verificar trimestralmente titularidad de todos los activos digitales, tal como ya establece DOC-10 (cláusula C18.c del contrato vigente).</w:t>
      </w:r>
    </w:p>
    <w:p>
      <w:r>
        <w:rPr>
          <w:rFonts w:ascii="Calibri" w:hAnsi="Calibri"/>
          <w:b/>
          <w:i w:val="0"/>
          <w:color w:val="1A1E17"/>
          <w:sz w:val="22"/>
        </w:rPr>
        <w:t>Riesgos de no implementación:</w:t>
      </w:r>
      <w:r>
        <w:rPr>
          <w:rFonts w:ascii="Calibri" w:hAnsi="Calibri"/>
          <w:b w:val="0"/>
          <w:i w:val="0"/>
          <w:color w:val="1A1E17"/>
          <w:sz w:val="22"/>
        </w:rPr>
        <w:t xml:space="preserve"> si no se cierra el circuito de medición antes de escalar presupuesto en campañas nuevas (Google/Meta), el diagnóstico de ambas fuentes coincide en que el resultado más probable es gastar más sin poder saber si funciona — y, según el hallazgo central del Informe 360, incluso si funciona, sin ordenar el proceso comercial en Pipedrive la tasa de cierre seguiría rondando el 2%.</w:t>
      </w:r>
    </w:p>
    <w:p>
      <w:pPr>
        <w:spacing w:before="280" w:after="120"/>
      </w:pPr>
      <w:r>
        <w:rPr>
          <w:rFonts w:ascii="Calibri" w:hAnsi="Calibri"/>
          <w:b/>
          <w:i w:val="0"/>
          <w:color w:val="2C3A63"/>
          <w:sz w:val="30"/>
        </w:rPr>
        <w:t>13. Conclusión</w:t>
      </w:r>
    </w:p>
    <w:p>
      <w:r>
        <w:rPr>
          <w:rFonts w:ascii="Calibri" w:hAnsi="Calibri"/>
          <w:b w:val="0"/>
          <w:i w:val="0"/>
          <w:color w:val="1A1E17"/>
          <w:sz w:val="22"/>
        </w:rPr>
        <w:t xml:space="preserve">El Informe 360 de la agencia es </w:t>
      </w:r>
      <w:r>
        <w:rPr>
          <w:rFonts w:ascii="Calibri" w:hAnsi="Calibri"/>
          <w:b/>
          <w:i w:val="0"/>
          <w:color w:val="1A1E17"/>
          <w:sz w:val="22"/>
        </w:rPr>
        <w:t>confiable y metodológicamente honesto</w:t>
      </w:r>
      <w:r>
        <w:rPr>
          <w:rFonts w:ascii="Calibri" w:hAnsi="Calibri"/>
          <w:b w:val="0"/>
          <w:i w:val="0"/>
          <w:color w:val="1A1E17"/>
          <w:sz w:val="22"/>
        </w:rPr>
        <w:t xml:space="preserve"> — cuando se ajustó una conclusión por una aclaración del cliente, lo documentó explícitamente en vez de presentar el resultado como si siempre hubiera sido así, y reconoce con claridad los límites de sus propios datos (Pipedrive histórico "no confiable por sí solo"). Su cobertura de negocio (CRM, Google Ads, competencia) es información que las auditorías Claude Code simplemente no tenían — en el caso de Google Ads, por un bloqueo de acceso ya documentado, no por descuido.</w:t>
      </w:r>
    </w:p>
    <w:p>
      <w:r>
        <w:rPr>
          <w:rFonts w:ascii="Calibri" w:hAnsi="Calibri"/>
          <w:b w:val="0"/>
          <w:i w:val="0"/>
          <w:color w:val="1A1E17"/>
          <w:sz w:val="22"/>
        </w:rPr>
        <w:t>Las auditorías Claude Code, por su parte, aportan una profundidad técnica de plataforma que el Informe 360 no alcanza — con la ventaja adicional de estar validadas con datos en vivo vía MCP directo a Meta y GA4, no solo revisión manual del panel.</w:t>
      </w:r>
    </w:p>
    <w:p>
      <w:r>
        <w:rPr>
          <w:rFonts w:ascii="Calibri" w:hAnsi="Calibri"/>
          <w:b/>
          <w:i w:val="0"/>
          <w:color w:val="1A1E17"/>
          <w:sz w:val="22"/>
        </w:rPr>
        <w:t>Grado de coincidencia:</w:t>
      </w:r>
      <w:r>
        <w:rPr>
          <w:rFonts w:ascii="Calibri" w:hAnsi="Calibri"/>
          <w:b w:val="0"/>
          <w:i w:val="0"/>
          <w:color w:val="1A1E17"/>
          <w:sz w:val="22"/>
        </w:rPr>
        <w:t xml:space="preserve"> alto donde ambas se superponen (Pixel, fragmentación de medición, rendimiento móvil) — sin una sola contradicción confirmada en todo el corpus, solo una diferencia de cifra explicable por fecha de captura y dos diferencias de alcance sin evidencia suficiente para resolver.</w:t>
      </w:r>
    </w:p>
    <w:p>
      <w:r>
        <w:rPr>
          <w:rFonts w:ascii="Calibri" w:hAnsi="Calibri"/>
          <w:b/>
          <w:i w:val="0"/>
          <w:color w:val="1A1E17"/>
          <w:sz w:val="22"/>
        </w:rPr>
        <w:t>Principal brecha:</w:t>
      </w:r>
      <w:r>
        <w:rPr>
          <w:rFonts w:ascii="Calibri" w:hAnsi="Calibri"/>
          <w:b w:val="0"/>
          <w:i w:val="0"/>
          <w:color w:val="1A1E17"/>
          <w:sz w:val="22"/>
        </w:rPr>
        <w:t xml:space="preserve"> la ausencia total de datos de Pipedrive del lado Claude Code, que es donde el Informe 360 sitúa el verdadero cuello de botella del negocio.</w:t>
      </w:r>
    </w:p>
    <w:p>
      <w:r>
        <w:rPr>
          <w:rFonts w:ascii="Calibri" w:hAnsi="Calibri"/>
          <w:b/>
          <w:i w:val="0"/>
          <w:color w:val="1A1E17"/>
          <w:sz w:val="22"/>
        </w:rPr>
        <w:t>Secuencia recomendada de implementación:</w:t>
      </w:r>
      <w:r>
        <w:rPr>
          <w:rFonts w:ascii="Calibri" w:hAnsi="Calibri"/>
          <w:b w:val="0"/>
          <w:i w:val="0"/>
          <w:color w:val="1A1E17"/>
          <w:sz w:val="22"/>
        </w:rPr>
        <w:t xml:space="preserve"> (1) medición Meta+Google (días), (2) acceso Google Ads + corrección de objetivo de conversión (semanas, depende de aprobación de Google), (3) Pipedrive hacia adelante (semanas, decisión ya tomada por el cliente), (4) creativo y campañas nuevas (mes 1 en adelante, una vez que medir tenga sentido), (5) contenido y SEO estructural (trimestre 1).</w:t>
      </w:r>
    </w:p>
    <w:p>
      <w:pPr>
        <w:spacing w:before="280" w:after="120"/>
      </w:pPr>
      <w:r>
        <w:rPr>
          <w:rFonts w:ascii="Calibri" w:hAnsi="Calibri"/>
          <w:b/>
          <w:i w:val="0"/>
          <w:color w:val="2C3A63"/>
          <w:sz w:val="30"/>
        </w:rPr>
        <w:t>14. Anexos</w:t>
      </w:r>
    </w:p>
    <w:p>
      <w:pPr>
        <w:spacing w:before="280" w:after="120"/>
      </w:pPr>
      <w:r>
        <w:rPr>
          <w:rFonts w:ascii="Calibri" w:hAnsi="Calibri"/>
          <w:b/>
          <w:i w:val="0"/>
          <w:color w:val="2C3A63"/>
          <w:sz w:val="26"/>
        </w:rPr>
        <w:t>Matriz de trazabilidad</w:t>
      </w:r>
    </w:p>
    <w:p>
      <w:r>
        <w:rPr>
          <w:rFonts w:ascii="Calibri" w:hAnsi="Calibri"/>
          <w:b w:val="0"/>
          <w:i w:val="0"/>
          <w:color w:val="1A1E17"/>
          <w:sz w:val="22"/>
        </w:rPr>
        <w:t>Ver columna "Fuente" en las secciones 5, 9, 10 y 11 — todo hallazgo de este reporte referencia su(s) documento(s) de origen por ID.</w:t>
      </w:r>
    </w:p>
    <w:p>
      <w:pPr>
        <w:spacing w:before="280" w:after="120"/>
      </w:pPr>
      <w:r>
        <w:rPr>
          <w:rFonts w:ascii="Calibri" w:hAnsi="Calibri"/>
          <w:b/>
          <w:i w:val="0"/>
          <w:color w:val="2C3A63"/>
          <w:sz w:val="26"/>
        </w:rPr>
        <w:t>Documentos no procesados</w:t>
      </w:r>
    </w:p>
    <w:p>
      <w:r>
        <w:rPr>
          <w:rFonts w:ascii="Calibri" w:hAnsi="Calibri"/>
          <w:b w:val="0"/>
          <w:i w:val="0"/>
          <w:color w:val="1A1E17"/>
          <w:sz w:val="22"/>
        </w:rPr>
        <w:t xml:space="preserve">Ninguno resultó ilegible. </w:t>
      </w:r>
      <w:r>
        <w:rPr>
          <w:rFonts w:ascii="Consolas" w:hAnsi="Consolas"/>
          <w:b w:val="0"/>
          <w:i w:val="0"/>
          <w:color w:val="1A1E17"/>
          <w:sz w:val="21"/>
        </w:rPr>
        <w:t>guiones-y-configuracion-7-temas.md</w:t>
      </w:r>
      <w:r>
        <w:rPr>
          <w:rFonts w:ascii="Calibri" w:hAnsi="Calibri"/>
          <w:b w:val="0"/>
          <w:i w:val="0"/>
          <w:color w:val="1A1E17"/>
          <w:sz w:val="22"/>
        </w:rPr>
        <w:t xml:space="preserve"> y el desglose completo de </w:t>
      </w:r>
      <w:r>
        <w:rPr>
          <w:rFonts w:ascii="Consolas" w:hAnsi="Consolas"/>
          <w:b w:val="0"/>
          <w:i w:val="0"/>
          <w:color w:val="1A1E17"/>
          <w:sz w:val="21"/>
        </w:rPr>
        <w:t>estructura-tareas-clickup.md</w:t>
      </w:r>
      <w:r>
        <w:rPr>
          <w:rFonts w:ascii="Calibri" w:hAnsi="Calibri"/>
          <w:b w:val="0"/>
          <w:i w:val="0"/>
          <w:color w:val="1A1E17"/>
          <w:sz w:val="22"/>
        </w:rPr>
        <w:t xml:space="preserve"> (108 filas) se usaron como contexto de apoyo, no se extrajeron al detalle de cifras (ver nota en sección 4).</w:t>
      </w:r>
    </w:p>
    <w:p>
      <w:pPr>
        <w:spacing w:before="280" w:after="120"/>
      </w:pPr>
      <w:r>
        <w:rPr>
          <w:rFonts w:ascii="Calibri" w:hAnsi="Calibri"/>
          <w:b/>
          <w:i w:val="0"/>
          <w:color w:val="2C3A63"/>
          <w:sz w:val="26"/>
        </w:rPr>
        <w:t>Hallazgos no resueltos</w:t>
      </w:r>
    </w:p>
    <w:p>
      <w:pPr>
        <w:pStyle w:val="ListBullet"/>
      </w:pPr>
      <w:r>
        <w:rPr>
          <w:rFonts w:ascii="Calibri" w:hAnsi="Calibri"/>
          <w:b w:val="0"/>
          <w:i w:val="0"/>
          <w:color w:val="1A1E17"/>
          <w:sz w:val="22"/>
        </w:rPr>
        <w:t>Duración exacta de las campañas CAE activas (sección 9).</w:t>
      </w:r>
    </w:p>
    <w:p>
      <w:pPr>
        <w:pStyle w:val="ListBullet"/>
      </w:pPr>
      <w:r>
        <w:rPr>
          <w:rFonts w:ascii="Calibri" w:hAnsi="Calibri"/>
          <w:b w:val="0"/>
          <w:i w:val="0"/>
          <w:color w:val="1A1E17"/>
          <w:sz w:val="22"/>
        </w:rPr>
        <w:t>Si el H1 genérico de la homepage (DOC-14, mayo) sigue vigente o ya se corrigió (sección 9).</w:t>
      </w:r>
    </w:p>
    <w:p>
      <w:pPr>
        <w:pStyle w:val="ListBullet"/>
      </w:pPr>
      <w:r>
        <w:rPr>
          <w:rFonts w:ascii="Calibri" w:hAnsi="Calibri"/>
          <w:b w:val="0"/>
          <w:i w:val="0"/>
          <w:color w:val="1A1E17"/>
          <w:sz w:val="22"/>
        </w:rPr>
        <w:t>Si las conversiones de búsquedas de marca sin registro ($205.000 CLP, DOC-16) efectivamente convierten por teléfono/WhatsApp sin quedar registradas.</w:t>
      </w:r>
    </w:p>
    <w:p>
      <w:pPr>
        <w:pStyle w:val="ListBullet"/>
      </w:pPr>
      <w:r>
        <w:rPr>
          <w:rFonts w:ascii="Calibri" w:hAnsi="Calibri"/>
          <w:b w:val="0"/>
          <w:i w:val="0"/>
          <w:color w:val="1A1E17"/>
          <w:sz w:val="22"/>
        </w:rPr>
        <w:t>Total exacto de inversión histórica en Meta Ads (diferencia de ~4,4% entre fuentes, sección 10).</w:t>
      </w:r>
    </w:p>
    <w:p>
      <w:pPr>
        <w:spacing w:before="280" w:after="120"/>
      </w:pPr>
      <w:r>
        <w:rPr>
          <w:rFonts w:ascii="Calibri" w:hAnsi="Calibri"/>
          <w:b/>
          <w:i w:val="0"/>
          <w:color w:val="2C3A63"/>
          <w:sz w:val="26"/>
        </w:rPr>
        <w:t>Glosario</w:t>
      </w:r>
    </w:p>
    <w:p>
      <w:r>
        <w:rPr>
          <w:rFonts w:ascii="Calibri" w:hAnsi="Calibri"/>
          <w:b w:val="0"/>
          <w:i w:val="0"/>
          <w:color w:val="1A1E17"/>
          <w:sz w:val="22"/>
        </w:rPr>
        <w:t xml:space="preserve">Ver </w:t>
      </w:r>
      <w:r>
        <w:rPr>
          <w:rFonts w:ascii="Consolas" w:hAnsi="Consolas"/>
          <w:b w:val="0"/>
          <w:i w:val="0"/>
          <w:color w:val="1A1E17"/>
          <w:sz w:val="21"/>
        </w:rPr>
        <w:t>references/taxonomia-hallazgos.md</w:t>
      </w:r>
      <w:r>
        <w:rPr>
          <w:rFonts w:ascii="Calibri" w:hAnsi="Calibri"/>
          <w:b w:val="0"/>
          <w:i w:val="0"/>
          <w:color w:val="1A1E17"/>
          <w:sz w:val="22"/>
        </w:rPr>
        <w:t xml:space="preserve"> de la skill </w:t>
      </w:r>
      <w:r>
        <w:rPr>
          <w:rFonts w:ascii="Consolas" w:hAnsi="Consolas"/>
          <w:b w:val="0"/>
          <w:i w:val="0"/>
          <w:color w:val="1A1E17"/>
          <w:sz w:val="21"/>
        </w:rPr>
        <w:t>auditoria-consolidada-marketing-360</w:t>
      </w:r>
      <w:r>
        <w:rPr>
          <w:rFonts w:ascii="Calibri" w:hAnsi="Calibri"/>
          <w:b w:val="0"/>
          <w:i w:val="0"/>
          <w:color w:val="1A1E17"/>
          <w:sz w:val="22"/>
        </w:rPr>
        <w:t xml:space="preserve"> para la tabla completa de normalización de términos usada en este análisis (Meta Pixel/CAPI, GA4, landing page, eventos vs. conversiones, etc.).</w:t>
      </w:r>
    </w:p>
    <w:p>
      <w:pPr>
        <w:spacing w:before="280" w:after="120"/>
      </w:pPr>
      <w:r>
        <w:rPr>
          <w:rFonts w:ascii="Calibri" w:hAnsi="Calibri"/>
          <w:b/>
          <w:i w:val="0"/>
          <w:color w:val="2C3A63"/>
          <w:sz w:val="26"/>
        </w:rPr>
        <w:t>Registro de validaciones pendientes en plataforma</w:t>
      </w:r>
    </w:p>
    <w:p>
      <w:r>
        <w:rPr>
          <w:rFonts w:ascii="Calibri" w:hAnsi="Calibri"/>
          <w:b w:val="0"/>
          <w:i w:val="0"/>
          <w:color w:val="1A1E17"/>
          <w:sz w:val="22"/>
        </w:rPr>
        <w:t>Todos los hallazgos de la sección 6.7 (Google Ads) requieren validación directa una vez resuelto el acceso (DOC-12). El estado de ejecución de G1 (marcar conversión GA4) no fue verificado en vivo para este reporte.</w:t>
      </w:r>
    </w:p>
    <w:p>
      <w:pPr>
        <w:spacing w:before="280" w:after="120"/>
      </w:pPr>
      <w:r>
        <w:rPr>
          <w:rFonts w:ascii="Calibri" w:hAnsi="Calibri"/>
          <w:b/>
          <w:i w:val="0"/>
          <w:color w:val="2C3A63"/>
          <w:sz w:val="26"/>
        </w:rPr>
        <w:t>Fuentes web utilizadas</w:t>
      </w:r>
    </w:p>
    <w:p>
      <w:r>
        <w:rPr>
          <w:rFonts w:ascii="Calibri" w:hAnsi="Calibri"/>
          <w:b w:val="0"/>
          <w:i w:val="0"/>
          <w:color w:val="1A1E17"/>
          <w:sz w:val="22"/>
        </w:rPr>
        <w:t>Ninguna búsqueda web nueva se ejecutó para este reporte — las fuentes oficiales citadas en la sección 12 (Meta, Google) provienen íntegramente de DOC-08 y DOC-11, ya consultadas y fechadas por las auditorías Claude Code originales (18-08-2026).</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