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C3A63"/>
          <w:sz w:val="40"/>
        </w:rPr>
        <w:t>Backlog Consolidado — Auditoría 360° de Marketing</w:t>
      </w:r>
    </w:p>
    <w:p>
      <w:r>
        <w:rPr>
          <w:rFonts w:ascii="Calibri" w:hAnsi="Calibri"/>
          <w:b w:val="0"/>
          <w:i/>
          <w:color w:val="1A1E17"/>
          <w:sz w:val="20"/>
        </w:rPr>
        <w:t>32 tareas consolidadas, sin duplicados, con trazabilidad a los documentos fuente. Versión legible — la versión importable a ClickUp es el archivo CSV adjunto.</w:t>
      </w:r>
    </w:p>
    <w:p>
      <w:pPr>
        <w:spacing w:before="400"/>
      </w:pPr>
      <w:r>
        <w:rPr>
          <w:rFonts w:ascii="Calibri" w:hAnsi="Calibri"/>
          <w:b/>
          <w:color w:val="2C3A63"/>
          <w:sz w:val="32"/>
        </w:rPr>
        <w:t>Importancia Alta</w:t>
      </w:r>
    </w:p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TASK-001 — Activar destino Click-to-WhatsApp (CTWA) en las campanas activas de Meta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Activar destino Click-to-WhatsApp (CTWA) en las campanas activas de Meta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Configurar CTWA para que cada clic en el anuncio quede enlazado a la conversacion de WhatsApp via ctwa_clid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30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Pixel solo mide PageView; embudo 100% conversacional necesita CTWA no evento Lead tradicional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CTWA visible como activo en Ads Manager sobre las campanas en curso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configuracion CTWA en Ads Manager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sigue optimizando a ciegas por volumen de conversacion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Ads;tracking;CTWA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Precondicion tecnica de TASK-002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TASK-002 — Conectar Conversions API (CAPI) de mensajeria enlazada por ctwa_clid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Conectar Conversions API (CAPI) de mensajeria enlazada por ctwa_clid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Implementar el reenvio server-side de eventos de mensajeria a Meta usando el mismo identificador que CTWA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tecnico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Ambos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2-4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CAPI se empezo a configurar en abril 2026 y nunca se completo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DOC-08;DOC-16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Eventos de negocio visibles en el diagnostico de eventos de Meta con match quality &gt; 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Event Manager mostrando eventos recibidos via CAPI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Sin CAPI ninguna campana nueva puede optimizar por calidad de lead en 2026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Ads;tracking;CAPI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Requiere acceso a Meta Business Suite / WhatsApp Business API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TASK-003 — Definir que conversacion de WhatsApp cuenta como lead calificado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Definir que conversacion de WhatsApp cuenta como lead calificado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Reunion con el equipo de atencion para fijar el criterio de calificacion que se reenviara a Meta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comercial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 hora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1 (T3)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Sin esta definicion no hay evento de negocio que reenviar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Criterio de calificacion documentado y aprobado por ambas partes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Documento de criterio firmado/aprobado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CAPI queda sin poder distinguir volumen de calidad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Ads;CRM;definicion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Insumo obligatorio para TASK-004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TASK-004 — Reenviar a Meta el evento de lead calificado via CAPI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Reenviar a Meta el evento de lead calificado via CAPI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Implementar el envio del evento de negocio real usando el mismo ctwa_clid del clic original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2-3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TASK-002;TASK-003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1 (T4)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Habilita optimizacion por calidad de lead y el objetivo Leads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Evento de negocio visible y usado como senal de optimizacion en la campana piloto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de Ads Manager mostrando el evento como senal activa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sigue sin poder priorizar leads de calidad sobre volumen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Ads;CAPI;CRM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Depende de TASK-002 y TASK-003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TASK-005 — Solicitar upgrade del developer token de Google Ads a Basic o Standard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Solicitar upgrade del developer token de Google Ads a Basic o Standard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Gestionar en el Centro de API de Google Ads el upgrade que hoy bloquea auditar y administrar la cuenta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Gobernanza y accesos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de accesos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1-3 dias habiles (aprobacion de Google)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TASK-006;TASK-020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Pagina 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 auditar y gestionar Google Ads el canal de mayor volumen del sitio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Token en estado Basic o Standard confirmado en el Centro de API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estado del token en el Centro de API de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 sigue sin poder auditarse ni corregirse desde el lado tecnico interno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Ads;gobernanza;accesos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Marcado P0-Urgente en DOC-12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TASK-006 — Corregir el objetivo de conversion Cliente potencial cualificado en Google 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Corregir el objetivo de conversion Cliente potencial cualificado en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Diagnosticar y resolver el estado Configuracion erronea que mantiene el objetivo en 0 conversiones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2-4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TASK-007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Objetivo ya existe pero esta roto; impide optimizar por calidad real de lead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El objetivo registra conversiones reales en un periodo de prueba de 7 dias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Google Ads mostrando conversiones registradas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 sigue optimizando solo por formularios llenados sin filtrar calidad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Ads;conversiones;tracking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Requiere TASK-005 resuelta primero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TASK-007 — Marcar form_submit_fiscalizacion_tributaria_cit como conversion en GA4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Marcar form_submit_fiscalizacion_tributaria_cit como conversion en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Activar el evento como clave/conversion en la propiedad principal de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19 eventos en 30 dias sin marcar como conversion mientras los otros 2 servicios si lo estan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El evento aparece marcado como conversion en GA4 y se contabiliza en el reporte de eventos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configuracion de eventos clave en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19 conversiones reales por mes siguen sin contarse ni reportarse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GA4;conversiones;quick-win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Cambio de configuracion no de codigo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TASK-008 — Importar form_submit_fiscalizacion_tributaria_cit como conversion en Google 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Importar form_submit_fiscalizacion_tributaria_cit como conversion en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Replicar en Google Ads la misma conversion ya marcada en GA4 para los otros 2 servicios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TASK-007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Depende de que el evento ya este marcado como conversion en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 conversion aparece importada y activa en la columna de conversiones de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la conversion importada en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 sigue sin ver las 19 conversiones reales del tercer servicio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Ads;GA4;conversiones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Depende de TASK-007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TASK-009 — Instalar GTM y tag de configuracion GA4 en diagnostico.defensordelcontribuyente.cl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Instalar GTM y tag de configuracion GA4 en diagnostico.defensordelcontribuyente.cl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Instrumentar desde cero el subdominio que aloja el formulario de mayor intencion del ecosistema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1-2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No existe ninguna propiedad GA4 asociada a este subdominio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DOC-04;DOC-05;DOC-09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 registra al menos page_view y form_submit en el subdominio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informe de tiempo real de GA4 mostrando eventos del subdominio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El punto de conversion de mayor intencion sigue sin ninguna visibilidad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GA4;GTM;tracking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Formulario con carga de documentos tributarios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TASK-010 — Definir la fuente de verdad para medir tasa de cierre de leads a clientes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Definir la fuente de verdad para medir tasa de cierre de leads a clientes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Reunion de definicion entre Cliente-Estudio y Prestador sobre que sistema y criterio se usara hacia adelante para medir cierre real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CRM y atribucion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Direccion o gerencia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Analista de datos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Ambos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 reunion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TASK-011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Tasa de cierre real es 2.3% y no se puede medir de forma confiable hoy en Pipedrive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Documento de criterio de medicion de cierre aprobado por ambas partes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Documento firmado con el criterio de medicion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sigue sin poder saber si el marketing realmente esta moviendo el resultado comercial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CRM;Pipedrive;medicion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Hallazgo de mayor impacto de todo el corpus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TASK-011 — Conectar Pipedrive con las senales de conversion de Meta y Google Ads hacia adelante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Conectar Pipedrive con las senales de conversion de Meta y Google Ads hacia adelante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Integrar el flujo para que los leads calificados en Pipedrive retroalimenten CAPI y el objetivo de conversion de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CRM y atribucion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Analista de datos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Ambos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1-2 dias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TASK-004;TASK-006;TASK-010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12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Sin esta conexion ninguna plataforma puede optimizar por calidad real de lead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DOC-08;DOC-16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Un lead marcado ganado en Pipedrive genera una senal de conversion en al menos una plataforma de pauta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mostrando el flujo Pipedrive -&gt; plataforma de pauta activo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El circuito de medicion queda incompleto aun despues de arreglar Meta y Google por separado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CRM;Pipedrive;integracion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Depende de TASK-004 TASK-006 y TASK-010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TASK-012 — Refrescar o pausar el anuncio Video 22 y activar 2-3 creativos del banco de 70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Refrescar o pausar el anuncio Video 22 y activar 2-3 creativos del banco de 70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Reemplazar el creativo con fatiga confirmada por piezas ya producidas y sin usar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Creatividades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de contenidos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Ambos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30 min de publicacion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Los dos hallazgos que mas cuestan / Seccion 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CTR cayo 40.72% confirmado en vivo; Meta diagnostica This ad is not spurring interest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 menos 2 creativos nuevos activos y Video 22 pausado o con frecuencia reducida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Ads Manager mostrando los creativos activos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16 meses sin refrescar equivale a 60-90 ciclos de fatiga del algoritmo 2026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Ads;creatividades;fatiga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Inmediata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Cliente-Estudio aprueba el creativo seleccionado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TASK-013 — Decidir si servicios.defensordelcontribuyente.cl se consolida o permanece separado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Decidir si servicios.defensordelcontribuyente.cl se consolida o permanece separado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Definicion de arquitectura de dominios antes de seguir invirtiendo en instrumentacion separada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Gobernanza y accesos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Direccion o gerencia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SEO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 reunion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TASK-014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DOC-05;DOC-16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G8 / Seccion 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12 sesiones/30d y cero eventos personalizados; posible causa de la fragmentacion de indexacion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DOC-04;DOC-05;DOC-16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Decision documentada sobre consolidar o mantener separado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Documento de decision de arquitectura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sigue invirtiendo esfuerzo tecnico en una propiedad que podria discontinuarse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GA4;dominios;arquitectura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Definir antes de invertir en instrumentacion adicional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TASK-014 — Resolver la duplicidad de Google Tag Manager en el dominio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Resolver la duplicidad de Google Tag Manager en el dominio principal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Consolidar GTM-N7BQZZW y GTM-MQC692WV en un unico contenedor y migrar el tag de conversion de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tecnico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1-2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DOC-01;DOC-03;DOC-09;DOC-13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Alcance SEO P1 / SL1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Confirmado duplicado en 8 de 14 URL del dominio principal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DOC-01;DOC-03;DOC-05;DOC-09;DOC-13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Un solo contenedor GTM visible en el codigo fuente sin eventos duplicados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Asistente de Etiquetas de Google sin duplicados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Medicion de campanas y conversiones sigue siendo potencialmente inexacta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GTM;tracking;SEO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SL1 en DOC-13 ya senala que no debe duplicarse contra G3/G9 de DOC-05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TASK-015 — Actualizar oferta y condiciones CAE vigentes en copy y creativos pausados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Actualizar oferta y condiciones CAE vigentes en copy y creativos pausados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Insumo legal y comercial obligatorio antes de relanzar cualquier campana con angulo CAE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legal o de cumplimiento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 definir por equipo legal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TASK-012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Lista Ajuste CAE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Oferta y creativos citan condiciones vigentes hasta abril de 2026 hoy desactualizadas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DOC-03;DOC-06;DOC-16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Copy y creativos aprobados con condiciones CAE vigentes a la fecha de relanzamiento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Documento de oferta actualizada aprobado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Las 3 campanas mas eficientes en costo por resultado siguen sin poder reactivarse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Ads;CAE;compliance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Bloqueante para relanzar como campana nueva no reactivacion</w:t>
            </w:r>
          </w:p>
        </w:tc>
      </w:tr>
    </w:tbl>
    <w:p/>
    <w:p>
      <w:pPr>
        <w:spacing w:before="400"/>
      </w:pPr>
      <w:r>
        <w:rPr>
          <w:rFonts w:ascii="Calibri" w:hAnsi="Calibri"/>
          <w:b/>
          <w:color w:val="2C3A63"/>
          <w:sz w:val="32"/>
        </w:rPr>
        <w:t>Importancia Media</w:t>
      </w:r>
    </w:p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TASK-016 — Investigar el 57% de abandono de formulario en el dominio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Investigar el 57% de abandono de formulario en el dominio principal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Analizar la caida de 141 form_start a 61 form_submit en 30 dias y proponer ajuste de UX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comercial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Ambos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1-2 horas de analisis mas ajustes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G10 / SL6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57% de abandono confirmado con datos reales de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Informe de causa probable (largo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campos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friccion UX) con recomendacion de ajuste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Informe de analisis entregado y revisado en conjunto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sigue invirtiendo en trafico hacia un formulario con friccion no diagnosticada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Fecha sugerida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CRO;GA4;landing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TASK-017 — Aplicar la recomendacion mixed_formats en el ad set activo de Meta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Aplicar la recomendacion mixed_formats en el ad set activo de Meta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Agregar variante de imagen junto al video existente en el conjunto de anuncios activo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20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directa y en vivo de Meta con mejora estimada de +4 puntos de Opportunity Score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Ad set con al menos una variante de imagen ademas del video activa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Ads Manager mostrando la variante activa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deja pasar una mejora gratuita ya senalada por la propia plataforma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Ads;formatos;quick-win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Accion directa sin produccion nueva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TASK-018 — Corregir la moneda de la propiedad GA4 de servicios a CLP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Corregir la moneda de la propiedad GA4 de servicios a CLP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Cambiar la configuracion de moneda de USD a CLP para alinear con el dominio principal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Propiedad quedo en USD por defecto mientras el dominio principal esta en CLP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Configuracion de la propiedad muestra CLP como moneda activa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configuracion de la propiedad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Reportes de valor economico en esa propiedad quedan distorsionados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GA4;configuracion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TASK-020 — Negativizar palabras clave cruzadas entre campanas propias de Google 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Negativizar palabras clave cruzadas entre campanas propias de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Aplicar exclusiones para evitar que la cuenta compita contra si misma en subasta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Google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1-2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Dependencias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5 y 12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Abogado tributario aparece en dos campanas con CPC de $352 vs $1.236-$1.618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CPC de la keyword compartida se estabiliza en una sola campana sin competencia interna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de subastas de Google Ads mostrando la correccion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sigue pagando de mas por competir contra la propia cuenta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Google Ads;keywords;eficiencia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Depende de TASK-005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TASK-021 — Reactivar las 3 audiencias lookalike como semilla de Advantage+ Audience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Reactivar las 3 audiencias lookalike como semilla de Advantage+ Audience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Activar las audiencias ya construidas excluyendo expresamente el naming CAE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DOC-03;DOC-07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T13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Audiencias ya construidas e inactivas; Advantage+ 2026 las acepta como sugerencia de partida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DOC-03;DOC-07;DOC-08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 menos una lookalike activa como semilla en una campana piloto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Ads Manager mostrando la audiencia activa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Insumo ya disponible se mantiene sin costo de aprovecharlo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Ads;audiencias;Advantage+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Excluye expresamente la audiencia/lookalike de naming CAE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TASK-022 — Combinar y minificar las hojas de estilo CSS de Elementor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Combinar y minificar las hojas de estilo CSS de Elementor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Reducir de 37-51 hojas de estilo cargadas por separado por pagina a menos de 10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tecnico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Desarrollador web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3-5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DOC-01;DOC-09;DOC-13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Alcance SEO P2 / SL3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37-51 hojas de estilo confirmadas en todo el sitio no solo en la home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DOC-01;DOC-09;DOC-13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Menos de 10 peticiones de hojas de estilo en la home medido con herramientas de red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de PageSpeed Insights con el conteo de peticiones reducido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Rendimiento de carga sigue penalizando campanas pagadas hacia esas paginas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SEO;rendimiento;CSS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TASK-023 — Reducir JavaScript no utilizado y optimizar el elemento LCP de la home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Reducir JavaScript no utilizado y optimizar el elemento LCP de la home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Atacar los ~294 KiB de JS no usado estimados por Lighthouse y bajar el LCP de 12.4s a menos de 2.5s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tecnico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Desarrollador web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5-9 horas combinadas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SL4 y SL5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Lighthouse 19-08 confirma JS no usado y LCP muy por sobre el objetivo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DOC-09;DOC-13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LCP de la home bajo 2.5s en una medicion de Lighthouse posterior al cambio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Lighthouse posterior a la implementacion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Rendimiento movil sigue clasificado como necesita mejora en Search Console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SEO;rendimiento;Core Web Vitals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Consistente con el hallazgo agregado de DOC-16 sobre Core Web Vitals movil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TASK-024 — Optimizar metadata de las paginas mejor posicionadas para capturar mas CTR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Optimizar metadata de las paginas mejor posicionadas para capturar mas CTR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Reescribir title y meta description de las paginas con posicion promedio buena y CTR 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de contenidos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SEO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Redactor o equipo de contenidos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2-3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Posicion promedio 7.7 con CTR de solo 1.4-1.6% en los ultimos 3 meses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CTR de las paginas ajustadas mejora medido en Search Console a 30 dias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de Search Console comparando CTR antes/despues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sigue perdiendo trafico de impresiones ya ganadas sin costo adicional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SEO;metadata;CTR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TASK-025 — Producir contenido sobre Convenios y Condonaciones y sobre la Ley 21.713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Producir contenido sobre Convenios y Condonaciones y sobre la Ley 21.713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Cubrir el gap de contenido identificado frente a la novedad normativa de mayor volumen de busqueda actual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Contenido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Redactor o equipo de contenidos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legal o de cumplimiento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Ambos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definir segun calendario editorial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8 y 11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Cero articulos sobre Convenios y Condonaciones pese a ser servicio core con condonaciones de hasta 80% vigentes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 menos 2 articulos publicados y indexados sobre estos temas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URLs publicadas e indexadas verificables en Search Console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Un competidor sigue dominando en solitario el terreno long-tail de este tema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Contenido;SEO;normativa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Usar el glosario de palabras clave de DOC-16 como brief editorial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TASK-026 — Crear checklist formal de compliance de copy para angulos de miedo y urgencia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Crear checklist formal de compliance de copy para angulos de miedo y urgencia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Documentar la regla de tercera persona/estadistico como paso de aprobacion obligatorio antes de publicar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Cumplimiento de politicas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legal o de cumplimiento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Participantes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2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Tareas bloqueadas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TASK-012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DOC-07;DOC-08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T15 / Seccion 7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Politica de Privacidad y Atributos Personales es el motivo de rechazo mas comun en la categoria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DOC-07;DOC-08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Checklist documentado y aplicado como paso previo a publicar cualquier pieza nueva o reactivada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Checklist firmado e incorporado al flujo de aprobacion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Riesgo de rechazo de anuncios en la categoria financiera/legal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Compliance;copy;Meta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Mediano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Ya es criterio de aceptacion obligatorio marcado con candado en DOC-07</w:t>
            </w:r>
          </w:p>
        </w:tc>
      </w:tr>
    </w:tbl>
    <w:p/>
    <w:p>
      <w:pPr>
        <w:spacing w:before="400"/>
      </w:pPr>
      <w:r>
        <w:rPr>
          <w:rFonts w:ascii="Calibri" w:hAnsi="Calibri"/>
          <w:b/>
          <w:color w:val="2C3A63"/>
          <w:sz w:val="32"/>
        </w:rPr>
        <w:t>Importancia Baja</w:t>
      </w:r>
    </w:p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TASK-019 — Definir categoria de industria en la propiedad GA4 de servicios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Definir categoria de industria en la propiedad GA4 de servicios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Completar el campo de categoria de industria hoy sin especificar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GA4/GTM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Tarea G7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Dominio principal tiene OTHER; servicios esta en INDUSTRY_CATEGORY_UNSPECIFIED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DOC-04;DOC-05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Categoria de industria visible y consistente con el dominio principal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configuracion de la propiedad GA4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Configuracion inconsistente entre propiedades de la misma cuenta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GA4;configuracion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Corto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TASK-027 — Ajustar imagen Open Graph a 1200x630 y completar etiquetas Twitter 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Ajustar imagen Open Graph a 1200x630 y completar etiquetas Twitter Card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Reemplazar la imagen cuadrada actual por el formato horizontal y completar twitter:title/description/image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de contenidos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SEO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 hora combinada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DOC-01;DOC-13;DOC-14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Alcance SEO P5 / SL16-18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Persiste sin resolver desde la auditoria de mayo (DOC-14) hasta agosto (DOC-01)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DOC-01;DOC-13;DOC-14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Preview correcto al compartir el link en redes sociales y WhatsApp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preview social despues del cambio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El preview social sigue en blanco o con datos incorrectos al compartir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SEO;social;metadata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Largo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Confirmar en plataforma si sigue vigente 3 meses despues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TASK-028 — Resolver la respuesta 404 de favicon.ico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Resolver la respuesta 404 de favicon.ico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Subir el icono del sitio desde WordPress para que se genere correctamente en la raiz del dominio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tecnico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Desarrollador web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DOC-01;DOC-14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Alcance SEO P6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Persiste sin resolver desde mayo (DOC-14) hasta agosto (DOC-01)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DOC-01;DOC-13;DOC-14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curl -sI al dominio devuelve 200 para favicon.ico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resultado del comando curl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Icono generico o ausente en resultados de busqueda reduce CTR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SEO;tecnico;quick-win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Largo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TASK-029 — Corregir nomenclatura de campanas de Meta 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Corregir nomenclatura de campanas de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Estandarizar fechas y convencion de nombres en las campanas historicas y activas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Meta Ads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15 min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Checklist priorizado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Fechas inconsistentes dificultan la trazabilidad interna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Nomenclatura consistente visible en Ads Manager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 Ads Manager con nomenclatura corregida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Dificulta la trazabilidad interna de campanas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Meta Ads;orden;gobernanza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Largo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TASK-030 — Revisar compliance del creativo que cita a un tercero por su usuario de red social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Revisar compliance del creativo que cita a un tercero por su usuario de red social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Confirmar autorizacion de uso antes de reactivar ese creativo especifico del banco de 70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Cumplimiento de politicas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Responsable legal o de cumplimiento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Cliente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 definir con equipo legal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Banco creativo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Un creativo cita a un tercero por su usuario @rfantuzzih sin autorizacion confirmada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DOC-03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Autorizacion de uso confirmada por escrito o el creativo se descarta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Documento de autorizacion o registro de descarte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Riesgo legal si se reactiva sin autorizacion confirmada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Compliance;creativo;legal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Largo plazo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Observaciones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Bloquea solo la reactivacion de este creativo especifico no el resto del banco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TASK-031 — Implementar schema FAQPage y Review/AggregateRating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Implementar schema FAQPage y Review/AggregateRating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Agregar datos estructurados en las paginas de FAQ y casos de exito para habilitar rich snippets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tecnico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Correccion tecnica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Medio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SEO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3-4 horas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DOC-09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Hallazgos transversales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Ninguna de las 3 paginas FAQ usa schema FAQPage; casos de exito sin Review/AggregateRating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DOC-09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Validacion sin errores en el Rich Results Test de Google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Captura del Rich Results Test aprobado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 pierde la oportunidad de acordeon expandible y estrellas de valoracion en SERP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SEO;schema;rich-snippets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Largo plazo</w:t>
            </w:r>
          </w:p>
        </w:tc>
      </w:tr>
    </w:tbl>
    <w:p/>
    <w:p>
      <w:pPr>
        <w:spacing w:before="200"/>
      </w:pPr>
      <w:r>
        <w:rPr>
          <w:rFonts w:ascii="Calibri" w:hAnsi="Calibri"/>
          <w:b/>
          <w:color w:val="2C3A63"/>
          <w:sz w:val="24"/>
        </w:rPr>
        <w:t>TASK-032 — Construir un perfil de enlaces externos mas solido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81"/>
        <w:gridCol w:w="4873"/>
      </w:tblGrid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Nombre de la tarea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Construir un perfil de enlaces externos mas solido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Descripcion ejecutiva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Iniciar una estrategia de backlinks fuera del unico dominio que hoy concentra la mayoria de los enlaces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Area / Lista ClickUp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 de contenidos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Clasificacion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Recomendacion estrategica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Importancia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Impacto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Urgencia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Baja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Esfuerzo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Alto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Estado sugerido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Por hacer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Responsable principal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Especialista SEO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Tipo de responsable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Prestador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Tiempo estimado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Continuo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Documento fuente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Pagina o seccion de referencia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Seccion 8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Hallazgo asociado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Solo 8 enlaces externos en total y 6 del mismo dominio aguilayca.cl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Coincidencias entre documentos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DOC-16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Criterio de aceptacion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Al menos 3 dominios nuevos con enlace entrante en un trimestre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Evidencia de finalizacion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Reporte de Search Console mostrando nuevos dominios enlazantes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Riesgo de no ejecucion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Autoridad de dominio se mantiene practicamente plana frente a la competencia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Etiquetas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SEO;backlinks;autoridad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/>
                <w:b/>
                <w:color w:val="2C3A63"/>
                <w:sz w:val="18"/>
              </w:rPr>
              <w:t>Hito o fase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color w:val="1A1E17"/>
                <w:sz w:val="18"/>
              </w:rPr>
              <w:t>Largo plazo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