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A63"/>
          <w:sz w:val="44"/>
        </w:rPr>
        <w:t>Alcance Técnico — Landing Page y Meta Ads</w:t>
      </w:r>
    </w:p>
    <w:p>
      <w:r>
        <w:rPr>
          <w:color w:val="55594C"/>
          <w:sz w:val="20"/>
        </w:rPr>
        <w:t>Sitio: defensordelcontribuyente.cl</w:t>
      </w:r>
    </w:p>
    <w:p>
      <w:r>
        <w:rPr>
          <w:color w:val="55594C"/>
          <w:sz w:val="20"/>
        </w:rPr>
        <w:t>Fecha: 17 de agosto de 2026</w:t>
      </w:r>
    </w:p>
    <w:p>
      <w:r>
        <w:rPr>
          <w:color w:val="55594C"/>
          <w:sz w:val="20"/>
        </w:rPr>
        <w:t>Preparado para: equipo de marketing entrante</w:t>
      </w:r>
    </w:p>
    <w:p/>
    <w:p>
      <w:r>
        <w:rPr>
          <w:b/>
          <w:color w:val="2C3A63"/>
          <w:sz w:val="28"/>
        </w:rPr>
        <w:t>Resumen del alcance</w:t>
      </w:r>
    </w:p>
    <w:p>
      <w:r>
        <w:rPr>
          <w:color w:val="1A1E17"/>
          <w:sz w:val="22"/>
        </w:rPr>
        <w:t>Este documento detalla las modificaciones requeridas en la landing page y la puesta a punto necesaria antes de operar campañas en Meta Ads, ordenadas por prioridad.</w:t>
      </w:r>
    </w:p>
    <w:p>
      <w:r>
        <w:rPr>
          <w:b/>
          <w:color w:val="2C3A63"/>
          <w:sz w:val="28"/>
        </w:rPr>
        <w:t>Prioridad 1 — Tracking y medición (crítico, bloqueante para pautar)</w:t>
      </w:r>
    </w:p>
    <w:p>
      <w:pPr>
        <w:pStyle w:val="ListBullet"/>
      </w:pPr>
      <w:r>
        <w:rPr>
          <w:color w:val="1A1E17"/>
          <w:sz w:val="22"/>
        </w:rPr>
        <w:t>Instalar el Meta Pixel en la totalidad del sitio.</w:t>
      </w:r>
    </w:p>
    <w:p>
      <w:pPr>
        <w:pStyle w:val="ListBullet"/>
      </w:pPr>
      <w:r>
        <w:rPr>
          <w:color w:val="1A1E17"/>
          <w:sz w:val="22"/>
        </w:rPr>
        <w:t>Configurar el evento Lead para que se dispare al enviar el formulario de consulta (y el de WhatsApp, si existe).</w:t>
      </w:r>
    </w:p>
    <w:p>
      <w:pPr>
        <w:pStyle w:val="ListBullet"/>
      </w:pPr>
      <w:r>
        <w:rPr>
          <w:color w:val="1A1E17"/>
          <w:sz w:val="22"/>
        </w:rPr>
        <w:t>Resolver la duplicidad de Google Tag Manager (ver Alcance Técnico — SEO, Prioridad 1).</w:t>
      </w:r>
    </w:p>
    <w:p>
      <w:pPr>
        <w:pStyle w:val="ListBullet"/>
      </w:pPr>
      <w:r>
        <w:rPr>
          <w:color w:val="1A1E17"/>
          <w:sz w:val="22"/>
        </w:rPr>
        <w:t>Confirmar el estado actual de la cuenta de Meta Business Manager: campañas activas, históricas, y auditorías previas si existieran.</w:t>
      </w:r>
    </w:p>
    <w:p>
      <w:r>
        <w:rPr>
          <w:b/>
          <w:color w:val="2C3A63"/>
          <w:sz w:val="28"/>
        </w:rPr>
        <w:t>Prioridad 2 — Optimización de conversión (CRO)</w:t>
      </w:r>
    </w:p>
    <w:p>
      <w:pPr>
        <w:pStyle w:val="ListBullet"/>
      </w:pPr>
      <w:r>
        <w:rPr>
          <w:color w:val="1A1E17"/>
          <w:sz w:val="22"/>
        </w:rPr>
        <w:t>Diseñar y probar una versión simplificada del formulario (nombre + teléfono) específica para tráfico frío proveniente de Meta.</w:t>
      </w:r>
    </w:p>
    <w:p>
      <w:pPr>
        <w:pStyle w:val="ListBullet"/>
      </w:pPr>
      <w:r>
        <w:rPr>
          <w:color w:val="1A1E17"/>
          <w:sz w:val="22"/>
        </w:rPr>
        <w:t>Variar el texto del CTA entre las distintas secciones de la página en lugar de repetir el mismo texto.</w:t>
      </w:r>
    </w:p>
    <w:p>
      <w:pPr>
        <w:pStyle w:val="ListBullet"/>
      </w:pPr>
      <w:r>
        <w:rPr>
          <w:color w:val="1A1E17"/>
          <w:sz w:val="22"/>
        </w:rPr>
        <w:t>Reforzar la propuesta de valor específica (deuda con el SII/Tesorería) desde el primer bloque visible de la página.</w:t>
      </w:r>
    </w:p>
    <w:p>
      <w:r>
        <w:rPr>
          <w:b/>
          <w:color w:val="2C3A63"/>
          <w:sz w:val="28"/>
        </w:rPr>
        <w:t>Prioridad 3 — Prueba social</w:t>
      </w:r>
    </w:p>
    <w:p>
      <w:pPr>
        <w:pStyle w:val="ListBullet"/>
      </w:pPr>
      <w:r>
        <w:rPr>
          <w:color w:val="1A1E17"/>
          <w:sz w:val="22"/>
        </w:rPr>
        <w:t>Incorporar prueba social numérica (casos resueltos, años de operación) en la home, complementando los testimonios en video ya existentes.</w:t>
      </w:r>
    </w:p>
    <w:p>
      <w:r>
        <w:rPr>
          <w:b/>
          <w:color w:val="2C3A63"/>
          <w:sz w:val="28"/>
        </w:rPr>
        <w:t>Prioridad 4 — Campañas</w:t>
      </w:r>
    </w:p>
    <w:p>
      <w:pPr>
        <w:pStyle w:val="ListBullet"/>
      </w:pPr>
      <w:r>
        <w:rPr>
          <w:color w:val="1A1E17"/>
          <w:sz w:val="22"/>
        </w:rPr>
        <w:t>Publicar el set de anuncios del Anexo A (5 variantes con ángulos distintos) como primera tanda de testing.</w:t>
      </w:r>
    </w:p>
    <w:p>
      <w:pPr>
        <w:pStyle w:val="ListBullet"/>
      </w:pPr>
      <w:r>
        <w:rPr>
          <w:color w:val="1A1E17"/>
          <w:sz w:val="22"/>
        </w:rPr>
        <w:t>Reportar estructura de campañas, presupuesto y resultados de forma quincenal: CTR, CPC, ROAS y costo por lead, segmentado por campaña.</w:t>
      </w:r>
    </w:p>
    <w:p>
      <w:r>
        <w:rPr>
          <w:b/>
          <w:color w:val="2C3A63"/>
          <w:sz w:val="28"/>
        </w:rPr>
        <w:t>Anexo A — Anuncios listos para publicar</w:t>
      </w:r>
    </w:p>
    <w:p>
      <w:r>
        <w:rPr>
          <w:b/>
          <w:color w:val="1A1E17"/>
          <w:sz w:val="24"/>
        </w:rPr>
        <w:t>1. Ángulo resultado / testimonio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Hook:</w:t>
      </w:r>
      <w:r>
        <w:rPr>
          <w:color w:val="1A1E17"/>
          <w:sz w:val="22"/>
        </w:rPr>
        <w:t xml:space="preserve"> "Eduardo pensó que el SII le iba a quitar la empresa. Hoy sigue funcionando."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Copy:</w:t>
      </w:r>
      <w:r>
        <w:rPr>
          <w:color w:val="1A1E17"/>
          <w:sz w:val="22"/>
        </w:rPr>
        <w:t xml:space="preserve"> Cuando la deuda con el SII empieza a crecer, el miedo no te deja pensar con claridad. Eduardo pasó por eso — y encontró una salida. Mira su historia y agenda tu diagnóstico gratuito.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CTA:</w:t>
      </w:r>
      <w:r>
        <w:rPr>
          <w:color w:val="1A1E17"/>
          <w:sz w:val="22"/>
        </w:rPr>
        <w:t xml:space="preserve"> Agendar diagnóstico gratuito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Formato:</w:t>
      </w:r>
      <w:r>
        <w:rPr>
          <w:color w:val="1A1E17"/>
          <w:sz w:val="22"/>
        </w:rPr>
        <w:t xml:space="preserve"> Video (testimonio existente, recortado a 30–45s)</w:t>
      </w:r>
    </w:p>
    <w:p>
      <w:r>
        <w:rPr>
          <w:b/>
          <w:color w:val="1A1E17"/>
          <w:sz w:val="24"/>
        </w:rPr>
        <w:t>2. Ángulo problema / urgencia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Hook:</w:t>
      </w:r>
      <w:r>
        <w:rPr>
          <w:color w:val="1A1E17"/>
          <w:sz w:val="22"/>
        </w:rPr>
        <w:t xml:space="preserve"> "Si te llegó una notificación del SII y la estás dejando pasar, cada día que espera cuesta más caro."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Copy:</w:t>
      </w:r>
      <w:r>
        <w:rPr>
          <w:color w:val="1A1E17"/>
          <w:sz w:val="22"/>
        </w:rPr>
        <w:t xml:space="preserve"> Una fiscalización o una deuda tributaria no se resuelve sola — y mientras más tiempo pasa, más intereses y multas se acumulan. Habla hoy con un equipo especializado en defensa del contribuyente.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CTA:</w:t>
      </w:r>
      <w:r>
        <w:rPr>
          <w:color w:val="1A1E17"/>
          <w:sz w:val="22"/>
        </w:rPr>
        <w:t xml:space="preserve"> Quiero mi diagnóstico gratuito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Formato:</w:t>
      </w:r>
      <w:r>
        <w:rPr>
          <w:color w:val="1A1E17"/>
          <w:sz w:val="22"/>
        </w:rPr>
        <w:t xml:space="preserve"> Imagen o carrusel</w:t>
      </w:r>
    </w:p>
    <w:p>
      <w:r>
        <w:rPr>
          <w:b/>
          <w:color w:val="1A1E17"/>
          <w:sz w:val="24"/>
        </w:rPr>
        <w:t>3. Ángulo prueba social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Hook:</w:t>
      </w:r>
      <w:r>
        <w:rPr>
          <w:color w:val="1A1E17"/>
          <w:sz w:val="22"/>
        </w:rPr>
        <w:t xml:space="preserve"> "[completar con el número real] pymes ya resolvieron su deuda con el SII con nosotros."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Copy:</w:t>
      </w:r>
      <w:r>
        <w:rPr>
          <w:color w:val="1A1E17"/>
          <w:sz w:val="22"/>
        </w:rPr>
        <w:t xml:space="preserve"> No estás solo enfrentando esto. Emprendedores de todo Chile han recuperado su tranquilidad financiera con Defensor del Contribuyente. Conoce cómo podemos ayudarte.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CTA:</w:t>
      </w:r>
      <w:r>
        <w:rPr>
          <w:color w:val="1A1E17"/>
          <w:sz w:val="22"/>
        </w:rPr>
        <w:t xml:space="preserve"> Ver cómo podemos ayudarte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Formato:</w:t>
      </w:r>
      <w:r>
        <w:rPr>
          <w:color w:val="1A1E17"/>
          <w:sz w:val="22"/>
        </w:rPr>
        <w:t xml:space="preserve"> Carrusel con 3–4 testimonios en video existentes. Uso sugerido: retargeting de visitantes del sitio.</w:t>
      </w:r>
    </w:p>
    <w:p>
      <w:r>
        <w:rPr>
          <w:b/>
          <w:color w:val="1A1E17"/>
          <w:sz w:val="24"/>
        </w:rPr>
        <w:t>4. Ángulo curiosidad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Hook:</w:t>
      </w:r>
      <w:r>
        <w:rPr>
          <w:color w:val="1A1E17"/>
          <w:sz w:val="22"/>
        </w:rPr>
        <w:t xml:space="preserve"> "La mayoría de las pymes no sabe que existe la prescripción tributaria. Puede que tu deuda ya no sea exigible."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Copy:</w:t>
      </w:r>
      <w:r>
        <w:rPr>
          <w:color w:val="1A1E17"/>
          <w:sz w:val="22"/>
        </w:rPr>
        <w:t xml:space="preserve"> Muchos contribuyentes pagan deudas que legalmente ya prescribieron, solo por desconocimiento. Revisa tu caso gratis con un abogado tributario.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CTA:</w:t>
      </w:r>
      <w:r>
        <w:rPr>
          <w:color w:val="1A1E17"/>
          <w:sz w:val="22"/>
        </w:rPr>
        <w:t xml:space="preserve"> Revisar mi caso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Formato:</w:t>
      </w:r>
      <w:r>
        <w:rPr>
          <w:color w:val="1A1E17"/>
          <w:sz w:val="22"/>
        </w:rPr>
        <w:t xml:space="preserve"> Imagen simple, texto grande</w:t>
      </w:r>
    </w:p>
    <w:p>
      <w:r>
        <w:rPr>
          <w:b/>
          <w:color w:val="1A1E17"/>
          <w:sz w:val="24"/>
        </w:rPr>
        <w:t>5. Ángulo contraste (antes/después)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Hook:</w:t>
      </w:r>
      <w:r>
        <w:rPr>
          <w:color w:val="1A1E17"/>
          <w:sz w:val="22"/>
        </w:rPr>
        <w:t xml:space="preserve"> "Antes: llamadas de Tesorería todos los meses. Ahora: un plan de pago que sí puede cumplir."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Copy:</w:t>
      </w:r>
      <w:r>
        <w:rPr>
          <w:color w:val="1A1E17"/>
          <w:sz w:val="22"/>
        </w:rPr>
        <w:t xml:space="preserve"> Convenios y condonaciones bien negociados cambian por completo la relación de una pyme con su deuda fiscal. Conversemos sobre tu situación, sin costo.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CTA:</w:t>
      </w:r>
      <w:r>
        <w:rPr>
          <w:color w:val="1A1E17"/>
          <w:sz w:val="22"/>
        </w:rPr>
        <w:t xml:space="preserve"> Conversar por WhatsApp</w:t>
      </w:r>
    </w:p>
    <w:p>
      <w:pPr>
        <w:pStyle w:val="ListBullet"/>
      </w:pPr>
      <w:r>
        <w:rPr>
          <w:color w:val="1A1E17"/>
          <w:sz w:val="22"/>
        </w:rPr>
      </w:r>
      <w:r>
        <w:rPr>
          <w:b/>
          <w:color w:val="1A1E17"/>
          <w:sz w:val="22"/>
        </w:rPr>
        <w:t>Formato:</w:t>
      </w:r>
      <w:r>
        <w:rPr>
          <w:color w:val="1A1E17"/>
          <w:sz w:val="22"/>
        </w:rPr>
        <w:t xml:space="preserve"> Imagen — destino WhatsApp, no el formulario largo</w:t>
      </w:r>
    </w:p>
    <w:p>
      <w:r>
        <w:rPr>
          <w:b/>
          <w:color w:val="2C3A63"/>
          <w:sz w:val="28"/>
        </w:rPr>
        <w:t>Criterios de aceptación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C3A63"/>
          </w:tcPr>
          <w:p>
            <w:r/>
            <w:r>
              <w:rPr>
                <w:b/>
                <w:color w:val="FFFFFF"/>
                <w:sz w:val="20"/>
              </w:rPr>
              <w:t>Punto</w:t>
            </w:r>
          </w:p>
        </w:tc>
        <w:tc>
          <w:tcPr>
            <w:tcW w:type="dxa" w:w="4873"/>
            <w:shd w:fill="2C3A63"/>
          </w:tcPr>
          <w:p>
            <w:r/>
            <w:r>
              <w:rPr>
                <w:b/>
                <w:color w:val="FFFFFF"/>
                <w:sz w:val="20"/>
              </w:rPr>
              <w:t>Cómo se valida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Meta Pixel activo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Evento visible en el Administrador de Eventos de Meta al probar el formulario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Formulario corto probado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Reporte de test A/B con al menos 2 semanas de datos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Prueba social numérica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Visible en la home sin necesidad de scroll adicional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Reporte de campañas</w:t>
            </w:r>
          </w:p>
        </w:tc>
        <w:tc>
          <w:tcPr>
            <w:tcW w:type="dxa" w:w="4873"/>
          </w:tcPr>
          <w:p>
            <w:r/>
            <w:r>
              <w:rPr>
                <w:color w:val="1A1E17"/>
                <w:sz w:val="20"/>
              </w:rPr>
              <w:t>Entrega quincenal con las métricas indicadas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E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