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Alcance Técnico — Landing Page y Meta Ads</w:t>
      </w:r>
    </w:p>
    <w:p>
      <w:r>
        <w:rPr>
          <w:b/>
        </w:rPr>
        <w:t xml:space="preserve">Sitio: </w:t>
      </w:r>
      <w:r>
        <w:t>defensordelcontribuyente.cl</w:t>
        <w:br/>
      </w:r>
      <w:r>
        <w:rPr>
          <w:b/>
        </w:rPr>
        <w:t xml:space="preserve">Fecha: </w:t>
      </w:r>
      <w:r>
        <w:t>19 de agosto de 2026 (segunda corrida, complementada con datos reales de GA4)</w:t>
        <w:br/>
      </w:r>
      <w:r>
        <w:rPr>
          <w:b/>
        </w:rPr>
        <w:t xml:space="preserve">Preparado para: </w:t>
      </w:r>
      <w:r>
        <w:t>equipo de marketing entrante</w:t>
      </w:r>
    </w:p>
    <w:p>
      <w:pPr>
        <w:pStyle w:val="Heading1"/>
      </w:pPr>
      <w:r>
        <w:t>Resumen del alcance</w:t>
      </w:r>
    </w:p>
    <w:p>
      <w:r>
        <w:t>Este documento detalla las modificaciones requeridas en la landing page y la puesta a punto necesaria antes de operar campañas en Meta Ads, ordenadas por prioridad. Esta versión incorpora datos reales de comportamiento obtenidos vía el MCP oficial de Google Analytics.</w:t>
      </w:r>
    </w:p>
    <w:p>
      <w:pPr>
        <w:pStyle w:val="Heading1"/>
      </w:pPr>
      <w:r>
        <w:t>Datos reales de conversión (nuevo — vía GA4, últimos 30 días)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Sesiones</w:t>
            </w:r>
          </w:p>
        </w:tc>
        <w:tc>
          <w:tcPr>
            <w:tcW w:type="dxa" w:w="2160"/>
          </w:tcPr>
          <w:p>
            <w:r>
              <w:t>Tasa de rebote</w:t>
            </w:r>
          </w:p>
        </w:tc>
        <w:tc>
          <w:tcPr>
            <w:tcW w:type="dxa" w:w="2160"/>
          </w:tcPr>
          <w:p>
            <w:r>
              <w:t>Duración media</w:t>
            </w:r>
          </w:p>
        </w:tc>
      </w:tr>
      <w:tr>
        <w:tc>
          <w:tcPr>
            <w:tcW w:type="dxa" w:w="2160"/>
          </w:tcPr>
          <w:p>
            <w:r>
              <w:t>Paid Search</w:t>
            </w:r>
          </w:p>
        </w:tc>
        <w:tc>
          <w:tcPr>
            <w:tcW w:type="dxa" w:w="2160"/>
          </w:tcPr>
          <w:p>
            <w:r>
              <w:t>1.221</w:t>
            </w:r>
          </w:p>
        </w:tc>
        <w:tc>
          <w:tcPr>
            <w:tcW w:type="dxa" w:w="2160"/>
          </w:tcPr>
          <w:p>
            <w:r>
              <w:t>45.4%</w:t>
            </w:r>
          </w:p>
        </w:tc>
        <w:tc>
          <w:tcPr>
            <w:tcW w:type="dxa" w:w="2160"/>
          </w:tcPr>
          <w:p>
            <w:r>
              <w:t>128s</w:t>
            </w:r>
          </w:p>
        </w:tc>
      </w:tr>
      <w:tr>
        <w:tc>
          <w:tcPr>
            <w:tcW w:type="dxa" w:w="2160"/>
          </w:tcPr>
          <w:p>
            <w:r>
              <w:t>Organic Search</w:t>
            </w:r>
          </w:p>
        </w:tc>
        <w:tc>
          <w:tcPr>
            <w:tcW w:type="dxa" w:w="2160"/>
          </w:tcPr>
          <w:p>
            <w:r>
              <w:t>536</w:t>
            </w:r>
          </w:p>
        </w:tc>
        <w:tc>
          <w:tcPr>
            <w:tcW w:type="dxa" w:w="2160"/>
          </w:tcPr>
          <w:p>
            <w:r>
              <w:t>42.4%</w:t>
            </w:r>
          </w:p>
        </w:tc>
        <w:tc>
          <w:tcPr>
            <w:tcW w:type="dxa" w:w="2160"/>
          </w:tcPr>
          <w:p>
            <w:r>
              <w:t>173s</w:t>
            </w:r>
          </w:p>
        </w:tc>
      </w:tr>
      <w:tr>
        <w:tc>
          <w:tcPr>
            <w:tcW w:type="dxa" w:w="2160"/>
          </w:tcPr>
          <w:p>
            <w:r>
              <w:t>Direct</w:t>
            </w:r>
          </w:p>
        </w:tc>
        <w:tc>
          <w:tcPr>
            <w:tcW w:type="dxa" w:w="2160"/>
          </w:tcPr>
          <w:p>
            <w:r>
              <w:t>197</w:t>
            </w:r>
          </w:p>
        </w:tc>
        <w:tc>
          <w:tcPr>
            <w:tcW w:type="dxa" w:w="2160"/>
          </w:tcPr>
          <w:p>
            <w:r>
              <w:t>72.1%</w:t>
            </w:r>
          </w:p>
        </w:tc>
        <w:tc>
          <w:tcPr>
            <w:tcW w:type="dxa" w:w="2160"/>
          </w:tcPr>
          <w:p>
            <w:r>
              <w:t>97s</w:t>
            </w:r>
          </w:p>
        </w:tc>
      </w:tr>
    </w:tbl>
    <w:p>
      <w:pPr>
        <w:pStyle w:val="ListBullet"/>
      </w:pPr>
      <w:r>
        <w:t>El tráfico Direct tiene casi el doble de rebote que Paid Search (72% vs 45%).</w:t>
      </w:r>
    </w:p>
    <w:p>
      <w:pPr>
        <w:pStyle w:val="ListBullet"/>
      </w:pPr>
      <w:r>
        <w:t>Cobranza Fiscal (27 conversiones/mes) y Prescripción Tributaria (14/mes) sí convierten y se cuentan; Fiscalización Tributaria tiene 19 envíos reales pero 0 marcados como conversión (ver Backlog ClickUp GA4, tarea G1).</w:t>
      </w:r>
    </w:p>
    <w:p>
      <w:pPr>
        <w:pStyle w:val="ListBullet"/>
      </w:pPr>
      <w:r>
        <w:t>57% de quienes inician un formulario no lo terminan (141 form_start vs 61 form_submit completados en 30 días).</w:t>
      </w:r>
    </w:p>
    <w:p>
      <w:pPr>
        <w:pStyle w:val="Heading1"/>
      </w:pPr>
      <w:r>
        <w:t>Prioridad 1 — Tracking y medición (crítico, bloqueante para pautar)</w:t>
      </w:r>
    </w:p>
    <w:p>
      <w:pPr>
        <w:pStyle w:val="ListBullet"/>
      </w:pPr>
      <w:r>
        <w:t>Instalar Meta Pixel en la totalidad del sitio — confirmado ausente.</w:t>
      </w:r>
    </w:p>
    <w:p>
      <w:pPr>
        <w:pStyle w:val="ListBullet"/>
      </w:pPr>
      <w:r>
        <w:t>Configurar el evento Lead al enviar el formulario de consulta.</w:t>
      </w:r>
    </w:p>
    <w:p>
      <w:pPr>
        <w:pStyle w:val="ListBullet"/>
      </w:pPr>
      <w:r>
        <w:t>Resolver la duplicidad de GTM (ver Alcance Técnico SEO, Prioridad 1).</w:t>
      </w:r>
    </w:p>
    <w:p>
      <w:pPr>
        <w:pStyle w:val="ListBullet"/>
      </w:pPr>
      <w:r>
        <w:t>Confirmar el estado actual de Meta Business Manager.</w:t>
      </w:r>
    </w:p>
    <w:p>
      <w:pPr>
        <w:pStyle w:val="Heading1"/>
      </w:pPr>
      <w:r>
        <w:t>Prioridad 2 — Optimización de conversión (CRO)</w:t>
      </w:r>
    </w:p>
    <w:p>
      <w:pPr>
        <w:pStyle w:val="ListBullet"/>
      </w:pPr>
      <w:r>
        <w:t>Investigar el 57% de abandono de formulario (dato real GA4).</w:t>
      </w:r>
    </w:p>
    <w:p>
      <w:pPr>
        <w:pStyle w:val="ListBullet"/>
      </w:pPr>
      <w:r>
        <w:t>Investigar por qué el tráfico Direct rebota un 72%.</w:t>
      </w:r>
    </w:p>
    <w:p>
      <w:pPr>
        <w:pStyle w:val="ListBullet"/>
      </w:pPr>
      <w:r>
        <w:t>Diseñar y probar formulario corto para tráfico frío de Meta.</w:t>
      </w:r>
    </w:p>
    <w:p>
      <w:pPr>
        <w:pStyle w:val="ListBullet"/>
      </w:pPr>
      <w:r>
        <w:t>Variar el CTA entre secciones.</w:t>
      </w:r>
    </w:p>
    <w:p>
      <w:pPr>
        <w:pStyle w:val="ListBullet"/>
      </w:pPr>
      <w:r>
        <w:t>Reforzar la propuesta de valor en el primer bloque visible.</w:t>
      </w:r>
    </w:p>
    <w:p>
      <w:pPr>
        <w:pStyle w:val="Heading1"/>
      </w:pPr>
      <w:r>
        <w:t>Prioridad 3 — Prueba social</w:t>
      </w:r>
    </w:p>
    <w:p>
      <w:pPr>
        <w:pStyle w:val="ListBullet"/>
      </w:pPr>
      <w:r>
        <w:t>Incorporar prueba social numérica (casos resueltos, años de operación).</w:t>
      </w:r>
    </w:p>
    <w:p>
      <w:pPr>
        <w:pStyle w:val="Heading1"/>
      </w:pPr>
      <w:r>
        <w:t>Prioridad 4 — Campañas</w:t>
      </w:r>
    </w:p>
    <w:p>
      <w:pPr>
        <w:pStyle w:val="ListBullet"/>
      </w:pPr>
      <w:r>
        <w:t>Publicar el Anexo A (5 variantes) una vez resuelto el Meta Pixel.</w:t>
      </w:r>
    </w:p>
    <w:p>
      <w:pPr>
        <w:pStyle w:val="ListBullet"/>
      </w:pPr>
      <w:r>
        <w:t>Reporte quincenal de campañas: CTR, CPC, ROAS, costo por lead.</w:t>
      </w:r>
    </w:p>
    <w:p>
      <w:pPr>
        <w:pStyle w:val="Heading1"/>
      </w:pPr>
      <w:r>
        <w:t>Anexo A</w:t>
      </w:r>
    </w:p>
    <w:p>
      <w:r>
        <w:t>Sin cambios respecto a la línea base del 17-08-2026 — ver versión anterior del documento para el detalle de las 5 variantes de ángulo.</w:t>
      </w:r>
    </w:p>
    <w:p>
      <w:pPr>
        <w:pStyle w:val="Heading1"/>
      </w:pPr>
      <w:r>
        <w:t>Criterios de aceptación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Punto</w:t>
            </w:r>
          </w:p>
        </w:tc>
        <w:tc>
          <w:tcPr>
            <w:tcW w:type="dxa" w:w="4320"/>
          </w:tcPr>
          <w:p>
            <w:r>
              <w:t>Cómo se valida</w:t>
            </w:r>
          </w:p>
        </w:tc>
      </w:tr>
      <w:tr>
        <w:tc>
          <w:tcPr>
            <w:tcW w:type="dxa" w:w="4320"/>
          </w:tcPr>
          <w:p>
            <w:r>
              <w:t>Meta Pixel activo</w:t>
            </w:r>
          </w:p>
        </w:tc>
        <w:tc>
          <w:tcPr>
            <w:tcW w:type="dxa" w:w="4320"/>
          </w:tcPr>
          <w:p>
            <w:r>
              <w:t>Evento visible en el Administrador de Eventos de Meta.</w:t>
            </w:r>
          </w:p>
        </w:tc>
      </w:tr>
      <w:tr>
        <w:tc>
          <w:tcPr>
            <w:tcW w:type="dxa" w:w="4320"/>
          </w:tcPr>
          <w:p>
            <w:r>
              <w:t>Abandono de formulario reducido</w:t>
            </w:r>
          </w:p>
        </w:tc>
        <w:tc>
          <w:tcPr>
            <w:tcW w:type="dxa" w:w="4320"/>
          </w:tcPr>
          <w:p>
            <w:r>
              <w:t>Tasa form_submit/form_start sobre el 43% actual.</w:t>
            </w:r>
          </w:p>
        </w:tc>
      </w:tr>
      <w:tr>
        <w:tc>
          <w:tcPr>
            <w:tcW w:type="dxa" w:w="4320"/>
          </w:tcPr>
          <w:p>
            <w:r>
              <w:t>Formulario corto probado</w:t>
            </w:r>
          </w:p>
        </w:tc>
        <w:tc>
          <w:tcPr>
            <w:tcW w:type="dxa" w:w="4320"/>
          </w:tcPr>
          <w:p>
            <w:r>
              <w:t>Reporte de test A/B con al menos 2 semanas de datos.</w:t>
            </w:r>
          </w:p>
        </w:tc>
      </w:tr>
      <w:tr>
        <w:tc>
          <w:tcPr>
            <w:tcW w:type="dxa" w:w="4320"/>
          </w:tcPr>
          <w:p>
            <w:r>
              <w:t>Prueba social numérica</w:t>
            </w:r>
          </w:p>
        </w:tc>
        <w:tc>
          <w:tcPr>
            <w:tcW w:type="dxa" w:w="4320"/>
          </w:tcPr>
          <w:p>
            <w:r>
              <w:t>Visible en la home sin scroll adicional.</w:t>
            </w:r>
          </w:p>
        </w:tc>
      </w:tr>
      <w:tr>
        <w:tc>
          <w:tcPr>
            <w:tcW w:type="dxa" w:w="4320"/>
          </w:tcPr>
          <w:p>
            <w:r>
              <w:t>Reporte de campañas</w:t>
            </w:r>
          </w:p>
        </w:tc>
        <w:tc>
          <w:tcPr>
            <w:tcW w:type="dxa" w:w="4320"/>
          </w:tcPr>
          <w:p>
            <w:r>
              <w:t>Entrega quincenal con las métricas indicadas.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