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Nunito Sans" w:hAnsi="Nunito Sans"/>
          <w:b/>
          <w:color w:val="00B4C8"/>
          <w:sz w:val="22"/>
        </w:rPr>
        <w:t>DEFENSOR DEL CONTRIBUYENTE</w:t>
      </w:r>
    </w:p>
    <w:p>
      <w:r>
        <w:rPr>
          <w:rFonts w:ascii="Nunito Sans" w:hAnsi="Nunito Sans"/>
          <w:b/>
          <w:color w:val="FF7B00"/>
          <w:sz w:val="52"/>
        </w:rPr>
        <w:t>Investigación 2 — Políticas y algoritmo Meta 2026</w:t>
      </w:r>
    </w:p>
    <w:p>
      <w:r>
        <w:rPr>
          <w:rFonts w:ascii="Nunito Sans" w:hAnsi="Nunito Sans"/>
          <w:color w:val="1A3A5C"/>
          <w:sz w:val="28"/>
        </w:rPr>
        <w:t>Pixel, IA, video, formatos, algoritmo y configuraciones no cubiertas en la Auditoría 1</w:t>
      </w:r>
    </w:p>
    <w:p>
      <w:r>
        <w:rPr>
          <w:rFonts w:ascii="Nunito Sans" w:hAnsi="Nunito Sans"/>
          <w:color w:val="4A5068"/>
          <w:sz w:val="20"/>
        </w:rPr>
        <w:t>18-08-2026  ·  Uso interno · Cuenta 949295082543787 · Continúa de la Auditoría 1 (17-08-2026)</w:t>
      </w:r>
    </w:p>
    <w:p/>
    <w:p>
      <w:pPr>
        <w:spacing w:before="360" w:after="120"/>
        <w:pBdr>
          <w:bottom w:val="single" w:sz="8" w:space="4" w:color="FF7B00"/>
        </w:pBdr>
      </w:pPr>
      <w:r>
        <w:rPr>
          <w:rFonts w:ascii="Nunito Sans" w:hAnsi="Nunito Sans"/>
          <w:b/>
          <w:color w:val="1A3A5C"/>
          <w:sz w:val="32"/>
        </w:rPr>
        <w:t>Resumen ejecutivo</w:t>
      </w:r>
    </w:p>
    <w:p>
      <w:pPr>
        <w:spacing w:after="160"/>
      </w:pPr>
      <w:r>
        <w:rPr>
          <w:rFonts w:ascii="Nunito Sans" w:hAnsi="Nunito Sans"/>
          <w:color w:val="4A5068"/>
          <w:sz w:val="21"/>
        </w:rPr>
        <w:t>Esta investigación complementa la Auditoría 1 con lo que esa auditoría no cubrió: cómo funciona hoy el algoritmo de Meta, qué exige en materia de medición y de IA, y qué configuraciones de cuenta quedaron sobre la mesa. El hallazgo más importante es de medición: el pixel solo registra PageView, pero como el embudo de DDC es 100% conversacional (WhatsApp/Messenger), la solución no es "agregar un evento Lead" tradicional, sino implementar Click-to-WhatsApp + Conversions API enlazado por ctwa_clid, algo que hoy no existe. Segundo hallazgo relevante: consultamos en vivo la herramienta Opportunity Score de Meta y devolvió 96/100 — un número que a primera vista contradice el 43/100 de la Auditoría 1, pero en realidad no lo hace: son escalas distintas. Opportunity Score es un checklist estructural, no mide eficiencia real. Que la cuenta esté casi perfecta en "configuración" y pésima en "resultados" confirma la tesis central de la Auditoría 1: el problema no es de ajustes, es de creativo estancado y medición ciega. Tercer hallazgo: en 2026 el ciclo de fatiga creativa de Meta (algoritmo Andromeda) bajó de 14-21 días a 5-7 días, lo que explica por qué un anuncio con 16 meses sin refrescar está en el fondo del ranking, confirmado en vivo con una caída de CTR de 40,72% (tendencia "BAD"). El resto del informe cubre IA generativa y su rotulado obligatorio, formatos recomendados, el objetivo de campaña más adecuado para un embudo conversacional, y las restricciones de la categoría financiera/legal.</w:t>
      </w:r>
    </w:p>
    <w:p>
      <w:pPr>
        <w:spacing w:before="240" w:after="80"/>
      </w:pPr>
      <w:r>
        <w:rPr>
          <w:rFonts w:ascii="Nunito Sans" w:hAnsi="Nunito Sans"/>
          <w:b/>
          <w:color w:val="00B4C8"/>
          <w:sz w:val="23"/>
        </w:rPr>
        <w:t>1. PIXEL Y MEDICIÓN 2026: CONVERSIONS API PARA UN EMBUDO CONVERSACIONAL</w:t>
      </w:r>
    </w:p>
    <w:p>
      <w:pPr>
        <w:spacing w:after="160"/>
      </w:pPr>
      <w:r>
        <w:rPr>
          <w:rFonts w:ascii="Nunito Sans" w:hAnsi="Nunito Sans"/>
          <w:b/>
          <w:color w:val="1A3A5C"/>
          <w:sz w:val="21"/>
        </w:rPr>
        <w:t xml:space="preserve">Hallazgo: </w:t>
      </w:r>
      <w:r>
        <w:rPr>
          <w:rFonts w:ascii="Nunito Sans" w:hAnsi="Nunito Sans"/>
          <w:color w:val="4A5068"/>
          <w:sz w:val="21"/>
        </w:rPr>
        <w:t>La documentación oficial de Meta for Developers confirma que la Conversions API (CAPI) ya no es solo "web + app": ahora soporta explícitamente eventos de mensajería de negocio, además de web, app y offline. Para Click-to-WhatsApp (CTWA), cuando alguien hace clic en el anuncio y manda el primer mensaje, Meta incluye automáticamente un identificador ctwa_clid en el webhook de WhatsApp Business, que enlaza esa conversación con el anuncio de origen sin configuración adicional. La pieza que falta es que el negocio reenvíe a Meta vía CAPI los eventos de negocio reales (lead calificado, agendó diagnóstico, firmó contrato) empaquetados con ese mismo ctwa_clid. Sin ese reenvío, "optimizar solo por inicio de conversación" tiende a degradar la calidad del lead con el tiempo — es literalmente lo que le está pasando a la única campaña activa de DDC. Nota técnica adicional: en junio de 2025 Meta eliminó el límite de 8 eventos priorizados en Aggregated Event Measurement (AEM) — ya no hay que priorizar eventos manualmente, lo que simplifica el setup para una cuenta chica como esta.</w:t>
      </w:r>
    </w:p>
    <w:p>
      <w:pPr>
        <w:spacing w:after="200"/>
      </w:pPr>
      <w:r>
        <w:rPr>
          <w:rFonts w:ascii="Nunito Sans" w:hAnsi="Nunito Sans"/>
          <w:b/>
          <w:color w:val="1A3A5C"/>
          <w:sz w:val="18"/>
        </w:rPr>
        <w:t xml:space="preserve">Fuente: </w:t>
      </w:r>
      <w:hyperlink r:id="rId9">
        <w:r>
          <w:rPr>
            <w:rFonts w:ascii="Nunito Sans"/>
            <w:color w:val="00B4C8"/>
            <w:u w:val="single"/>
            <w:sz w:val="19"/>
          </w:rPr>
          <w:t>Conversions API — Meta for Developers</w:t>
        </w:r>
      </w:hyperlink>
      <w:r>
        <w:rPr>
          <w:rFonts w:ascii="Nunito Sans" w:hAnsi="Nunito Sans"/>
          <w:color w:val="4A5068"/>
          <w:sz w:val="18"/>
        </w:rPr>
        <w:t xml:space="preserve">  ·  </w:t>
      </w:r>
      <w:hyperlink r:id="rId10">
        <w:r>
          <w:rPr>
            <w:rFonts w:ascii="Nunito Sans"/>
            <w:color w:val="00B4C8"/>
            <w:u w:val="single"/>
            <w:sz w:val="19"/>
          </w:rPr>
          <w:t>Meta Conversions API for Click to WhatsApp Ads</w:t>
        </w:r>
      </w:hyperlink>
      <w:r>
        <w:rPr>
          <w:rFonts w:ascii="Nunito Sans" w:hAnsi="Nunito Sans"/>
          <w:color w:val="4A5068"/>
          <w:sz w:val="18"/>
        </w:rPr>
        <w:t xml:space="preserve">  ·  </w:t>
      </w:r>
      <w:hyperlink r:id="rId11">
        <w:r>
          <w:rPr>
            <w:rFonts w:ascii="Nunito Sans"/>
            <w:color w:val="00B4C8"/>
            <w:u w:val="single"/>
            <w:sz w:val="19"/>
          </w:rPr>
          <w:t>WhatsApp Conversions API: A Marketer's Guide to CTWA Attribution</w:t>
        </w:r>
      </w:hyperlink>
      <w:r>
        <w:rPr>
          <w:rFonts w:ascii="Nunito Sans" w:hAnsi="Nunito Sans"/>
          <w:color w:val="4A5068"/>
          <w:sz w:val="18"/>
        </w:rPr>
        <w:t xml:space="preserve">  ·  </w:t>
      </w:r>
      <w:hyperlink r:id="rId12">
        <w:r>
          <w:rPr>
            <w:rFonts w:ascii="Nunito Sans"/>
            <w:color w:val="00B4C8"/>
            <w:u w:val="single"/>
            <w:sz w:val="19"/>
          </w:rPr>
          <w:t>Aggregated Event Measurement (AEM): 2026 Meta Setup Guide</w:t>
        </w:r>
      </w:hyperlink>
    </w:p>
    <w:p>
      <w:pPr>
        <w:spacing w:after="160"/>
      </w:pPr>
      <w:r>
        <w:rPr>
          <w:rFonts w:ascii="Nunito Sans" w:hAnsi="Nunito Sans"/>
          <w:b/>
          <w:color w:val="1A3A5C"/>
          <w:sz w:val="21"/>
        </w:rPr>
        <w:t xml:space="preserve">Implicación práctica para DDC: </w:t>
      </w:r>
      <w:r>
        <w:rPr>
          <w:rFonts w:ascii="Nunito Sans" w:hAnsi="Nunito Sans"/>
          <w:color w:val="4A5068"/>
          <w:sz w:val="21"/>
        </w:rPr>
        <w:t>No sirve pedirle al equipo técnico "agreguen el evento Lead al pixel" — no hay landing page donde dispararlo. Lo que hay que construir es: (1) activar destino WhatsApp con CTWA en la campaña, (2) conectar CAPI de mensajería con ctwa_clid, (3) definir manualmente en el flujo de atención qué conversación cuenta como "lead calificado" y reenviar ese evento a Meta. Cerrar ese circuito es la mejora de medición de mayor apalancamiento antes de lanzar contenido nuevo.</w:t>
      </w:r>
    </w:p>
    <w:p>
      <w:pPr>
        <w:spacing w:before="240" w:after="80"/>
      </w:pPr>
      <w:r>
        <w:rPr>
          <w:rFonts w:ascii="Nunito Sans" w:hAnsi="Nunito Sans"/>
          <w:b/>
          <w:color w:val="00B4C8"/>
          <w:sz w:val="23"/>
        </w:rPr>
        <w:t>2. CONTENIDO GENERADO CON IA VS. SIN IA: DIVULGACIÓN Y DESEMPEÑO</w:t>
      </w:r>
    </w:p>
    <w:p>
      <w:pPr>
        <w:spacing w:after="160"/>
      </w:pPr>
      <w:r>
        <w:rPr>
          <w:rFonts w:ascii="Nunito Sans" w:hAnsi="Nunito Sans"/>
          <w:b/>
          <w:color w:val="1A3A5C"/>
          <w:sz w:val="21"/>
        </w:rPr>
        <w:t xml:space="preserve">Hallazgo: </w:t>
      </w:r>
      <w:r>
        <w:rPr>
          <w:rFonts w:ascii="Nunito Sans" w:hAnsi="Nunito Sans"/>
          <w:color w:val="4A5068"/>
          <w:sz w:val="21"/>
        </w:rPr>
        <w:t>Meta confirmó oficialmente (Transparency Center) que desde el 1 de junio de 2026 usa detección automática para identificar cuándo el contenido de un anuncio fue creado o editado con IA generativa de terceros; cuando lo detecta, agrega una etiqueta "Información sobre la IA" visible en "Acerca de este anuncio". Fuentes de la industria reportan que cuando Meta evalúa un contenido con IA como "engañoso" — típicamente audio o voz de IA no declarada — el alcance puede caer hasta ~80%; el castigo es por no declarar/engañar, no por usar IA en sí. Sobre desempeño, la evidencia es mixta según etapa del embudo: en tráfico frío el CPA de avatar IA queda dentro de un 10-15% del de persona real, pero en tráfico cálido (retargeting) el testimonio real supera al avatar IA en tasa de conversión por 20-25%.</w:t>
      </w:r>
    </w:p>
    <w:p>
      <w:pPr>
        <w:spacing w:after="200"/>
      </w:pPr>
      <w:r>
        <w:rPr>
          <w:rFonts w:ascii="Nunito Sans" w:hAnsi="Nunito Sans"/>
          <w:b/>
          <w:color w:val="1A3A5C"/>
          <w:sz w:val="18"/>
        </w:rPr>
        <w:t xml:space="preserve">Fuente: </w:t>
      </w:r>
      <w:hyperlink r:id="rId13">
        <w:r>
          <w:rPr>
            <w:rFonts w:ascii="Nunito Sans"/>
            <w:color w:val="00B4C8"/>
            <w:u w:val="single"/>
            <w:sz w:val="19"/>
          </w:rPr>
          <w:t>Labeling AI Content — Meta Transparency Center</w:t>
        </w:r>
      </w:hyperlink>
      <w:r>
        <w:rPr>
          <w:rFonts w:ascii="Nunito Sans" w:hAnsi="Nunito Sans"/>
          <w:color w:val="4A5068"/>
          <w:sz w:val="18"/>
        </w:rPr>
        <w:t xml:space="preserve">  ·  </w:t>
      </w:r>
      <w:hyperlink r:id="rId14">
        <w:r>
          <w:rPr>
            <w:rFonts w:ascii="Nunito Sans"/>
            <w:color w:val="00B4C8"/>
            <w:u w:val="single"/>
            <w:sz w:val="19"/>
          </w:rPr>
          <w:t>AI Disclosures — Meta Transparency Center</w:t>
        </w:r>
      </w:hyperlink>
      <w:r>
        <w:rPr>
          <w:rFonts w:ascii="Nunito Sans" w:hAnsi="Nunito Sans"/>
          <w:color w:val="4A5068"/>
          <w:sz w:val="18"/>
        </w:rPr>
        <w:t xml:space="preserve">  ·  </w:t>
      </w:r>
      <w:hyperlink r:id="rId15">
        <w:r>
          <w:rPr>
            <w:rFonts w:ascii="Nunito Sans"/>
            <w:color w:val="00B4C8"/>
            <w:u w:val="single"/>
            <w:sz w:val="19"/>
          </w:rPr>
          <w:t>AI UGC Ads vs Real UGC 2026</w:t>
        </w:r>
      </w:hyperlink>
      <w:r>
        <w:rPr>
          <w:rFonts w:ascii="Nunito Sans" w:hAnsi="Nunito Sans"/>
          <w:color w:val="4A5068"/>
          <w:sz w:val="18"/>
        </w:rPr>
        <w:t xml:space="preserve">  ·  </w:t>
      </w:r>
      <w:hyperlink r:id="rId16">
        <w:r>
          <w:rPr>
            <w:rFonts w:ascii="Nunito Sans"/>
            <w:color w:val="00B4C8"/>
            <w:u w:val="single"/>
            <w:sz w:val="19"/>
          </w:rPr>
          <w:t>AI UGC vs Real Human UGC 2026</w:t>
        </w:r>
      </w:hyperlink>
    </w:p>
    <w:p>
      <w:pPr>
        <w:spacing w:after="160"/>
      </w:pPr>
      <w:r>
        <w:rPr>
          <w:rFonts w:ascii="Nunito Sans" w:hAnsi="Nunito Sans"/>
          <w:b/>
          <w:color w:val="1A3A5C"/>
          <w:sz w:val="21"/>
        </w:rPr>
        <w:t xml:space="preserve">Implicación práctica para DDC: </w:t>
      </w:r>
      <w:r>
        <w:rPr>
          <w:rFonts w:ascii="Nunito Sans" w:hAnsi="Nunito Sans"/>
          <w:color w:val="4A5068"/>
          <w:sz w:val="21"/>
        </w:rPr>
        <w:t>El banco de 70 creativos ya incluye avatar IA rotulado como tal — cumplen la divulgación. La decisión que falta es de criterio de uso: avatar IA para prospección fría y para testear ángulos rápido (costo/velocidad muy inferior); testimonio real en estudio reservado para audiencias cálidas y remarketing, donde la conversión sí se resiente sin persona real. Verificar que el material con avatar IA tenga el control de divulgación activado en Ads Manager, no solo un rótulo visual en el video.</w:t>
      </w:r>
    </w:p>
    <w:p>
      <w:pPr>
        <w:spacing w:before="240" w:after="80"/>
      </w:pPr>
      <w:r>
        <w:rPr>
          <w:rFonts w:ascii="Nunito Sans" w:hAnsi="Nunito Sans"/>
          <w:b/>
          <w:color w:val="00B4C8"/>
          <w:sz w:val="23"/>
        </w:rPr>
        <w:t>3. VIDEO DE PERSONAS REALES VS. VIDEO EDITADO/MOTION: QUÉ FAVORECE EL ALGORITMO</w:t>
      </w:r>
    </w:p>
    <w:p>
      <w:pPr>
        <w:spacing w:after="160"/>
      </w:pPr>
      <w:r>
        <w:rPr>
          <w:rFonts w:ascii="Nunito Sans" w:hAnsi="Nunito Sans"/>
          <w:b/>
          <w:color w:val="1A3A5C"/>
          <w:sz w:val="21"/>
        </w:rPr>
        <w:t xml:space="preserve">Hallazgo: </w:t>
      </w:r>
      <w:r>
        <w:rPr>
          <w:rFonts w:ascii="Nunito Sans" w:hAnsi="Nunito Sans"/>
          <w:color w:val="4A5068"/>
          <w:sz w:val="21"/>
        </w:rPr>
        <w:t>No hay evidencia de que Meta favorezca estructuralmente un método de producción sobre otro. El Adaptive Ranking Model 2026 trata video, estático y contenido deslizable como un mismo sistema creativo, y rankea según señales de respuesta (CTR, hook rate, hold rate, costo por vista de 3 segundos), sin distinguir el método de producción. Benchmarks 2026: hook rate ≥25% aceptable, 30-35% fuerte en tráfico frío; retención de Reels 45-65%. Sobre duración hay señales mixtas: una fuente ubica el sweet spot en 6-15 segundos; otra reporta que 45-59 segundos logra 74,8% de finalización, y que en verticales de decisión compleja (seguros, servicios financieros) un formato explicativo de 50 segundos generó 38,4% más registros que anuncios de menos de 15 segundos.</w:t>
      </w:r>
    </w:p>
    <w:p>
      <w:pPr>
        <w:spacing w:after="200"/>
      </w:pPr>
      <w:r>
        <w:rPr>
          <w:rFonts w:ascii="Nunito Sans" w:hAnsi="Nunito Sans"/>
          <w:b/>
          <w:color w:val="1A3A5C"/>
          <w:sz w:val="18"/>
        </w:rPr>
        <w:t xml:space="preserve">Fuente: </w:t>
      </w:r>
      <w:hyperlink r:id="rId17">
        <w:r>
          <w:rPr>
            <w:rFonts w:ascii="Nunito Sans"/>
            <w:color w:val="00B4C8"/>
            <w:u w:val="single"/>
            <w:sz w:val="19"/>
          </w:rPr>
          <w:t>How Meta's Ads Algorithm Works in 2026</w:t>
        </w:r>
      </w:hyperlink>
      <w:r>
        <w:rPr>
          <w:rFonts w:ascii="Nunito Sans" w:hAnsi="Nunito Sans"/>
          <w:color w:val="4A5068"/>
          <w:sz w:val="18"/>
        </w:rPr>
        <w:t xml:space="preserve">  ·  </w:t>
      </w:r>
      <w:hyperlink r:id="rId18">
        <w:r>
          <w:rPr>
            <w:rFonts w:ascii="Nunito Sans"/>
            <w:color w:val="00B4C8"/>
            <w:u w:val="single"/>
            <w:sz w:val="19"/>
          </w:rPr>
          <w:t>Hook Rate Benchmarks 2026</w:t>
        </w:r>
      </w:hyperlink>
      <w:r>
        <w:rPr>
          <w:rFonts w:ascii="Nunito Sans" w:hAnsi="Nunito Sans"/>
          <w:color w:val="4A5068"/>
          <w:sz w:val="18"/>
        </w:rPr>
        <w:t xml:space="preserve">  ·  </w:t>
      </w:r>
      <w:hyperlink r:id="rId19">
        <w:r>
          <w:rPr>
            <w:rFonts w:ascii="Nunito Sans"/>
            <w:color w:val="00B4C8"/>
            <w:u w:val="single"/>
            <w:sz w:val="19"/>
          </w:rPr>
          <w:t>Retention Benchmarks 2026</w:t>
        </w:r>
      </w:hyperlink>
      <w:r>
        <w:rPr>
          <w:rFonts w:ascii="Nunito Sans" w:hAnsi="Nunito Sans"/>
          <w:color w:val="4A5068"/>
          <w:sz w:val="18"/>
        </w:rPr>
        <w:t xml:space="preserve">  ·  </w:t>
      </w:r>
      <w:hyperlink r:id="rId20">
        <w:r>
          <w:rPr>
            <w:rFonts w:ascii="Nunito Sans"/>
            <w:color w:val="00B4C8"/>
            <w:u w:val="single"/>
            <w:sz w:val="19"/>
          </w:rPr>
          <w:t>Meta Video Ads: Formats, Specs &amp; Best Practices 2026</w:t>
        </w:r>
      </w:hyperlink>
    </w:p>
    <w:p>
      <w:pPr>
        <w:spacing w:after="160"/>
      </w:pPr>
      <w:r>
        <w:rPr>
          <w:rFonts w:ascii="Nunito Sans" w:hAnsi="Nunito Sans"/>
          <w:b/>
          <w:color w:val="1A3A5C"/>
          <w:sz w:val="21"/>
        </w:rPr>
        <w:t xml:space="preserve">Implicación práctica para DDC: </w:t>
      </w:r>
      <w:r>
        <w:rPr>
          <w:rFonts w:ascii="Nunito Sans" w:hAnsi="Nunito Sans"/>
          <w:color w:val="4A5068"/>
          <w:sz w:val="21"/>
        </w:rPr>
        <w:t>No elegir "real vs. editado" por dogma del algoritmo — elegir por objetivo del gancho y medir hook rate/hold rate. Ángulos de miedo/urgencia (embargo, cobranza) probablemente rinden mejor cortos y directos (15-20s); el ángulo de autoridad o el slide tipo "paper" que explica un concepto tributario complejo puede justificar un formato más largo (30-50s), dado que resolver deuda fiscal es una decisión de alta consideración. Instrumentar hook rate y hold rate como métricas de diagnóstico estándar para cada pieza nueva.</w:t>
      </w:r>
    </w:p>
    <w:p>
      <w:pPr>
        <w:spacing w:before="240" w:after="80"/>
      </w:pPr>
      <w:r>
        <w:rPr>
          <w:rFonts w:ascii="Nunito Sans" w:hAnsi="Nunito Sans"/>
          <w:b/>
          <w:color w:val="00B4C8"/>
          <w:sz w:val="23"/>
        </w:rPr>
        <w:t>4. FORMATOS SUGERIDOS POR META: POR QUÉ INSISTE EN IMAGEN + VIDEO</w:t>
      </w:r>
    </w:p>
    <w:p>
      <w:pPr>
        <w:spacing w:after="160"/>
      </w:pPr>
      <w:r>
        <w:rPr>
          <w:rFonts w:ascii="Nunito Sans" w:hAnsi="Nunito Sans"/>
          <w:b/>
          <w:color w:val="1A3A5C"/>
          <w:sz w:val="21"/>
        </w:rPr>
        <w:t xml:space="preserve">Hallazgo: </w:t>
      </w:r>
      <w:r>
        <w:rPr>
          <w:rFonts w:ascii="Nunito Sans" w:hAnsi="Nunito Sans"/>
          <w:color w:val="4A5068"/>
          <w:sz w:val="21"/>
        </w:rPr>
        <w:t>Se consultó en vivo Opportunity Score sobre la cuenta y la única recomendación activa hoy es "mixed_formats" sobre el ad set 120220706972740095: combinar imagen y video en el mismo conjunto, con una mejora estimada de +4 puntos. Confirma con precisión, en vivo, el hallazgo de la Auditoría 1 de que "Meta ya lo recomendó". La literatura 2026 es consistente en que Advantage+ Creative rinde mejor con volumen: mínimo recomendado 10-20 activos variados por ad set (cuentas top suben 12-19 creativos nuevos por semana). Carrusel gana cuando hay que mostrar varios beneficios de forma barata y testeable; video gana en storytelling/testimonio.</w:t>
      </w:r>
    </w:p>
    <w:p>
      <w:pPr>
        <w:spacing w:after="200"/>
      </w:pPr>
      <w:r>
        <w:rPr>
          <w:rFonts w:ascii="Nunito Sans" w:hAnsi="Nunito Sans"/>
          <w:b/>
          <w:color w:val="1A3A5C"/>
          <w:sz w:val="18"/>
        </w:rPr>
        <w:t xml:space="preserve">Fuente: </w:t>
      </w:r>
      <w:r>
        <w:rPr>
          <w:rFonts w:ascii="Nunito Sans" w:hAnsi="Nunito Sans"/>
          <w:color w:val="4A5068"/>
          <w:sz w:val="18"/>
        </w:rPr>
        <w:t>Opportunity Score en vivo — Meta Ads MCP</w:t>
      </w:r>
      <w:r>
        <w:rPr>
          <w:rFonts w:ascii="Nunito Sans" w:hAnsi="Nunito Sans"/>
          <w:color w:val="4A5068"/>
          <w:sz w:val="18"/>
        </w:rPr>
        <w:t xml:space="preserve">  ·  </w:t>
      </w:r>
      <w:hyperlink r:id="rId21">
        <w:r>
          <w:rPr>
            <w:rFonts w:ascii="Nunito Sans"/>
            <w:color w:val="00B4C8"/>
            <w:u w:val="single"/>
            <w:sz w:val="19"/>
          </w:rPr>
          <w:t>Meta Advantage+ Creative Best Practices 2026</w:t>
        </w:r>
      </w:hyperlink>
      <w:r>
        <w:rPr>
          <w:rFonts w:ascii="Nunito Sans" w:hAnsi="Nunito Sans"/>
          <w:color w:val="4A5068"/>
          <w:sz w:val="18"/>
        </w:rPr>
        <w:t xml:space="preserve">  ·  </w:t>
      </w:r>
      <w:hyperlink r:id="rId22">
        <w:r>
          <w:rPr>
            <w:rFonts w:ascii="Nunito Sans"/>
            <w:color w:val="00B4C8"/>
            <w:u w:val="single"/>
            <w:sz w:val="19"/>
          </w:rPr>
          <w:t>Meta Ads Creative Best Practices 2026</w:t>
        </w:r>
      </w:hyperlink>
    </w:p>
    <w:p>
      <w:pPr>
        <w:spacing w:after="160"/>
      </w:pPr>
      <w:r>
        <w:rPr>
          <w:rFonts w:ascii="Nunito Sans" w:hAnsi="Nunito Sans"/>
          <w:b/>
          <w:color w:val="1A3A5C"/>
          <w:sz w:val="21"/>
        </w:rPr>
        <w:t xml:space="preserve">Implicación práctica para DDC: </w:t>
      </w:r>
      <w:r>
        <w:rPr>
          <w:rFonts w:ascii="Nunito Sans" w:hAnsi="Nunito Sans"/>
          <w:color w:val="4A5068"/>
          <w:sz w:val="21"/>
        </w:rPr>
        <w:t>Hay una acción directa y gratuita disponible ahora mismo (aplicar mixed_formats al ad set activo) que no requiere producción nueva. De fondo: con 70 creativos producidos y solo 1 activo, DDC está lejísimos del mínimo de 10-20 assets variados que el propio sistema de Meta pide — ese es el cuello de botella real, no la falta de material.</w:t>
      </w:r>
    </w:p>
    <w:p>
      <w:pPr>
        <w:spacing w:before="240" w:after="80"/>
      </w:pPr>
      <w:r>
        <w:rPr>
          <w:rFonts w:ascii="Nunito Sans" w:hAnsi="Nunito Sans"/>
          <w:b/>
          <w:color w:val="00B4C8"/>
          <w:sz w:val="23"/>
        </w:rPr>
        <w:t>5. CÓMO FUNCIONA EL ALGORITMO DE ENTREGA EN 2026 Y QUÉ ES "FATIGA CREATIVA"</w:t>
      </w:r>
    </w:p>
    <w:p>
      <w:pPr>
        <w:spacing w:after="160"/>
      </w:pPr>
      <w:r>
        <w:rPr>
          <w:rFonts w:ascii="Nunito Sans" w:hAnsi="Nunito Sans"/>
          <w:b/>
          <w:color w:val="1A3A5C"/>
          <w:sz w:val="21"/>
        </w:rPr>
        <w:t xml:space="preserve">Hallazgo: </w:t>
      </w:r>
      <w:r>
        <w:rPr>
          <w:rFonts w:ascii="Nunito Sans" w:hAnsi="Nunito Sans"/>
          <w:color w:val="4A5068"/>
          <w:sz w:val="21"/>
        </w:rPr>
        <w:t>El stack de Meta pasó por tres capas desde 2024: Andromeda (2024), GEM (2025) y el Adaptive Ranking Model (2026) — cada vista de feed corre una subasta de ~200ms que reduce decenas de millones de anuncios a unos cientos de candidatos. La señal central sigue siendo el CTR como acumulador de relevancia, junto a hook rate, hold rate y costo por vista de 3s. El cambio más relevante: con Andromeda, la fatiga aparece hoy en 5-7 días, contra 14-21 días del sistema anterior. Consultado en vivo, el CTR de "Video 22" cayó 40,72% con tendencia "BAD" — cifra exacta que confirma el diagnóstico cualitativo de la Auditoría 1. Reglas de alerta de industria: CTR con caída &gt;20%, frecuencia &gt;3,0, o relevance score &lt;6/10.</w:t>
      </w:r>
    </w:p>
    <w:p>
      <w:pPr>
        <w:spacing w:after="200"/>
      </w:pPr>
      <w:r>
        <w:rPr>
          <w:rFonts w:ascii="Nunito Sans" w:hAnsi="Nunito Sans"/>
          <w:b/>
          <w:color w:val="1A3A5C"/>
          <w:sz w:val="18"/>
        </w:rPr>
        <w:t xml:space="preserve">Fuente: </w:t>
      </w:r>
      <w:r>
        <w:rPr>
          <w:rFonts w:ascii="Nunito Sans" w:hAnsi="Nunito Sans"/>
          <w:color w:val="4A5068"/>
          <w:sz w:val="18"/>
        </w:rPr>
        <w:t>Performance Trend en vivo — Meta Ads MCP</w:t>
      </w:r>
      <w:r>
        <w:rPr>
          <w:rFonts w:ascii="Nunito Sans" w:hAnsi="Nunito Sans"/>
          <w:color w:val="4A5068"/>
          <w:sz w:val="18"/>
        </w:rPr>
        <w:t xml:space="preserve">  ·  </w:t>
      </w:r>
      <w:hyperlink r:id="rId17">
        <w:r>
          <w:rPr>
            <w:rFonts w:ascii="Nunito Sans"/>
            <w:color w:val="00B4C8"/>
            <w:u w:val="single"/>
            <w:sz w:val="19"/>
          </w:rPr>
          <w:t>How Meta's Ads Algorithm Works in 2026</w:t>
        </w:r>
      </w:hyperlink>
      <w:r>
        <w:rPr>
          <w:rFonts w:ascii="Nunito Sans" w:hAnsi="Nunito Sans"/>
          <w:color w:val="4A5068"/>
          <w:sz w:val="18"/>
        </w:rPr>
        <w:t xml:space="preserve">  ·  </w:t>
      </w:r>
      <w:hyperlink r:id="rId23">
        <w:r>
          <w:rPr>
            <w:rFonts w:ascii="Nunito Sans"/>
            <w:color w:val="00B4C8"/>
            <w:u w:val="single"/>
            <w:sz w:val="19"/>
          </w:rPr>
          <w:t>Meta Creative Fatigue: Diagnose and Fix It Fast 2026</w:t>
        </w:r>
      </w:hyperlink>
      <w:r>
        <w:rPr>
          <w:rFonts w:ascii="Nunito Sans" w:hAnsi="Nunito Sans"/>
          <w:color w:val="4A5068"/>
          <w:sz w:val="18"/>
        </w:rPr>
        <w:t xml:space="preserve">  ·  </w:t>
      </w:r>
      <w:hyperlink r:id="rId24">
        <w:r>
          <w:rPr>
            <w:rFonts w:ascii="Nunito Sans"/>
            <w:color w:val="00B4C8"/>
            <w:u w:val="single"/>
            <w:sz w:val="19"/>
          </w:rPr>
          <w:t>Creative Fatigue in Meta Ads 2026</w:t>
        </w:r>
      </w:hyperlink>
    </w:p>
    <w:p>
      <w:pPr>
        <w:spacing w:after="160"/>
      </w:pPr>
      <w:r>
        <w:rPr>
          <w:rFonts w:ascii="Nunito Sans" w:hAnsi="Nunito Sans"/>
          <w:b/>
          <w:color w:val="1A3A5C"/>
          <w:sz w:val="21"/>
        </w:rPr>
        <w:t xml:space="preserve">Implicación práctica para DDC: </w:t>
      </w:r>
      <w:r>
        <w:rPr>
          <w:rFonts w:ascii="Nunito Sans" w:hAnsi="Nunito Sans"/>
          <w:color w:val="4A5068"/>
          <w:sz w:val="21"/>
        </w:rPr>
        <w:t>16 meses sin refrescar "Video 22" es entre 60 y 90 veces más lento que el ciclo de fatiga real de 2026. Antes de producir contenido nuevo, el equipo necesita un calendario de rotación — realista para una firma chica sería semanal a quincenal — con relevance diagnostics como gatillo de reemplazo, no esperar a que el anuncio "se sienta viejo".</w:t>
      </w:r>
    </w:p>
    <w:p>
      <w:pPr>
        <w:spacing w:before="240" w:after="80"/>
      </w:pPr>
      <w:r>
        <w:rPr>
          <w:rFonts w:ascii="Nunito Sans" w:hAnsi="Nunito Sans"/>
          <w:b/>
          <w:color w:val="00B4C8"/>
          <w:sz w:val="23"/>
        </w:rPr>
        <w:t>6. CONFIGURACIONES DE CUENTA/CAMPAÑA: LO QUE META VE DE DDC QUE LA AUDITORÍA 1 NO REPORTÓ</w:t>
      </w:r>
    </w:p>
    <w:p>
      <w:pPr>
        <w:spacing w:after="160"/>
      </w:pPr>
      <w:r>
        <w:rPr>
          <w:rFonts w:ascii="Nunito Sans" w:hAnsi="Nunito Sans"/>
          <w:b/>
          <w:color w:val="1A3A5C"/>
          <w:sz w:val="21"/>
        </w:rPr>
        <w:t xml:space="preserve">Hallazgo: </w:t>
      </w:r>
      <w:r>
        <w:rPr>
          <w:rFonts w:ascii="Nunito Sans" w:hAnsi="Nunito Sans"/>
          <w:color w:val="4A5068"/>
          <w:sz w:val="21"/>
        </w:rPr>
        <w:t>Meta clasifica la cuenta como Vertical "Professional Services", Sub-vertical "Legal"; tipo de embudo "Single Funnel" (gasta 70%+ en una sola etapa); etapa activa "Consideration"; objetivo vigente REPLIES sobre messaging_deep_conversation. Opportunity Score: 96/100 — no contradice el 43/100 de la Auditoría 1, son escalas distintas: Opportunity Score es un checklist estructural, documentado explícitamente como "no refleja el rendimiento real ni futuro". Que la cuenta esté casi perfecta ahí y pésima en eficiencia real confirma que el problema es de ejecución, no de configuración. Advantage+ Audience 2026 acepta audiencias personalizadas y lookalikes como "sugerencias" de partida, con mejoras de CPA reportadas de 14,8% (prospección), 9,7% (medio embudo) y 7,2% (fondo). El industry benchmark no devolvió datos, probablemente por volumen/tier de gasto insuficiente.</w:t>
      </w:r>
    </w:p>
    <w:p>
      <w:pPr>
        <w:spacing w:after="200"/>
      </w:pPr>
      <w:r>
        <w:rPr>
          <w:rFonts w:ascii="Nunito Sans" w:hAnsi="Nunito Sans"/>
          <w:b/>
          <w:color w:val="1A3A5C"/>
          <w:sz w:val="18"/>
        </w:rPr>
        <w:t xml:space="preserve">Fuente: </w:t>
      </w:r>
      <w:r>
        <w:rPr>
          <w:rFonts w:ascii="Nunito Sans" w:hAnsi="Nunito Sans"/>
          <w:color w:val="4A5068"/>
          <w:sz w:val="18"/>
        </w:rPr>
        <w:t>Advertiser Context / Opportunity Score / Industry Benchmark en vivo — Meta Ads MCP</w:t>
      </w:r>
      <w:r>
        <w:rPr>
          <w:rFonts w:ascii="Nunito Sans" w:hAnsi="Nunito Sans"/>
          <w:color w:val="4A5068"/>
          <w:sz w:val="18"/>
        </w:rPr>
        <w:t xml:space="preserve">  ·  </w:t>
      </w:r>
      <w:hyperlink r:id="rId25">
        <w:r>
          <w:rPr>
            <w:rFonts w:ascii="Nunito Sans"/>
            <w:color w:val="00B4C8"/>
            <w:u w:val="single"/>
            <w:sz w:val="19"/>
          </w:rPr>
          <w:t>Meta Opportunity Score Explained</w:t>
        </w:r>
      </w:hyperlink>
      <w:r>
        <w:rPr>
          <w:rFonts w:ascii="Nunito Sans" w:hAnsi="Nunito Sans"/>
          <w:color w:val="4A5068"/>
          <w:sz w:val="18"/>
        </w:rPr>
        <w:t xml:space="preserve">  ·  </w:t>
      </w:r>
      <w:hyperlink r:id="rId26">
        <w:r>
          <w:rPr>
            <w:rFonts w:ascii="Nunito Sans"/>
            <w:color w:val="00B4C8"/>
            <w:u w:val="single"/>
            <w:sz w:val="19"/>
          </w:rPr>
          <w:t>Meta Ads WhatsApp Lead Generation: Complete Setup Guide 2026</w:t>
        </w:r>
      </w:hyperlink>
      <w:r>
        <w:rPr>
          <w:rFonts w:ascii="Nunito Sans" w:hAnsi="Nunito Sans"/>
          <w:color w:val="4A5068"/>
          <w:sz w:val="18"/>
        </w:rPr>
        <w:t xml:space="preserve">  ·  </w:t>
      </w:r>
      <w:hyperlink r:id="rId27">
        <w:r>
          <w:rPr>
            <w:rFonts w:ascii="Nunito Sans"/>
            <w:color w:val="00B4C8"/>
            <w:u w:val="single"/>
            <w:sz w:val="19"/>
          </w:rPr>
          <w:t>Meta Advantage+ Audience vs Detailed Targeting 2026</w:t>
        </w:r>
      </w:hyperlink>
    </w:p>
    <w:p>
      <w:pPr>
        <w:spacing w:after="160"/>
      </w:pPr>
      <w:r>
        <w:rPr>
          <w:rFonts w:ascii="Nunito Sans" w:hAnsi="Nunito Sans"/>
          <w:b/>
          <w:color w:val="1A3A5C"/>
          <w:sz w:val="21"/>
        </w:rPr>
        <w:t xml:space="preserve">Implicación práctica para DDC: </w:t>
      </w:r>
      <w:r>
        <w:rPr>
          <w:rFonts w:ascii="Nunito Sans" w:hAnsi="Nunito Sans"/>
          <w:color w:val="4A5068"/>
          <w:sz w:val="21"/>
        </w:rPr>
        <w:t>Dos acciones de configuración: (1) activar las 3 lookalikes inactivas y la audiencia "Personas con deudas CAE" como semilla de Advantage+ Audience, no como segmentación rígida; (2) evaluar correr una porción del presupuesto bajo objetivo Leads (no solo Conversations) una vez que el CAPI de mensajería esté enviando señal de calidad real.</w:t>
      </w:r>
    </w:p>
    <w:p>
      <w:pPr>
        <w:spacing w:before="240" w:after="80"/>
      </w:pPr>
      <w:r>
        <w:rPr>
          <w:rFonts w:ascii="Nunito Sans" w:hAnsi="Nunito Sans"/>
          <w:b/>
          <w:color w:val="00B4C8"/>
          <w:sz w:val="23"/>
        </w:rPr>
        <w:t>7. OTROS CAMBIOS DE POLÍTICA META 2026 RELEVANTES PARA UN ANUNCIANTE LEGAL/TRIBUTARIO</w:t>
      </w:r>
    </w:p>
    <w:p>
      <w:pPr>
        <w:spacing w:after="160"/>
      </w:pPr>
      <w:r>
        <w:rPr>
          <w:rFonts w:ascii="Nunito Sans" w:hAnsi="Nunito Sans"/>
          <w:b/>
          <w:color w:val="1A3A5C"/>
          <w:sz w:val="21"/>
        </w:rPr>
        <w:t xml:space="preserve">Hallazgo: </w:t>
      </w:r>
      <w:r>
        <w:rPr>
          <w:rFonts w:ascii="Nunito Sans" w:hAnsi="Nunito Sans"/>
          <w:color w:val="4A5068"/>
          <w:sz w:val="21"/>
        </w:rPr>
        <w:t>Servicios financieros siguen como categoría restringida con autorización en dos etapas (verificación de identidad legal + autorización de categoría); no es evidente que "defensa de deuda fiscal" caiga dentro de "servicios financieros" en el sentido que usa Meta, pero vale revisar proactivamente si la cuenta tiene alguna bandera de categoría restringida. Más aplicable y urgente: la política de "Privacidad y Atributos Personales" — prohíbe copy que afirme o implique el estado financiero del espectador — es hoy el motivo de rechazo más común en Meta Ads, y es exactamente el terreno del ángulo de miedo/urgencia que DDC ya tiene producido. "Miles de chilenos enfrentan embargos por deuda SII" pasa la política; "tú tienes una deuda con el SII" en segunda persona es exactamente lo que prohíbe.</w:t>
      </w:r>
    </w:p>
    <w:p>
      <w:pPr>
        <w:spacing w:after="200"/>
      </w:pPr>
      <w:r>
        <w:rPr>
          <w:rFonts w:ascii="Nunito Sans" w:hAnsi="Nunito Sans"/>
          <w:b/>
          <w:color w:val="1A3A5C"/>
          <w:sz w:val="18"/>
        </w:rPr>
        <w:t xml:space="preserve">Fuente: </w:t>
      </w:r>
      <w:hyperlink r:id="rId28">
        <w:r>
          <w:rPr>
            <w:rFonts w:ascii="Nunito Sans"/>
            <w:color w:val="00B4C8"/>
            <w:u w:val="single"/>
            <w:sz w:val="19"/>
          </w:rPr>
          <w:t>Meta Financial Services Ads 2026: Licensing &amp; Authorization</w:t>
        </w:r>
      </w:hyperlink>
      <w:r>
        <w:rPr>
          <w:rFonts w:ascii="Nunito Sans" w:hAnsi="Nunito Sans"/>
          <w:color w:val="4A5068"/>
          <w:sz w:val="18"/>
        </w:rPr>
        <w:t xml:space="preserve">  ·  </w:t>
      </w:r>
      <w:hyperlink r:id="rId29">
        <w:r>
          <w:rPr>
            <w:rFonts w:ascii="Nunito Sans"/>
            <w:color w:val="00B4C8"/>
            <w:u w:val="single"/>
            <w:sz w:val="19"/>
          </w:rPr>
          <w:t>Financial and Insurance Products and Services — Meta Transparency Center</w:t>
        </w:r>
      </w:hyperlink>
      <w:r>
        <w:rPr>
          <w:rFonts w:ascii="Nunito Sans" w:hAnsi="Nunito Sans"/>
          <w:color w:val="4A5068"/>
          <w:sz w:val="18"/>
        </w:rPr>
        <w:t xml:space="preserve">  ·  </w:t>
      </w:r>
      <w:hyperlink r:id="rId30">
        <w:r>
          <w:rPr>
            <w:rFonts w:ascii="Nunito Sans"/>
            <w:color w:val="00B4C8"/>
            <w:u w:val="single"/>
            <w:sz w:val="19"/>
          </w:rPr>
          <w:t>Meta Ads Sensitive Categories Restrictions 2026</w:t>
        </w:r>
      </w:hyperlink>
    </w:p>
    <w:p>
      <w:pPr>
        <w:spacing w:after="160"/>
      </w:pPr>
      <w:r>
        <w:rPr>
          <w:rFonts w:ascii="Nunito Sans" w:hAnsi="Nunito Sans"/>
          <w:b/>
          <w:color w:val="1A3A5C"/>
          <w:sz w:val="21"/>
        </w:rPr>
        <w:t xml:space="preserve">Implicación práctica para DDC: </w:t>
      </w:r>
      <w:r>
        <w:rPr>
          <w:rFonts w:ascii="Nunito Sans" w:hAnsi="Nunito Sans"/>
          <w:color w:val="4A5068"/>
          <w:sz w:val="21"/>
        </w:rPr>
        <w:t>Antes de aprobar guiones nuevos con ángulo de miedo/urgencia, agregar un filtro de revisión específico: ningún copy debe afirmar o implicar directamente que el espectador individual tiene una deuda tributaria — mantener el encuadre en tercera persona/estadístico en vez de segunda persona acusatoria.</w:t>
      </w:r>
    </w:p>
    <w:p>
      <w:pPr>
        <w:spacing w:before="360" w:after="120"/>
        <w:pBdr>
          <w:bottom w:val="single" w:sz="8" w:space="4" w:color="FF7B00"/>
        </w:pBdr>
      </w:pPr>
      <w:r>
        <w:rPr>
          <w:rFonts w:ascii="Nunito Sans" w:hAnsi="Nunito Sans"/>
          <w:b/>
          <w:color w:val="1A3A5C"/>
          <w:sz w:val="32"/>
        </w:rPr>
        <w:t>Fortalezas y debilidades de DDC frente a estas políticas</w:t>
      </w:r>
    </w:p>
    <w:p>
      <w:pPr>
        <w:spacing w:before="240" w:after="80"/>
      </w:pPr>
      <w:r>
        <w:rPr>
          <w:rFonts w:ascii="Nunito Sans" w:hAnsi="Nunito Sans"/>
          <w:b/>
          <w:color w:val="00B4C8"/>
          <w:sz w:val="23"/>
        </w:rPr>
        <w:t>FORTALEZAS</w:t>
      </w:r>
    </w:p>
    <w:p>
      <w:pPr>
        <w:pStyle w:val="ListBullet"/>
        <w:ind w:left="283"/>
      </w:pPr>
      <w:r>
        <w:rPr>
          <w:rFonts w:ascii="Nunito Sans" w:hAnsi="Nunito Sans"/>
          <w:color w:val="4A5068"/>
          <w:sz w:val="21"/>
        </w:rPr>
        <w:t>Banco de 70 creativos ya producidos, con ángulos y formatos variados (testimonio real, avatar IA rotulado, slide informativo) — cubre de sobra el mínimo de 10-20 assets que Advantage+ Creative pide, sin producción nueva.</w:t>
      </w:r>
    </w:p>
    <w:p>
      <w:pPr>
        <w:pStyle w:val="ListBullet"/>
        <w:ind w:left="283"/>
      </w:pPr>
      <w:r>
        <w:rPr>
          <w:rFonts w:ascii="Nunito Sans" w:hAnsi="Nunito Sans"/>
          <w:color w:val="4A5068"/>
          <w:sz w:val="21"/>
        </w:rPr>
        <w:t>El embudo conversacional ya optimiza por una señal avanzada (messaging_deep_conversation), no solo por "conversación iniciada".</w:t>
      </w:r>
    </w:p>
    <w:p>
      <w:pPr>
        <w:pStyle w:val="ListBullet"/>
        <w:ind w:left="283"/>
      </w:pPr>
      <w:r>
        <w:rPr>
          <w:rFonts w:ascii="Nunito Sans" w:hAnsi="Nunito Sans"/>
          <w:color w:val="4A5068"/>
          <w:sz w:val="21"/>
        </w:rPr>
        <w:t>Audiencia personalizada sana + 3 lookalikes ya construidas son exactamente la semilla que Advantage+ Audience 2026 pide como "sugerencia" — el insumo ya existe, solo está inactivo.</w:t>
      </w:r>
    </w:p>
    <w:p>
      <w:pPr>
        <w:pStyle w:val="ListBullet"/>
        <w:ind w:left="283"/>
      </w:pPr>
      <w:r>
        <w:rPr>
          <w:rFonts w:ascii="Nunito Sans" w:hAnsi="Nunito Sans"/>
          <w:color w:val="4A5068"/>
          <w:sz w:val="21"/>
        </w:rPr>
        <w:t>Configuración estructural de cuenta casi perfecta según Opportunity Score (96/100) — confirma que el foco debe ir 100% a ejecución (creativo + medición), no a ajustes.</w:t>
      </w:r>
    </w:p>
    <w:p>
      <w:pPr>
        <w:spacing w:before="240" w:after="80"/>
      </w:pPr>
      <w:r>
        <w:rPr>
          <w:rFonts w:ascii="Nunito Sans" w:hAnsi="Nunito Sans"/>
          <w:b/>
          <w:color w:val="00B4C8"/>
          <w:sz w:val="23"/>
        </w:rPr>
        <w:t>DEBILIDADES A MEJORAR ANTES DE GENERAR CONTENIDO NUEVO</w:t>
      </w:r>
    </w:p>
    <w:p>
      <w:pPr>
        <w:pStyle w:val="ListBullet"/>
        <w:ind w:left="283"/>
      </w:pPr>
      <w:r>
        <w:rPr>
          <w:rFonts w:ascii="Nunito Sans" w:hAnsi="Nunito Sans"/>
          <w:color w:val="4A5068"/>
          <w:sz w:val="21"/>
        </w:rPr>
        <w:t>Cero medición de eventos de negocio reales: sin CAPI conectado al flujo de WhatsApp vía ctwa_clid, cualquier campaña nueva seguirá optimizando a ciegas sobre volumen, no calidad de lead.</w:t>
      </w:r>
    </w:p>
    <w:p>
      <w:pPr>
        <w:pStyle w:val="ListBullet"/>
        <w:ind w:left="283"/>
      </w:pPr>
      <w:r>
        <w:rPr>
          <w:rFonts w:ascii="Nunito Sans" w:hAnsi="Nunito Sans"/>
          <w:color w:val="4A5068"/>
          <w:sz w:val="21"/>
        </w:rPr>
        <w:t>Ciclo de refresco de creativo desalineado con la fatiga real 2026: 16 meses sin cambiar es 60-90x más lento que el ciclo de 5-7 días — ya confirmado con caída de CTR de 40,72%.</w:t>
      </w:r>
    </w:p>
    <w:p>
      <w:pPr>
        <w:pStyle w:val="ListBullet"/>
        <w:ind w:left="283"/>
      </w:pPr>
      <w:r>
        <w:rPr>
          <w:rFonts w:ascii="Nunito Sans" w:hAnsi="Nunito Sans"/>
          <w:color w:val="4A5068"/>
          <w:sz w:val="21"/>
        </w:rPr>
        <w:t>Un solo anuncio activo, un solo formato: no cumple el mínimo de assets variados ni la recomendación pendiente y cuantificada (+4 pts) de mezclar imagen y video.</w:t>
      </w:r>
    </w:p>
    <w:p>
      <w:pPr>
        <w:pStyle w:val="ListBullet"/>
        <w:ind w:left="283"/>
      </w:pPr>
      <w:r>
        <w:rPr>
          <w:rFonts w:ascii="Nunito Sans" w:hAnsi="Nunito Sans"/>
          <w:color w:val="4A5068"/>
          <w:sz w:val="21"/>
        </w:rPr>
        <w:t>Sin criterio explícito de cuándo usar avatar IA vs. persona real, pese a tener ambos formatos en el banco.</w:t>
      </w:r>
    </w:p>
    <w:p>
      <w:pPr>
        <w:pStyle w:val="ListBullet"/>
        <w:ind w:left="283"/>
      </w:pPr>
      <w:r>
        <w:rPr>
          <w:rFonts w:ascii="Nunito Sans" w:hAnsi="Nunito Sans"/>
          <w:color w:val="4A5068"/>
          <w:sz w:val="21"/>
        </w:rPr>
        <w:t>Sin filtro de revisión de copy para "atributos personales implícitos" en los ángulos de miedo/urgencia — el riesgo de rechazo más común en la categoría, y el ángulo que DDC más usa.</w:t>
      </w:r>
    </w:p>
    <w:p/>
    <w:p>
      <w:pPr>
        <w:spacing w:before="480"/>
      </w:pPr>
      <w:r>
        <w:rPr>
          <w:rFonts w:ascii="Nunito Sans" w:hAnsi="Nunito Sans"/>
          <w:i/>
          <w:color w:val="4A5068"/>
          <w:sz w:val="17"/>
        </w:rPr>
        <w:t>Defensor del Contribuyente — Estudio Jurídico Boutique · Concepción, Chile · defensordelcontribuyente.cl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unito Sans" w:hAnsi="Nunito Sans"/>
      <w:color w:val="4A506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facebook.com/documentation/ads-commerce/conversions-api" TargetMode="External"/><Relationship Id="rId10" Type="http://schemas.openxmlformats.org/officeDocument/2006/relationships/hyperlink" Target="https://academy.useinsider.com/docs/meta-conversions-api-for-click-to-whatsapp-ads" TargetMode="External"/><Relationship Id="rId11" Type="http://schemas.openxmlformats.org/officeDocument/2006/relationships/hyperlink" Target="https://aixel.io/blog/whatsapp-conversions-api" TargetMode="External"/><Relationship Id="rId12" Type="http://schemas.openxmlformats.org/officeDocument/2006/relationships/hyperlink" Target="https://segwise.ai/blog/facebook-aggregated-event-measurement" TargetMode="External"/><Relationship Id="rId13" Type="http://schemas.openxmlformats.org/officeDocument/2006/relationships/hyperlink" Target="https://transparency.meta.com/governance/tracking-impact/labeling-ai-content" TargetMode="External"/><Relationship Id="rId14" Type="http://schemas.openxmlformats.org/officeDocument/2006/relationships/hyperlink" Target="https://transparency.meta.com/policies/other-policies/meta-AI-disclosures" TargetMode="External"/><Relationship Id="rId15" Type="http://schemas.openxmlformats.org/officeDocument/2006/relationships/hyperlink" Target="https://inbeat.agency/blog/ai-ugc-ads-vs-real-ugc" TargetMode="External"/><Relationship Id="rId16" Type="http://schemas.openxmlformats.org/officeDocument/2006/relationships/hyperlink" Target="https://dansugc.com/blog/ai-ugc-vs-real-human-ugc-converts-better-2026" TargetMode="External"/><Relationship Id="rId17" Type="http://schemas.openxmlformats.org/officeDocument/2006/relationships/hyperlink" Target="https://greghal.no/en/blog/meta-ads-algorithm-2026-complete-guide/" TargetMode="External"/><Relationship Id="rId18" Type="http://schemas.openxmlformats.org/officeDocument/2006/relationships/hyperlink" Target="https://www.sparkugc.com/resources/hook-rate-benchmarks-2026" TargetMode="External"/><Relationship Id="rId19" Type="http://schemas.openxmlformats.org/officeDocument/2006/relationships/hyperlink" Target="https://retensis.com/blog/audience-retention-benchmarks-2026" TargetMode="External"/><Relationship Id="rId20" Type="http://schemas.openxmlformats.org/officeDocument/2006/relationships/hyperlink" Target="https://benly.ai/learn/meta-ads/video-ads-guide" TargetMode="External"/><Relationship Id="rId21" Type="http://schemas.openxmlformats.org/officeDocument/2006/relationships/hyperlink" Target="https://www.admove.ai/blog/meta-advantage-creative-best-practices-for-2026" TargetMode="External"/><Relationship Id="rId22" Type="http://schemas.openxmlformats.org/officeDocument/2006/relationships/hyperlink" Target="https://www.cinerads.com/blog/meta-ads-video-creative-best-practices" TargetMode="External"/><Relationship Id="rId23" Type="http://schemas.openxmlformats.org/officeDocument/2006/relationships/hyperlink" Target="https://www.tryatria.com/blog/meta-creative-fatigue-diagnose-and-fix-2026" TargetMode="External"/><Relationship Id="rId24" Type="http://schemas.openxmlformats.org/officeDocument/2006/relationships/hyperlink" Target="https://www.adsights.ai/blog/topics/creative-strategy/creative-fatigue-in-meta-ads-detection-and-management-strategies" TargetMode="External"/><Relationship Id="rId25" Type="http://schemas.openxmlformats.org/officeDocument/2006/relationships/hyperlink" Target="https://bir.ch/blog/meta-opportunity-score" TargetMode="External"/><Relationship Id="rId26" Type="http://schemas.openxmlformats.org/officeDocument/2006/relationships/hyperlink" Target="https://www.stackmatix.com/blog/meta-ads-whatsapp-lead-generation" TargetMode="External"/><Relationship Id="rId27" Type="http://schemas.openxmlformats.org/officeDocument/2006/relationships/hyperlink" Target="https://www.conversios.io/blog/meta-advantage-audience-vs-detailed-targeting-2026-guide/" TargetMode="External"/><Relationship Id="rId28" Type="http://schemas.openxmlformats.org/officeDocument/2006/relationships/hyperlink" Target="https://www.auditsocials.com/blog/meta-restricted-financial-services-ads-policy-2026-country-licensing-authorization-disclosure" TargetMode="External"/><Relationship Id="rId29" Type="http://schemas.openxmlformats.org/officeDocument/2006/relationships/hyperlink" Target="https://transparency.meta.com/policies/ad-standards/restricted-goods-services/financial-services/" TargetMode="External"/><Relationship Id="rId30" Type="http://schemas.openxmlformats.org/officeDocument/2006/relationships/hyperlink" Target="https://www.wetracked.io/post/meta-ads-new-sensitive-categories-restri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