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ClickUp — Consolidación y Auditoría GA4</w:t>
      </w:r>
    </w:p>
    <w:p>
      <w:r>
        <w:rPr>
          <w:b/>
        </w:rPr>
        <w:t xml:space="preserve">Fecha: </w:t>
      </w:r>
      <w:r>
        <w:t>18-08-2026</w:t>
        <w:br/>
      </w:r>
      <w:r>
        <w:rPr>
          <w:b/>
        </w:rPr>
        <w:t xml:space="preserve">Estado: </w:t>
      </w:r>
      <w:r>
        <w:t>Confirmado con datos reales (ver Auditoría Completa GA4).</w:t>
        <w:br/>
      </w:r>
      <w:r>
        <w:rPr>
          <w:b/>
        </w:rPr>
        <w:t xml:space="preserve">Formato: </w:t>
      </w:r>
      <w:r>
        <w:t>tareas listas para crear como cards en ClickUp, uno por fila.</w:t>
      </w:r>
    </w:p>
    <w:p>
      <w:r>
        <w:rPr>
          <w:i/>
        </w:rPr>
        <w:t>Nota de método: la sesión interactiva de Claude Code no logró cargar el servidor MCP de Google Analytics recién instalado, ni tras un reinicio. Se conectó manualmente hablando el protocolo MCP (JSON-RPC sobre stdio) directamente contra el proceso pipx run analytics-mcp, con las mismas credenciales ya configuradas — los datos de este backlog son reales, no estimados. Algunas tareas de la primera versión de este backlog quedaron corregidas o eliminadas al confirmarse con datos reales.</w:t>
      </w:r>
    </w:p>
    <w:p>
      <w:pPr>
        <w:pStyle w:val="Heading1"/>
      </w:pPr>
      <w:r>
        <w:t>1. Corrección de conversiones (impacto inmediato, sin desarrollo)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Tarea / Activo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Responsable</w:t>
            </w:r>
          </w:p>
        </w:tc>
        <w:tc>
          <w:tcPr>
            <w:tcW w:type="dxa" w:w="1234"/>
          </w:tcPr>
          <w:p>
            <w:r>
              <w:t>Impacto</w:t>
            </w:r>
          </w:p>
        </w:tc>
        <w:tc>
          <w:tcPr>
            <w:tcW w:type="dxa" w:w="1234"/>
          </w:tcPr>
          <w:p>
            <w:r>
              <w:t>Tiempo estimado</w:t>
            </w:r>
          </w:p>
        </w:tc>
        <w:tc>
          <w:tcPr>
            <w:tcW w:type="dxa" w:w="1234"/>
          </w:tcPr>
          <w:p>
            <w: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t>G1</w:t>
            </w:r>
          </w:p>
        </w:tc>
        <w:tc>
          <w:tcPr>
            <w:tcW w:type="dxa" w:w="1234"/>
          </w:tcPr>
          <w:p>
            <w:r>
              <w:t>Marcar form_submit_fiscalizacion_tributaria_cit como evento clave (conversión) en GA4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15 min</w:t>
            </w:r>
          </w:p>
        </w:tc>
        <w:tc>
          <w:tcPr>
            <w:tcW w:type="dxa" w:w="1234"/>
          </w:tcPr>
          <w:p>
            <w:r>
              <w:t>Confirmado: 19 eventos en 30 días, 0 marcados como conversión, mientras que los otros 2 form_submit sí lo están</w:t>
            </w:r>
          </w:p>
        </w:tc>
      </w:tr>
      <w:tr>
        <w:tc>
          <w:tcPr>
            <w:tcW w:type="dxa" w:w="1234"/>
          </w:tcPr>
          <w:p>
            <w:r>
              <w:t>G2</w:t>
            </w:r>
          </w:p>
        </w:tc>
        <w:tc>
          <w:tcPr>
            <w:tcW w:type="dxa" w:w="1234"/>
          </w:tcPr>
          <w:p>
            <w:r>
              <w:t>Importar form_submit_fiscalizacion_tributaria_cit como conversión en Google Ads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15 min</w:t>
            </w:r>
          </w:p>
        </w:tc>
        <w:tc>
          <w:tcPr>
            <w:tcW w:type="dxa" w:w="1234"/>
          </w:tcPr>
          <w:p>
            <w:r>
              <w:t>Depende de G1</w:t>
            </w:r>
          </w:p>
        </w:tc>
      </w:tr>
    </w:tbl>
    <w:p/>
    <w:p>
      <w:pPr>
        <w:pStyle w:val="Heading1"/>
      </w:pPr>
      <w:r>
        <w:t>2. Tracking ausente (bloqueante para medir resultado)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Tarea / Activo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Responsable</w:t>
            </w:r>
          </w:p>
        </w:tc>
        <w:tc>
          <w:tcPr>
            <w:tcW w:type="dxa" w:w="1234"/>
          </w:tcPr>
          <w:p>
            <w:r>
              <w:t>Impacto</w:t>
            </w:r>
          </w:p>
        </w:tc>
        <w:tc>
          <w:tcPr>
            <w:tcW w:type="dxa" w:w="1234"/>
          </w:tcPr>
          <w:p>
            <w:r>
              <w:t>Tiempo estimado</w:t>
            </w:r>
          </w:p>
        </w:tc>
        <w:tc>
          <w:tcPr>
            <w:tcW w:type="dxa" w:w="1234"/>
          </w:tcPr>
          <w:p>
            <w: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t>G3</w:t>
            </w:r>
          </w:p>
        </w:tc>
        <w:tc>
          <w:tcPr>
            <w:tcW w:type="dxa" w:w="1234"/>
          </w:tcPr>
          <w:p>
            <w:r>
              <w:t>Instalar Google Tag Manager + tag de configuración GA4 en diagnostico.defensordelcontribuyente.cl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1-2 horas</w:t>
            </w:r>
          </w:p>
        </w:tc>
        <w:tc>
          <w:tcPr>
            <w:tcW w:type="dxa" w:w="1234"/>
          </w:tcPr>
          <w:p>
            <w:r>
              <w:t>Confirmado: no existe ninguna propiedad GA4 para este subdominio</w:t>
            </w:r>
          </w:p>
        </w:tc>
      </w:tr>
      <w:tr>
        <w:tc>
          <w:tcPr>
            <w:tcW w:type="dxa" w:w="1234"/>
          </w:tcPr>
          <w:p>
            <w:r>
              <w:t>G4</w:t>
            </w:r>
          </w:p>
        </w:tc>
        <w:tc>
          <w:tcPr>
            <w:tcW w:type="dxa" w:w="1234"/>
          </w:tcPr>
          <w:p>
            <w:r>
              <w:t>Instrumentar eventos form_start / form_submit_* / click en la propiedad GA4 de servicios.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2-3 horas</w:t>
            </w:r>
          </w:p>
        </w:tc>
        <w:tc>
          <w:tcPr>
            <w:tcW w:type="dxa" w:w="1234"/>
          </w:tcPr>
          <w:p>
            <w:r>
              <w:t>Confirmado: solo registra eventos automáticos, cero eventos personalizados pese a formularios reales</w:t>
            </w:r>
          </w:p>
        </w:tc>
      </w:tr>
      <w:tr>
        <w:tc>
          <w:tcPr>
            <w:tcW w:type="dxa" w:w="1234"/>
          </w:tcPr>
          <w:p>
            <w:r>
              <w:t>G5</w:t>
            </w:r>
          </w:p>
        </w:tc>
        <w:tc>
          <w:tcPr>
            <w:tcW w:type="dxa" w:w="1234"/>
          </w:tcPr>
          <w:p>
            <w:r>
              <w:t>Instrumentar eventos distintos para clics a WhatsApp y a teléfono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1-2 horas</w:t>
            </w:r>
          </w:p>
        </w:tc>
        <w:tc>
          <w:tcPr>
            <w:tcW w:type="dxa" w:w="1234"/>
          </w:tcPr>
          <w:p>
            <w:r>
              <w:t>Hoy existe un único evento genérico click (33/30d) sin desglose por destino</w:t>
            </w:r>
          </w:p>
        </w:tc>
      </w:tr>
    </w:tbl>
    <w:p/>
    <w:p>
      <w:pPr>
        <w:pStyle w:val="Heading1"/>
      </w:pPr>
      <w:r>
        <w:t>3. Configuración de propiedad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Tarea / Activo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Responsable</w:t>
            </w:r>
          </w:p>
        </w:tc>
        <w:tc>
          <w:tcPr>
            <w:tcW w:type="dxa" w:w="1234"/>
          </w:tcPr>
          <w:p>
            <w:r>
              <w:t>Impacto</w:t>
            </w:r>
          </w:p>
        </w:tc>
        <w:tc>
          <w:tcPr>
            <w:tcW w:type="dxa" w:w="1234"/>
          </w:tcPr>
          <w:p>
            <w:r>
              <w:t>Tiempo estimado</w:t>
            </w:r>
          </w:p>
        </w:tc>
        <w:tc>
          <w:tcPr>
            <w:tcW w:type="dxa" w:w="1234"/>
          </w:tcPr>
          <w:p>
            <w: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t>G6</w:t>
            </w:r>
          </w:p>
        </w:tc>
        <w:tc>
          <w:tcPr>
            <w:tcW w:type="dxa" w:w="1234"/>
          </w:tcPr>
          <w:p>
            <w:r>
              <w:t>Corregir moneda de la propiedad servicios. (hoy USD) a CLP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15 min</w:t>
            </w:r>
          </w:p>
        </w:tc>
        <w:tc>
          <w:tcPr>
            <w:tcW w:type="dxa" w:w="1234"/>
          </w:tcPr>
          <w:p>
            <w:r>
              <w:t>El dominio principal ya está en CLP</w:t>
            </w:r>
          </w:p>
        </w:tc>
      </w:tr>
      <w:tr>
        <w:tc>
          <w:tcPr>
            <w:tcW w:type="dxa" w:w="1234"/>
          </w:tcPr>
          <w:p>
            <w:r>
              <w:t>G7</w:t>
            </w:r>
          </w:p>
        </w:tc>
        <w:tc>
          <w:tcPr>
            <w:tcW w:type="dxa" w:w="1234"/>
          </w:tcPr>
          <w:p>
            <w:r>
              <w:t>Definir categoría de industria en la propiedad servicios. (hoy sin especificar)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15 min</w:t>
            </w:r>
          </w:p>
        </w:tc>
        <w:tc>
          <w:tcPr>
            <w:tcW w:type="dxa" w:w="1234"/>
          </w:tcPr>
          <w:p>
            <w:r>
              <w:t>El dominio principal tiene OTHER</w:t>
            </w:r>
          </w:p>
        </w:tc>
      </w:tr>
      <w:tr>
        <w:tc>
          <w:tcPr>
            <w:tcW w:type="dxa" w:w="1234"/>
          </w:tcPr>
          <w:p>
            <w:r>
              <w:t>G8</w:t>
            </w:r>
          </w:p>
        </w:tc>
        <w:tc>
          <w:tcPr>
            <w:tcW w:type="dxa" w:w="1234"/>
          </w:tcPr>
          <w:p>
            <w:r>
              <w:t>Decidir si servicios. sigue siendo propiedad separada o se consolida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Cliente-Estudio decide · Agencia ejecuta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1 reunión</w:t>
            </w:r>
          </w:p>
        </w:tc>
        <w:tc>
          <w:tcPr>
            <w:tcW w:type="dxa" w:w="1234"/>
          </w:tcPr>
          <w:p>
            <w:r>
              <w:t>12 sesiones/30 días y cero eventos personalizados — definir antes de invertir en G4</w:t>
            </w:r>
          </w:p>
        </w:tc>
      </w:tr>
    </w:tbl>
    <w:p/>
    <w:p>
      <w:pPr>
        <w:pStyle w:val="Heading1"/>
      </w:pPr>
      <w:r>
        <w:t>4. Cross-domain y arquitectura de medición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Tarea / Activo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Responsable</w:t>
            </w:r>
          </w:p>
        </w:tc>
        <w:tc>
          <w:tcPr>
            <w:tcW w:type="dxa" w:w="1234"/>
          </w:tcPr>
          <w:p>
            <w:r>
              <w:t>Impacto</w:t>
            </w:r>
          </w:p>
        </w:tc>
        <w:tc>
          <w:tcPr>
            <w:tcW w:type="dxa" w:w="1234"/>
          </w:tcPr>
          <w:p>
            <w:r>
              <w:t>Tiempo estimado</w:t>
            </w:r>
          </w:p>
        </w:tc>
        <w:tc>
          <w:tcPr>
            <w:tcW w:type="dxa" w:w="1234"/>
          </w:tcPr>
          <w:p>
            <w: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t>G9</w:t>
            </w:r>
          </w:p>
        </w:tc>
        <w:tc>
          <w:tcPr>
            <w:tcW w:type="dxa" w:w="1234"/>
          </w:tcPr>
          <w:p>
            <w:r>
              <w:t>Configurar cross-domain measurement o rollup entre dominio principal y servicios. (si G8 mantiene ambas)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Agencia-prestador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2-3 horas</w:t>
            </w:r>
          </w:p>
        </w:tc>
        <w:tc>
          <w:tcPr>
            <w:tcW w:type="dxa" w:w="1234"/>
          </w:tcPr>
          <w:p>
            <w:r>
              <w:t>Confirmado: 2 propiedades GA4 sin relación entre sí</w:t>
            </w:r>
          </w:p>
        </w:tc>
      </w:tr>
    </w:tbl>
    <w:p/>
    <w:p>
      <w:pPr>
        <w:pStyle w:val="Heading1"/>
      </w:pPr>
      <w:r>
        <w:t>5. Experiencia de conversión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Tarea / Activo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Responsable</w:t>
            </w:r>
          </w:p>
        </w:tc>
        <w:tc>
          <w:tcPr>
            <w:tcW w:type="dxa" w:w="1234"/>
          </w:tcPr>
          <w:p>
            <w:r>
              <w:t>Impacto</w:t>
            </w:r>
          </w:p>
        </w:tc>
        <w:tc>
          <w:tcPr>
            <w:tcW w:type="dxa" w:w="1234"/>
          </w:tcPr>
          <w:p>
            <w:r>
              <w:t>Tiempo estimado</w:t>
            </w:r>
          </w:p>
        </w:tc>
        <w:tc>
          <w:tcPr>
            <w:tcW w:type="dxa" w:w="1234"/>
          </w:tcPr>
          <w:p>
            <w:r>
              <w:t>Notas / criterios de aceptación</w:t>
            </w:r>
          </w:p>
        </w:tc>
      </w:tr>
      <w:tr>
        <w:tc>
          <w:tcPr>
            <w:tcW w:type="dxa" w:w="1234"/>
          </w:tcPr>
          <w:p>
            <w:r>
              <w:t>G10</w:t>
            </w:r>
          </w:p>
        </w:tc>
        <w:tc>
          <w:tcPr>
            <w:tcW w:type="dxa" w:w="1234"/>
          </w:tcPr>
          <w:p>
            <w:r>
              <w:t>Investigar por qué el 57% de quienes inician un formulario no lo terminan (141 form_start vs 61 form_submit en 30 días)</w:t>
            </w:r>
          </w:p>
        </w:tc>
        <w:tc>
          <w:tcPr>
            <w:tcW w:type="dxa" w:w="1234"/>
          </w:tcPr>
          <w:p>
            <w:r>
              <w:t>Tarea</w:t>
            </w:r>
          </w:p>
        </w:tc>
        <w:tc>
          <w:tcPr>
            <w:tcW w:type="dxa" w:w="1234"/>
          </w:tcPr>
          <w:p>
            <w:r>
              <w:t>Cliente-Estudio + Agencia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1-2 horas + ajustes</w:t>
            </w:r>
          </w:p>
        </w:tc>
        <w:tc>
          <w:tcPr>
            <w:tcW w:type="dxa" w:w="1234"/>
          </w:tcPr>
          <w:p>
            <w:r>
              <w:t>Revisar antes de invertir más presupuesto en tráfico a ese formulario</w:t>
            </w:r>
          </w:p>
        </w:tc>
      </w:tr>
    </w:tbl>
    <w:p/>
    <w:p>
      <w:pPr>
        <w:pStyle w:val="Heading1"/>
      </w:pPr>
      <w:r>
        <w:t>Tareas de la versión anterior ya confirmadas como completas</w:t>
      </w:r>
    </w:p>
    <w:p>
      <w:pPr>
        <w:pStyle w:val="ListBullet"/>
      </w:pPr>
      <w:r>
        <w:t>Vincular la propiedad GA4 con la cuenta de Google Ads — confirmado: ya está hecho en ambas propiedades (customer_id 8985279729, vinculado desde mayo 2025 por tributariodefensor@gmail.com).</w:t>
      </w:r>
    </w:p>
    <w:p>
      <w:pPr>
        <w:pStyle w:val="Heading1"/>
      </w:pPr>
      <w:r>
        <w:t>Resumen para ClickUp</w:t>
      </w:r>
    </w:p>
    <w:p>
      <w:pPr>
        <w:pStyle w:val="ListBullet"/>
      </w:pPr>
      <w:r>
        <w:t>10 tareas (G1-G10): 7 de Agencia-prestador, 2 conjuntas (Cliente-Estudio decide/revisa, Agencia ejecuta), 1 de reunion conjunta.</w:t>
      </w:r>
    </w:p>
    <w:p>
      <w:pPr>
        <w:pStyle w:val="ListBullet"/>
      </w:pPr>
      <w:r>
        <w:t>Quick wins (menos de 30 min): G1, G2, G6, G7 - resuelven la perdida de 19 conversiones/mes y dos errores de configuracion, sin desarrollo.</w:t>
      </w:r>
    </w:p>
    <w:p>
      <w:pPr>
        <w:pStyle w:val="ListBullet"/>
      </w:pPr>
      <w:r>
        <w:t>Prioridad de secuencia sugerida: 1 (conversiones) -&gt; 2 (tracking ausente) -&gt; 3 (configuracion) -&gt; 4 (cross-domain, depende de G8) -&gt; 5 (experiencia de conversion, puede correr en paralelo).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