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438"/>
          <w:sz w:val="44"/>
        </w:rPr>
        <w:t>Plan de Ajustes — Complemento</w:t>
      </w:r>
    </w:p>
    <w:p>
      <w:pPr>
        <w:jc w:val="center"/>
      </w:pPr>
      <w:r>
        <w:rPr>
          <w:color w:val="B45F18"/>
          <w:sz w:val="25"/>
        </w:rPr>
        <w:t>Acceso Google Ads y Gobernanza — Listo para ClickUp</w:t>
      </w:r>
    </w:p>
    <w:p>
      <w:pPr>
        <w:jc w:val="center"/>
      </w:pPr>
      <w:r>
        <w:rPr>
          <w:color w:val="6B6459"/>
          <w:sz w:val="18"/>
        </w:rPr>
        <w:t>Generado el 18-08-2026 · Complementa los backlogs de ClickUp ya existentes en el repositorio (Meta Ads, GA4, SEO/Landing)</w:t>
      </w:r>
    </w:p>
    <w:p/>
    <w:p>
      <w:r>
        <w:rPr>
          <w:b/>
          <w:i w:val="0"/>
          <w:sz w:val="21"/>
        </w:rPr>
        <w:t>Cómo usar este documento</w:t>
      </w:r>
    </w:p>
    <w:p>
      <w:r>
        <w:rPr>
          <w:b w:val="0"/>
          <w:i w:val="0"/>
          <w:sz w:val="21"/>
        </w:rPr>
        <w:t>Cada fila está pensada como una tarea de ClickUp. Responsables indicados por rol, no por nombre de persona. Estas 3 tareas son un complemento a los backlogs ya existentes en el repositorio — no los reemplazan ni los duplican.</w:t>
      </w:r>
    </w:p>
    <w:p>
      <w:r>
        <w:br w:type="page"/>
      </w:r>
    </w:p>
    <w:p>
      <w:pPr>
        <w:pStyle w:val="Heading1"/>
      </w:pPr>
      <w:r>
        <w:rPr>
          <w:color w:val="0F2438"/>
        </w:rPr>
        <w:t>Tareas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B3382C"/>
          </w:tcPr>
          <w:p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1728"/>
            <w:shd w:fill="B3382C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B3382C"/>
          </w:tcPr>
          <w:p>
            <w:r>
              <w:rPr>
                <w:b/>
                <w:color w:val="FFFFFF"/>
                <w:sz w:val="18"/>
              </w:rPr>
              <w:t>Estimación</w:t>
            </w:r>
          </w:p>
        </w:tc>
        <w:tc>
          <w:tcPr>
            <w:tcW w:type="dxa" w:w="1728"/>
            <w:shd w:fill="B3382C"/>
          </w:tcPr>
          <w:p>
            <w:r>
              <w:rPr>
                <w:b/>
                <w:color w:val="FFFFFF"/>
                <w:sz w:val="18"/>
              </w:rPr>
              <w:t>Responsable sugerido</w:t>
            </w:r>
          </w:p>
        </w:tc>
        <w:tc>
          <w:tcPr>
            <w:tcW w:type="dxa" w:w="1728"/>
            <w:shd w:fill="B3382C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Solicitar upgrade del developer token de Google Ads (Basic/Standard) en el Centro de API de Google 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 — Urgente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1-3 días hábiles (tiempo de aprobación de Google)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Agencia entrante — Paid Media / Admin de cuenta Google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Bloquea auditar y gestionar Google Ads, el canal de mayor volumen del sitio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Confirmar responsable de acceso/administración de cada plataforma (Meta, Google Ads, GA4, WordPress/hosting/DNS) antes del traspaso formal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horas (reunión + documentación)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Víctor / Estudio Boutique + Agencia entrante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Evita zonas grises de acceso durante la transición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Revisar si las 3 cuentas de Google Ads no vinculadas a GA4 (2856806495, 5789067229, 5020760344) corresponden a Defensor del Contribuyente o a otros clientes visibles por el mismo token compartido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Agencia entrante — Paid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Aclarar antes de dar acceso amplio a la nueva agencia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