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438"/>
          <w:sz w:val="52"/>
        </w:rPr>
        <w:t>Auditoría Meta Ads</w:t>
      </w:r>
    </w:p>
    <w:p>
      <w:pPr>
        <w:jc w:val="center"/>
      </w:pPr>
      <w:r>
        <w:rPr>
          <w:color w:val="B45F18"/>
          <w:sz w:val="26"/>
        </w:rPr>
        <w:t>Defensor del Contribuyente — Cuenta publicitaria y landing page</w:t>
      </w:r>
    </w:p>
    <w:p>
      <w:pPr>
        <w:jc w:val="center"/>
      </w:pPr>
      <w:r>
        <w:rPr>
          <w:color w:val="6B6459"/>
          <w:sz w:val="19"/>
        </w:rPr>
        <w:t>ID de cuenta 949295082543787 · CLP · Generado el 17-08-2026 · Fuente: Meta Ads MCP (datos reales de cuenta)</w:t>
      </w:r>
    </w:p>
    <w:p/>
    <w:p>
      <w:pPr>
        <w:jc w:val="center"/>
      </w:pPr>
      <w:r>
        <w:rPr>
          <w:b/>
          <w:color w:val="B3382C"/>
          <w:sz w:val="36"/>
        </w:rPr>
        <w:t>PUNTUACIÓN GLOBAL: 43 / 100</w:t>
      </w:r>
    </w:p>
    <w:p>
      <w:pPr>
        <w:jc w:val="center"/>
      </w:pPr>
      <w:r>
        <w:rPr>
          <w:i/>
          <w:sz w:val="24"/>
        </w:rPr>
        <w:t>Campaña con problemas — correcciones necesarias</w:t>
      </w:r>
    </w:p>
    <w:p>
      <w:r>
        <w:br w:type="page"/>
      </w:r>
    </w:p>
    <w:p>
      <w:pPr>
        <w:pStyle w:val="Heading1"/>
      </w:pPr>
      <w:r>
        <w:rPr>
          <w:color w:val="0F2438"/>
        </w:rPr>
        <w:t>Resumen ejecutivo</w:t>
      </w:r>
    </w:p>
    <w:tbl>
      <w:tblPr>
        <w:tblStyle w:val="LightGrid-Accent1"/>
        <w:tblW w:type="auto" w:w="0"/>
        <w:jc w:val="center"/>
        <w:tblLook w:firstColumn="1" w:firstRow="1" w:lastColumn="0" w:lastRow="0" w:noHBand="0" w:noVBand="1" w:val="04A0"/>
      </w:tblPr>
      <w:tblGrid>
        <w:gridCol w:w="4320"/>
        <w:gridCol w:w="4320"/>
      </w:tblGrid>
      <w:tr>
        <w:tc>
          <w:tcPr>
            <w:tcW w:type="dxa" w:w="4320"/>
            <w:shd w:fill="0F2438"/>
          </w:tcPr>
          <w:p>
            <w:r>
              <w:rPr>
                <w:b/>
                <w:color w:val="FFFFFF"/>
                <w:sz w:val="19"/>
              </w:rPr>
              <w:t>Indicador</w:t>
            </w:r>
          </w:p>
        </w:tc>
        <w:tc>
          <w:tcPr>
            <w:tcW w:type="dxa" w:w="4320"/>
            <w:shd w:fill="0F2438"/>
          </w:tcPr>
          <w:p>
            <w:r>
              <w:rPr>
                <w:b/>
                <w:color w:val="FFFFFF"/>
                <w:sz w:val="19"/>
              </w:rPr>
              <w:t>Valor</w:t>
            </w:r>
          </w:p>
        </w:tc>
      </w:tr>
      <w:tr>
        <w:tc>
          <w:tcPr>
            <w:tcW w:type="dxa" w:w="4320"/>
          </w:tcPr>
          <w:p>
            <w:r>
              <w:rPr>
                <w:sz w:val="19"/>
              </w:rPr>
              <w:t>Invertido histórico total (6 campañas)</w:t>
            </w:r>
          </w:p>
        </w:tc>
        <w:tc>
          <w:tcPr>
            <w:tcW w:type="dxa" w:w="4320"/>
          </w:tcPr>
          <w:p>
            <w:r>
              <w:rPr>
                <w:sz w:val="19"/>
              </w:rPr>
              <w:t>$6.406.027 CLP</w:t>
            </w:r>
          </w:p>
        </w:tc>
      </w:tr>
      <w:tr>
        <w:tc>
          <w:tcPr>
            <w:tcW w:type="dxa" w:w="4320"/>
          </w:tcPr>
          <w:p>
            <w:r>
              <w:rPr>
                <w:sz w:val="19"/>
              </w:rPr>
              <w:t>Resultados totales (conversaciones + clics)</w:t>
            </w:r>
          </w:p>
        </w:tc>
        <w:tc>
          <w:tcPr>
            <w:tcW w:type="dxa" w:w="4320"/>
          </w:tcPr>
          <w:p>
            <w:r>
              <w:rPr>
                <w:sz w:val="19"/>
              </w:rPr>
              <w:t>7.043</w:t>
            </w:r>
          </w:p>
        </w:tc>
      </w:tr>
      <w:tr>
        <w:tc>
          <w:tcPr>
            <w:tcW w:type="dxa" w:w="4320"/>
          </w:tcPr>
          <w:p>
            <w:r>
              <w:rPr>
                <w:sz w:val="19"/>
              </w:rPr>
              <w:t>Campañas activas hoy</w:t>
            </w:r>
          </w:p>
        </w:tc>
        <w:tc>
          <w:tcPr>
            <w:tcW w:type="dxa" w:w="4320"/>
          </w:tcPr>
          <w:p>
            <w:r>
              <w:rPr>
                <w:sz w:val="19"/>
              </w:rPr>
              <w:t>1 de 6</w:t>
            </w:r>
          </w:p>
        </w:tc>
      </w:tr>
      <w:tr>
        <w:tc>
          <w:tcPr>
            <w:tcW w:type="dxa" w:w="4320"/>
          </w:tcPr>
          <w:p>
            <w:r>
              <w:rPr>
                <w:sz w:val="19"/>
              </w:rPr>
              <w:t>Anuncios activos vs. banco de creativos</w:t>
            </w:r>
          </w:p>
        </w:tc>
        <w:tc>
          <w:tcPr>
            <w:tcW w:type="dxa" w:w="4320"/>
          </w:tcPr>
          <w:p>
            <w:r>
              <w:rPr>
                <w:sz w:val="19"/>
              </w:rPr>
              <w:t>1 de 70</w:t>
            </w:r>
          </w:p>
        </w:tc>
      </w:tr>
    </w:tbl>
    <w:p/>
    <w:p>
      <w:r>
        <w:rPr>
          <w:b/>
          <w:i w:val="0"/>
          <w:color w:val="B3382C"/>
          <w:sz w:val="21"/>
        </w:rPr>
        <w:t>Hallazgo crítico 1 — El presupuesto activo está en la campaña más cara</w:t>
      </w:r>
    </w:p>
    <w:p>
      <w:r>
        <w:rPr>
          <w:b w:val="0"/>
          <w:i w:val="0"/>
          <w:sz w:val="21"/>
        </w:rPr>
        <w:t>La única campaña activa ('Diagnósticos Gratuitos') cuesta $1.099 CLP por conversación. Las 3 campañas CAE, pausadas desde abril de 2026, lograron entre $373 y $649 CLP por conversación — hasta 3 veces más eficientes.</w:t>
      </w:r>
    </w:p>
    <w:p/>
    <w:p>
      <w:r>
        <w:rPr>
          <w:b/>
          <w:i w:val="0"/>
          <w:color w:val="B3382C"/>
          <w:sz w:val="21"/>
        </w:rPr>
        <w:t>Hallazgo crítico 2 — No hay forma de medir un lead real</w:t>
      </w:r>
    </w:p>
    <w:p>
      <w:r>
        <w:rPr>
          <w:b w:val="0"/>
          <w:i w:val="0"/>
          <w:sz w:val="21"/>
        </w:rPr>
        <w:t>El Pixel de Meta está activo y disparando hoy mismo, pero solo registra PageView. No existe evento de Lead, contacto ni clic a WhatsApp. Todo optimiza por 'conversación iniciada', no por lead calificado ni cliente real.</w:t>
      </w:r>
    </w:p>
    <w:p/>
    <w:p>
      <w:r>
        <w:rPr>
          <w:b/>
          <w:i w:val="0"/>
          <w:color w:val="2F7A4F"/>
          <w:sz w:val="21"/>
        </w:rPr>
        <w:t>Lo que sí funciona</w:t>
      </w:r>
    </w:p>
    <w:p>
      <w:r>
        <w:rPr>
          <w:b w:val="0"/>
          <w:i w:val="0"/>
          <w:sz w:val="21"/>
        </w:rPr>
        <w:t>Opportunity Score de Meta: 96/100. CPMs muy por debajo del benchmark del rubro legal. Cuenta sin errores de entrega, pago al día, pixel activo. Banco de 70 creativos ya cubre ángulos de miedo, curiosidad, oferta, autoridad y testimonio.</w:t>
      </w:r>
    </w:p>
    <w:p>
      <w:r>
        <w:br w:type="page"/>
      </w:r>
    </w:p>
    <w:p>
      <w:pPr>
        <w:pStyle w:val="Heading1"/>
      </w:pPr>
      <w:r>
        <w:rPr>
          <w:color w:val="0F2438"/>
        </w:rPr>
        <w:t>Cómo se calculó la puntuación</w:t>
      </w:r>
    </w:p>
    <w:p>
      <w:r>
        <w:rPr>
          <w:b w:val="0"/>
          <w:i w:val="0"/>
          <w:sz w:val="21"/>
        </w:rPr>
        <w:t>Puntuación propia de esta auditoría (0-100), separada del Opportunity Score de Meta (que mide alineación con buenas prácticas de configuración, no resultado de negocio).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2438"/>
          </w:tcPr>
          <w:p>
            <w:r>
              <w:rPr>
                <w:b/>
                <w:color w:val="FFFFFF"/>
                <w:sz w:val="19"/>
              </w:rPr>
              <w:t>Dimensión</w:t>
            </w:r>
          </w:p>
        </w:tc>
        <w:tc>
          <w:tcPr>
            <w:tcW w:type="dxa" w:w="2880"/>
            <w:shd w:fill="0F2438"/>
          </w:tcPr>
          <w:p>
            <w:r>
              <w:rPr>
                <w:b/>
                <w:color w:val="FFFFFF"/>
                <w:sz w:val="19"/>
              </w:rPr>
              <w:t>Hallazgo</w:t>
            </w:r>
          </w:p>
        </w:tc>
        <w:tc>
          <w:tcPr>
            <w:tcW w:type="dxa" w:w="2880"/>
            <w:shd w:fill="0F2438"/>
          </w:tcPr>
          <w:p>
            <w:r>
              <w:rPr>
                <w:b/>
                <w:color w:val="FFFFFF"/>
                <w:sz w:val="19"/>
              </w:rPr>
              <w:t>Puntaje</w:t>
            </w:r>
          </w:p>
        </w:tc>
      </w:tr>
      <w:tr>
        <w:tc>
          <w:tcPr>
            <w:tcW w:type="dxa" w:w="2880"/>
          </w:tcPr>
          <w:p>
            <w:r>
              <w:rPr>
                <w:sz w:val="19"/>
              </w:rPr>
              <w:t>Salud de cuenta y entrega</w:t>
            </w:r>
          </w:p>
        </w:tc>
        <w:tc>
          <w:tcPr>
            <w:tcW w:type="dxa" w:w="2880"/>
          </w:tcPr>
          <w:p>
            <w:r>
              <w:rPr>
                <w:sz w:val="19"/>
              </w:rPr>
              <w:t>Sin errores bloqueantes, pago al día, pixel disparando</w:t>
            </w:r>
          </w:p>
        </w:tc>
        <w:tc>
          <w:tcPr>
            <w:tcW w:type="dxa" w:w="2880"/>
          </w:tcPr>
          <w:p>
            <w:r>
              <w:rPr>
                <w:sz w:val="19"/>
              </w:rPr>
              <w:t>15/15</w:t>
            </w:r>
          </w:p>
        </w:tc>
      </w:tr>
      <w:tr>
        <w:tc>
          <w:tcPr>
            <w:tcW w:type="dxa" w:w="2880"/>
          </w:tcPr>
          <w:p>
            <w:r>
              <w:rPr>
                <w:sz w:val="19"/>
              </w:rPr>
              <w:t>Estructura y foco de campañas</w:t>
            </w:r>
          </w:p>
        </w:tc>
        <w:tc>
          <w:tcPr>
            <w:tcW w:type="dxa" w:w="2880"/>
          </w:tcPr>
          <w:p>
            <w:r>
              <w:rPr>
                <w:sz w:val="19"/>
              </w:rPr>
              <w:t>La campaña activa es la menos eficiente; las 3 mejores están pausadas</w:t>
            </w:r>
          </w:p>
        </w:tc>
        <w:tc>
          <w:tcPr>
            <w:tcW w:type="dxa" w:w="2880"/>
          </w:tcPr>
          <w:p>
            <w:r>
              <w:rPr>
                <w:sz w:val="19"/>
              </w:rPr>
              <w:t>5/20</w:t>
            </w:r>
          </w:p>
        </w:tc>
      </w:tr>
      <w:tr>
        <w:tc>
          <w:tcPr>
            <w:tcW w:type="dxa" w:w="2880"/>
          </w:tcPr>
          <w:p>
            <w:r>
              <w:rPr>
                <w:sz w:val="19"/>
              </w:rPr>
              <w:t>Frescura y rotación creativa</w:t>
            </w:r>
          </w:p>
        </w:tc>
        <w:tc>
          <w:tcPr>
            <w:tcW w:type="dxa" w:w="2880"/>
          </w:tcPr>
          <w:p>
            <w:r>
              <w:rPr>
                <w:sz w:val="19"/>
              </w:rPr>
              <w:t>1 anuncio activo de 70 disponibles, corriendo 16 meses sin cambio</w:t>
            </w:r>
          </w:p>
        </w:tc>
        <w:tc>
          <w:tcPr>
            <w:tcW w:type="dxa" w:w="2880"/>
          </w:tcPr>
          <w:p>
            <w:r>
              <w:rPr>
                <w:sz w:val="19"/>
              </w:rPr>
              <w:t>4/20</w:t>
            </w:r>
          </w:p>
        </w:tc>
      </w:tr>
      <w:tr>
        <w:tc>
          <w:tcPr>
            <w:tcW w:type="dxa" w:w="2880"/>
          </w:tcPr>
          <w:p>
            <w:r>
              <w:rPr>
                <w:sz w:val="19"/>
              </w:rPr>
              <w:t>Medición y atribución</w:t>
            </w:r>
          </w:p>
        </w:tc>
        <w:tc>
          <w:tcPr>
            <w:tcW w:type="dxa" w:w="2880"/>
          </w:tcPr>
          <w:p>
            <w:r>
              <w:rPr>
                <w:sz w:val="19"/>
              </w:rPr>
              <w:t>Solo PageView registrado; sin eventos de Lead/contacto</w:t>
            </w:r>
          </w:p>
        </w:tc>
        <w:tc>
          <w:tcPr>
            <w:tcW w:type="dxa" w:w="2880"/>
          </w:tcPr>
          <w:p>
            <w:r>
              <w:rPr>
                <w:sz w:val="19"/>
              </w:rPr>
              <w:t>3/15</w:t>
            </w:r>
          </w:p>
        </w:tc>
      </w:tr>
      <w:tr>
        <w:tc>
          <w:tcPr>
            <w:tcW w:type="dxa" w:w="2880"/>
          </w:tcPr>
          <w:p>
            <w:r>
              <w:rPr>
                <w:sz w:val="19"/>
              </w:rPr>
              <w:t>Coherencia oferta ↔ landing</w:t>
            </w:r>
          </w:p>
        </w:tc>
        <w:tc>
          <w:tcPr>
            <w:tcW w:type="dxa" w:w="2880"/>
          </w:tcPr>
          <w:p>
            <w:r>
              <w:rPr>
                <w:sz w:val="19"/>
              </w:rPr>
              <w:t>CTAs dispersos, sin refuerzo de oferta, sin ángulo CAE</w:t>
            </w:r>
          </w:p>
        </w:tc>
        <w:tc>
          <w:tcPr>
            <w:tcW w:type="dxa" w:w="2880"/>
          </w:tcPr>
          <w:p>
            <w:r>
              <w:rPr>
                <w:sz w:val="19"/>
              </w:rPr>
              <w:t>9/15</w:t>
            </w:r>
          </w:p>
        </w:tc>
      </w:tr>
      <w:tr>
        <w:tc>
          <w:tcPr>
            <w:tcW w:type="dxa" w:w="2880"/>
          </w:tcPr>
          <w:p>
            <w:r>
              <w:rPr>
                <w:sz w:val="19"/>
              </w:rPr>
              <w:t>Audiencias y segmentación</w:t>
            </w:r>
          </w:p>
        </w:tc>
        <w:tc>
          <w:tcPr>
            <w:tcW w:type="dxa" w:w="2880"/>
          </w:tcPr>
          <w:p>
            <w:r>
              <w:rPr>
                <w:sz w:val="19"/>
              </w:rPr>
              <w:t>Lookalikes inactivas; audiencia de sitio casi vacía; audiencia CAE sana</w:t>
            </w:r>
          </w:p>
        </w:tc>
        <w:tc>
          <w:tcPr>
            <w:tcW w:type="dxa" w:w="2880"/>
          </w:tcPr>
          <w:p>
            <w:r>
              <w:rPr>
                <w:sz w:val="19"/>
              </w:rPr>
              <w:t>7/15</w:t>
            </w:r>
          </w:p>
        </w:tc>
      </w:tr>
      <w:tr>
        <w:tc>
          <w:tcPr>
            <w:tcW w:type="dxa" w:w="2880"/>
          </w:tcPr>
          <w:p>
            <w:r>
              <w:rPr>
                <w:sz w:val="19"/>
              </w:rPr>
              <w:t>TOTAL</w:t>
            </w:r>
          </w:p>
        </w:tc>
        <w:tc>
          <w:tcPr>
            <w:tcW w:type="dxa" w:w="2880"/>
          </w:tcPr>
          <w:p>
            <w:r>
              <w:rPr>
                <w:sz w:val="19"/>
              </w:rPr>
            </w:r>
          </w:p>
        </w:tc>
        <w:tc>
          <w:tcPr>
            <w:tcW w:type="dxa" w:w="2880"/>
          </w:tcPr>
          <w:p>
            <w:r>
              <w:rPr>
                <w:sz w:val="19"/>
              </w:rPr>
              <w:t>43/100</w:t>
            </w:r>
          </w:p>
        </w:tc>
      </w:tr>
    </w:tbl>
    <w:p>
      <w:r>
        <w:br w:type="page"/>
      </w:r>
    </w:p>
    <w:p>
      <w:pPr>
        <w:pStyle w:val="Heading1"/>
      </w:pPr>
      <w:r>
        <w:rPr>
          <w:color w:val="0F2438"/>
        </w:rPr>
        <w:t>Estructura de campañas (histórico completo)</w:t>
      </w:r>
    </w:p>
    <w:p>
      <w:r>
        <w:rPr>
          <w:b w:val="0"/>
          <w:i/>
          <w:color w:val="6B6459"/>
          <w:sz w:val="18"/>
        </w:rPr>
        <w:t>6 campañas encontradas en la cuenta, rango histórico completo. Fuente: ads_get_ad_entities, nivel campaña, Meta Ads MCP.</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0F2438"/>
          </w:tcPr>
          <w:p>
            <w:r>
              <w:rPr>
                <w:b/>
                <w:color w:val="FFFFFF"/>
                <w:sz w:val="19"/>
              </w:rPr>
              <w:t>Campaña</w:t>
            </w:r>
          </w:p>
        </w:tc>
        <w:tc>
          <w:tcPr>
            <w:tcW w:type="dxa" w:w="960"/>
            <w:shd w:fill="0F2438"/>
          </w:tcPr>
          <w:p>
            <w:r>
              <w:rPr>
                <w:b/>
                <w:color w:val="FFFFFF"/>
                <w:sz w:val="19"/>
              </w:rPr>
              <w:t>Estado</w:t>
            </w:r>
          </w:p>
        </w:tc>
        <w:tc>
          <w:tcPr>
            <w:tcW w:type="dxa" w:w="960"/>
            <w:shd w:fill="0F2438"/>
          </w:tcPr>
          <w:p>
            <w:r>
              <w:rPr>
                <w:b/>
                <w:color w:val="FFFFFF"/>
                <w:sz w:val="19"/>
              </w:rPr>
              <w:t>Gasto</w:t>
            </w:r>
          </w:p>
        </w:tc>
        <w:tc>
          <w:tcPr>
            <w:tcW w:type="dxa" w:w="960"/>
            <w:shd w:fill="0F2438"/>
          </w:tcPr>
          <w:p>
            <w:r>
              <w:rPr>
                <w:b/>
                <w:color w:val="FFFFFF"/>
                <w:sz w:val="19"/>
              </w:rPr>
              <w:t>CTR</w:t>
            </w:r>
          </w:p>
        </w:tc>
        <w:tc>
          <w:tcPr>
            <w:tcW w:type="dxa" w:w="960"/>
            <w:shd w:fill="0F2438"/>
          </w:tcPr>
          <w:p>
            <w:r>
              <w:rPr>
                <w:b/>
                <w:color w:val="FFFFFF"/>
                <w:sz w:val="19"/>
              </w:rPr>
              <w:t>CPC</w:t>
            </w:r>
          </w:p>
        </w:tc>
        <w:tc>
          <w:tcPr>
            <w:tcW w:type="dxa" w:w="960"/>
            <w:shd w:fill="0F2438"/>
          </w:tcPr>
          <w:p>
            <w:r>
              <w:rPr>
                <w:b/>
                <w:color w:val="FFFFFF"/>
                <w:sz w:val="19"/>
              </w:rPr>
              <w:t>CPM</w:t>
            </w:r>
          </w:p>
        </w:tc>
        <w:tc>
          <w:tcPr>
            <w:tcW w:type="dxa" w:w="960"/>
            <w:shd w:fill="0F2438"/>
          </w:tcPr>
          <w:p>
            <w:r>
              <w:rPr>
                <w:b/>
                <w:color w:val="FFFFFF"/>
                <w:sz w:val="19"/>
              </w:rPr>
              <w:t>Frecuencia</w:t>
            </w:r>
          </w:p>
        </w:tc>
        <w:tc>
          <w:tcPr>
            <w:tcW w:type="dxa" w:w="960"/>
            <w:shd w:fill="0F2438"/>
          </w:tcPr>
          <w:p>
            <w:r>
              <w:rPr>
                <w:b/>
                <w:color w:val="FFFFFF"/>
                <w:sz w:val="19"/>
              </w:rPr>
              <w:t>Costo/resultado</w:t>
            </w:r>
          </w:p>
        </w:tc>
        <w:tc>
          <w:tcPr>
            <w:tcW w:type="dxa" w:w="960"/>
            <w:shd w:fill="0F2438"/>
          </w:tcPr>
          <w:p>
            <w:r>
              <w:rPr>
                <w:b/>
                <w:color w:val="FFFFFF"/>
                <w:sz w:val="19"/>
              </w:rPr>
              <w:t>Resultados</w:t>
            </w:r>
          </w:p>
        </w:tc>
      </w:tr>
      <w:tr>
        <w:tc>
          <w:tcPr>
            <w:tcW w:type="dxa" w:w="960"/>
          </w:tcPr>
          <w:p>
            <w:r>
              <w:rPr>
                <w:sz w:val="19"/>
              </w:rPr>
              <w:t>Diagnósticos Gratuitos (21-04-2025)</w:t>
            </w:r>
          </w:p>
        </w:tc>
        <w:tc>
          <w:tcPr>
            <w:tcW w:type="dxa" w:w="960"/>
          </w:tcPr>
          <w:p>
            <w:r>
              <w:rPr>
                <w:sz w:val="19"/>
              </w:rPr>
              <w:t>ACTIVA</w:t>
            </w:r>
          </w:p>
        </w:tc>
        <w:tc>
          <w:tcPr>
            <w:tcW w:type="dxa" w:w="960"/>
          </w:tcPr>
          <w:p>
            <w:r>
              <w:rPr>
                <w:sz w:val="19"/>
              </w:rPr>
              <w:t>$5.338.077</w:t>
            </w:r>
          </w:p>
        </w:tc>
        <w:tc>
          <w:tcPr>
            <w:tcW w:type="dxa" w:w="960"/>
          </w:tcPr>
          <w:p>
            <w:r>
              <w:rPr>
                <w:sz w:val="19"/>
              </w:rPr>
              <w:t>1,48%</w:t>
            </w:r>
          </w:p>
        </w:tc>
        <w:tc>
          <w:tcPr>
            <w:tcW w:type="dxa" w:w="960"/>
          </w:tcPr>
          <w:p>
            <w:r>
              <w:rPr>
                <w:sz w:val="19"/>
              </w:rPr>
              <w:t>$283</w:t>
            </w:r>
          </w:p>
        </w:tc>
        <w:tc>
          <w:tcPr>
            <w:tcW w:type="dxa" w:w="960"/>
          </w:tcPr>
          <w:p>
            <w:r>
              <w:rPr>
                <w:sz w:val="19"/>
              </w:rPr>
              <w:t>$4.196</w:t>
            </w:r>
          </w:p>
        </w:tc>
        <w:tc>
          <w:tcPr>
            <w:tcW w:type="dxa" w:w="960"/>
          </w:tcPr>
          <w:p>
            <w:r>
              <w:rPr>
                <w:sz w:val="19"/>
              </w:rPr>
              <w:t>4,58</w:t>
            </w:r>
          </w:p>
        </w:tc>
        <w:tc>
          <w:tcPr>
            <w:tcW w:type="dxa" w:w="960"/>
          </w:tcPr>
          <w:p>
            <w:r>
              <w:rPr>
                <w:sz w:val="19"/>
              </w:rPr>
              <w:t>$1.099</w:t>
            </w:r>
          </w:p>
        </w:tc>
        <w:tc>
          <w:tcPr>
            <w:tcW w:type="dxa" w:w="960"/>
          </w:tcPr>
          <w:p>
            <w:r>
              <w:rPr>
                <w:sz w:val="19"/>
              </w:rPr>
              <w:t>4.858</w:t>
            </w:r>
          </w:p>
        </w:tc>
      </w:tr>
      <w:tr>
        <w:tc>
          <w:tcPr>
            <w:tcW w:type="dxa" w:w="960"/>
          </w:tcPr>
          <w:p>
            <w:r>
              <w:rPr>
                <w:sz w:val="19"/>
              </w:rPr>
              <w:t>Estrategia CAE Centralizada</w:t>
            </w:r>
          </w:p>
        </w:tc>
        <w:tc>
          <w:tcPr>
            <w:tcW w:type="dxa" w:w="960"/>
          </w:tcPr>
          <w:p>
            <w:r>
              <w:rPr>
                <w:sz w:val="19"/>
              </w:rPr>
              <w:t>Pausada</w:t>
            </w:r>
          </w:p>
        </w:tc>
        <w:tc>
          <w:tcPr>
            <w:tcW w:type="dxa" w:w="960"/>
          </w:tcPr>
          <w:p>
            <w:r>
              <w:rPr>
                <w:sz w:val="19"/>
              </w:rPr>
              <w:t>$901.929</w:t>
            </w:r>
          </w:p>
        </w:tc>
        <w:tc>
          <w:tcPr>
            <w:tcW w:type="dxa" w:w="960"/>
          </w:tcPr>
          <w:p>
            <w:r>
              <w:rPr>
                <w:sz w:val="19"/>
              </w:rPr>
              <w:t>2,14%</w:t>
            </w:r>
          </w:p>
        </w:tc>
        <w:tc>
          <w:tcPr>
            <w:tcW w:type="dxa" w:w="960"/>
          </w:tcPr>
          <w:p>
            <w:r>
              <w:rPr>
                <w:sz w:val="19"/>
              </w:rPr>
              <w:t>$121</w:t>
            </w:r>
          </w:p>
        </w:tc>
        <w:tc>
          <w:tcPr>
            <w:tcW w:type="dxa" w:w="960"/>
          </w:tcPr>
          <w:p>
            <w:r>
              <w:rPr>
                <w:sz w:val="19"/>
              </w:rPr>
              <w:t>$2.597</w:t>
            </w:r>
          </w:p>
        </w:tc>
        <w:tc>
          <w:tcPr>
            <w:tcW w:type="dxa" w:w="960"/>
          </w:tcPr>
          <w:p>
            <w:r>
              <w:rPr>
                <w:sz w:val="19"/>
              </w:rPr>
              <w:t>2,26</w:t>
            </w:r>
          </w:p>
        </w:tc>
        <w:tc>
          <w:tcPr>
            <w:tcW w:type="dxa" w:w="960"/>
          </w:tcPr>
          <w:p>
            <w:r>
              <w:rPr>
                <w:sz w:val="19"/>
              </w:rPr>
              <w:t>$470</w:t>
            </w:r>
          </w:p>
        </w:tc>
        <w:tc>
          <w:tcPr>
            <w:tcW w:type="dxa" w:w="960"/>
          </w:tcPr>
          <w:p>
            <w:r>
              <w:rPr>
                <w:sz w:val="19"/>
              </w:rPr>
              <w:t>1.920</w:t>
            </w:r>
          </w:p>
        </w:tc>
      </w:tr>
      <w:tr>
        <w:tc>
          <w:tcPr>
            <w:tcW w:type="dxa" w:w="960"/>
          </w:tcPr>
          <w:p>
            <w:r>
              <w:rPr>
                <w:sz w:val="19"/>
              </w:rPr>
              <w:t>Prescripción CAE</w:t>
            </w:r>
          </w:p>
        </w:tc>
        <w:tc>
          <w:tcPr>
            <w:tcW w:type="dxa" w:w="960"/>
          </w:tcPr>
          <w:p>
            <w:r>
              <w:rPr>
                <w:sz w:val="19"/>
              </w:rPr>
              <w:t>Pausada</w:t>
            </w:r>
          </w:p>
        </w:tc>
        <w:tc>
          <w:tcPr>
            <w:tcW w:type="dxa" w:w="960"/>
          </w:tcPr>
          <w:p>
            <w:r>
              <w:rPr>
                <w:sz w:val="19"/>
              </w:rPr>
              <w:t>$50.000</w:t>
            </w:r>
          </w:p>
        </w:tc>
        <w:tc>
          <w:tcPr>
            <w:tcW w:type="dxa" w:w="960"/>
          </w:tcPr>
          <w:p>
            <w:r>
              <w:rPr>
                <w:sz w:val="19"/>
              </w:rPr>
              <w:t>3,21%</w:t>
            </w:r>
          </w:p>
        </w:tc>
        <w:tc>
          <w:tcPr>
            <w:tcW w:type="dxa" w:w="960"/>
          </w:tcPr>
          <w:p>
            <w:r>
              <w:rPr>
                <w:sz w:val="19"/>
              </w:rPr>
              <w:t>$120</w:t>
            </w:r>
          </w:p>
        </w:tc>
        <w:tc>
          <w:tcPr>
            <w:tcW w:type="dxa" w:w="960"/>
          </w:tcPr>
          <w:p>
            <w:r>
              <w:rPr>
                <w:sz w:val="19"/>
              </w:rPr>
              <w:t>$3.837</w:t>
            </w:r>
          </w:p>
        </w:tc>
        <w:tc>
          <w:tcPr>
            <w:tcW w:type="dxa" w:w="960"/>
          </w:tcPr>
          <w:p>
            <w:r>
              <w:rPr>
                <w:sz w:val="19"/>
              </w:rPr>
              <w:t>1,20</w:t>
            </w:r>
          </w:p>
        </w:tc>
        <w:tc>
          <w:tcPr>
            <w:tcW w:type="dxa" w:w="960"/>
          </w:tcPr>
          <w:p>
            <w:r>
              <w:rPr>
                <w:sz w:val="19"/>
              </w:rPr>
              <w:t>$373</w:t>
            </w:r>
          </w:p>
        </w:tc>
        <w:tc>
          <w:tcPr>
            <w:tcW w:type="dxa" w:w="960"/>
          </w:tcPr>
          <w:p>
            <w:r>
              <w:rPr>
                <w:sz w:val="19"/>
              </w:rPr>
              <w:t>134</w:t>
            </w:r>
          </w:p>
        </w:tc>
      </w:tr>
      <w:tr>
        <w:tc>
          <w:tcPr>
            <w:tcW w:type="dxa" w:w="960"/>
          </w:tcPr>
          <w:p>
            <w:r>
              <w:rPr>
                <w:sz w:val="19"/>
              </w:rPr>
              <w:t>Defensa CAE</w:t>
            </w:r>
          </w:p>
        </w:tc>
        <w:tc>
          <w:tcPr>
            <w:tcW w:type="dxa" w:w="960"/>
          </w:tcPr>
          <w:p>
            <w:r>
              <w:rPr>
                <w:sz w:val="19"/>
              </w:rPr>
              <w:t>Pausada</w:t>
            </w:r>
          </w:p>
        </w:tc>
        <w:tc>
          <w:tcPr>
            <w:tcW w:type="dxa" w:w="960"/>
          </w:tcPr>
          <w:p>
            <w:r>
              <w:rPr>
                <w:sz w:val="19"/>
              </w:rPr>
              <w:t>$50.000</w:t>
            </w:r>
          </w:p>
        </w:tc>
        <w:tc>
          <w:tcPr>
            <w:tcW w:type="dxa" w:w="960"/>
          </w:tcPr>
          <w:p>
            <w:r>
              <w:rPr>
                <w:sz w:val="19"/>
              </w:rPr>
              <w:t>2,34%</w:t>
            </w:r>
          </w:p>
        </w:tc>
        <w:tc>
          <w:tcPr>
            <w:tcW w:type="dxa" w:w="960"/>
          </w:tcPr>
          <w:p>
            <w:r>
              <w:rPr>
                <w:sz w:val="19"/>
              </w:rPr>
              <w:t>$226</w:t>
            </w:r>
          </w:p>
        </w:tc>
        <w:tc>
          <w:tcPr>
            <w:tcW w:type="dxa" w:w="960"/>
          </w:tcPr>
          <w:p>
            <w:r>
              <w:rPr>
                <w:sz w:val="19"/>
              </w:rPr>
              <w:t>$5.288</w:t>
            </w:r>
          </w:p>
        </w:tc>
        <w:tc>
          <w:tcPr>
            <w:tcW w:type="dxa" w:w="960"/>
          </w:tcPr>
          <w:p>
            <w:r>
              <w:rPr>
                <w:sz w:val="19"/>
              </w:rPr>
              <w:t>1,11</w:t>
            </w:r>
          </w:p>
        </w:tc>
        <w:tc>
          <w:tcPr>
            <w:tcW w:type="dxa" w:w="960"/>
          </w:tcPr>
          <w:p>
            <w:r>
              <w:rPr>
                <w:sz w:val="19"/>
              </w:rPr>
              <w:t>$649</w:t>
            </w:r>
          </w:p>
        </w:tc>
        <w:tc>
          <w:tcPr>
            <w:tcW w:type="dxa" w:w="960"/>
          </w:tcPr>
          <w:p>
            <w:r>
              <w:rPr>
                <w:sz w:val="19"/>
              </w:rPr>
              <w:t>77</w:t>
            </w:r>
          </w:p>
        </w:tc>
      </w:tr>
      <w:tr>
        <w:tc>
          <w:tcPr>
            <w:tcW w:type="dxa" w:w="960"/>
          </w:tcPr>
          <w:p>
            <w:r>
              <w:rPr>
                <w:sz w:val="19"/>
              </w:rPr>
              <w:t>Ley de alivio tributario</w:t>
            </w:r>
          </w:p>
        </w:tc>
        <w:tc>
          <w:tcPr>
            <w:tcW w:type="dxa" w:w="960"/>
          </w:tcPr>
          <w:p>
            <w:r>
              <w:rPr>
                <w:sz w:val="19"/>
              </w:rPr>
              <w:t>Pausada</w:t>
            </w:r>
          </w:p>
        </w:tc>
        <w:tc>
          <w:tcPr>
            <w:tcW w:type="dxa" w:w="960"/>
          </w:tcPr>
          <w:p>
            <w:r>
              <w:rPr>
                <w:sz w:val="19"/>
              </w:rPr>
              <w:t>$65.765</w:t>
            </w:r>
          </w:p>
        </w:tc>
        <w:tc>
          <w:tcPr>
            <w:tcW w:type="dxa" w:w="960"/>
          </w:tcPr>
          <w:p>
            <w:r>
              <w:rPr>
                <w:sz w:val="19"/>
              </w:rPr>
              <w:t>1,47%</w:t>
            </w:r>
          </w:p>
        </w:tc>
        <w:tc>
          <w:tcPr>
            <w:tcW w:type="dxa" w:w="960"/>
          </w:tcPr>
          <w:p>
            <w:r>
              <w:rPr>
                <w:sz w:val="19"/>
              </w:rPr>
              <w:t>$202</w:t>
            </w:r>
          </w:p>
        </w:tc>
        <w:tc>
          <w:tcPr>
            <w:tcW w:type="dxa" w:w="960"/>
          </w:tcPr>
          <w:p>
            <w:r>
              <w:rPr>
                <w:sz w:val="19"/>
              </w:rPr>
              <w:t>$2.974</w:t>
            </w:r>
          </w:p>
        </w:tc>
        <w:tc>
          <w:tcPr>
            <w:tcW w:type="dxa" w:w="960"/>
          </w:tcPr>
          <w:p>
            <w:r>
              <w:rPr>
                <w:sz w:val="19"/>
              </w:rPr>
              <w:t>1,71</w:t>
            </w:r>
          </w:p>
        </w:tc>
        <w:tc>
          <w:tcPr>
            <w:tcW w:type="dxa" w:w="960"/>
          </w:tcPr>
          <w:p>
            <w:r>
              <w:rPr>
                <w:sz w:val="19"/>
              </w:rPr>
              <w:t>$1.461</w:t>
            </w:r>
          </w:p>
        </w:tc>
        <w:tc>
          <w:tcPr>
            <w:tcW w:type="dxa" w:w="960"/>
          </w:tcPr>
          <w:p>
            <w:r>
              <w:rPr>
                <w:sz w:val="19"/>
              </w:rPr>
              <w:t>45</w:t>
            </w:r>
          </w:p>
        </w:tc>
      </w:tr>
      <w:tr>
        <w:tc>
          <w:tcPr>
            <w:tcW w:type="dxa" w:w="960"/>
          </w:tcPr>
          <w:p>
            <w:r>
              <w:rPr>
                <w:sz w:val="19"/>
              </w:rPr>
              <w:t>Tráfico – Página Diagnóstico</w:t>
            </w:r>
          </w:p>
        </w:tc>
        <w:tc>
          <w:tcPr>
            <w:tcW w:type="dxa" w:w="960"/>
          </w:tcPr>
          <w:p>
            <w:r>
              <w:rPr>
                <w:sz w:val="19"/>
              </w:rPr>
              <w:t>Pausada</w:t>
            </w:r>
          </w:p>
        </w:tc>
        <w:tc>
          <w:tcPr>
            <w:tcW w:type="dxa" w:w="960"/>
          </w:tcPr>
          <w:p>
            <w:r>
              <w:rPr>
                <w:sz w:val="19"/>
              </w:rPr>
              <w:t>$256</w:t>
            </w:r>
          </w:p>
        </w:tc>
        <w:tc>
          <w:tcPr>
            <w:tcW w:type="dxa" w:w="960"/>
          </w:tcPr>
          <w:p>
            <w:r>
              <w:rPr>
                <w:sz w:val="19"/>
              </w:rPr>
              <w:t>4,13%</w:t>
            </w:r>
          </w:p>
        </w:tc>
        <w:tc>
          <w:tcPr>
            <w:tcW w:type="dxa" w:w="960"/>
          </w:tcPr>
          <w:p>
            <w:r>
              <w:rPr>
                <w:sz w:val="19"/>
              </w:rPr>
              <w:t>$18</w:t>
            </w:r>
          </w:p>
        </w:tc>
        <w:tc>
          <w:tcPr>
            <w:tcW w:type="dxa" w:w="960"/>
          </w:tcPr>
          <w:p>
            <w:r>
              <w:rPr>
                <w:sz w:val="19"/>
              </w:rPr>
              <w:t>$755</w:t>
            </w:r>
          </w:p>
        </w:tc>
        <w:tc>
          <w:tcPr>
            <w:tcW w:type="dxa" w:w="960"/>
          </w:tcPr>
          <w:p>
            <w:r>
              <w:rPr>
                <w:sz w:val="19"/>
              </w:rPr>
              <w:t>1,04</w:t>
            </w:r>
          </w:p>
        </w:tc>
        <w:tc>
          <w:tcPr>
            <w:tcW w:type="dxa" w:w="960"/>
          </w:tcPr>
          <w:p>
            <w:r>
              <w:rPr>
                <w:sz w:val="19"/>
              </w:rPr>
              <w:t>$28</w:t>
            </w:r>
          </w:p>
        </w:tc>
        <w:tc>
          <w:tcPr>
            <w:tcW w:type="dxa" w:w="960"/>
          </w:tcPr>
          <w:p>
            <w:r>
              <w:rPr>
                <w:sz w:val="19"/>
              </w:rPr>
              <w:t>9 (clics)</w:t>
            </w:r>
          </w:p>
        </w:tc>
      </w:tr>
    </w:tbl>
    <w:p>
      <w:r>
        <w:br w:type="page"/>
      </w:r>
    </w:p>
    <w:p>
      <w:pPr>
        <w:pStyle w:val="Heading1"/>
      </w:pPr>
      <w:r>
        <w:rPr>
          <w:color w:val="0F2438"/>
        </w:rPr>
        <w:t>El anuncio activo: 'Video 22'</w:t>
      </w:r>
    </w:p>
    <w:p>
      <w:r>
        <w:rPr>
          <w:b/>
          <w:i w:val="0"/>
          <w:sz w:val="21"/>
        </w:rPr>
        <w:t>Único anuncio activo de la campaña Diagnósticos Gratuitos, creado el 21-04-2025.</w:t>
      </w:r>
    </w:p>
    <w:tbl>
      <w:tblPr>
        <w:tblStyle w:val="LightGrid-Accent1"/>
        <w:tblW w:type="auto" w:w="0"/>
        <w:jc w:val="center"/>
        <w:tblLook w:firstColumn="1" w:firstRow="1" w:lastColumn="0" w:lastRow="0" w:noHBand="0" w:noVBand="1" w:val="04A0"/>
      </w:tblPr>
      <w:tblGrid>
        <w:gridCol w:w="4320"/>
        <w:gridCol w:w="4320"/>
      </w:tblGrid>
      <w:tr>
        <w:tc>
          <w:tcPr>
            <w:tcW w:type="dxa" w:w="4320"/>
            <w:shd w:fill="0F2438"/>
          </w:tcPr>
          <w:p>
            <w:r>
              <w:rPr>
                <w:b/>
                <w:color w:val="FFFFFF"/>
                <w:sz w:val="19"/>
              </w:rPr>
              <w:t>Métrica</w:t>
            </w:r>
          </w:p>
        </w:tc>
        <w:tc>
          <w:tcPr>
            <w:tcW w:type="dxa" w:w="4320"/>
            <w:shd w:fill="0F2438"/>
          </w:tcPr>
          <w:p>
            <w:r>
              <w:rPr>
                <w:b/>
                <w:color w:val="FFFFFF"/>
                <w:sz w:val="19"/>
              </w:rPr>
              <w:t>Valor</w:t>
            </w:r>
          </w:p>
        </w:tc>
      </w:tr>
      <w:tr>
        <w:tc>
          <w:tcPr>
            <w:tcW w:type="dxa" w:w="4320"/>
          </w:tcPr>
          <w:p>
            <w:r>
              <w:rPr>
                <w:sz w:val="19"/>
              </w:rPr>
              <w:t>Gasto acumulado</w:t>
            </w:r>
          </w:p>
        </w:tc>
        <w:tc>
          <w:tcPr>
            <w:tcW w:type="dxa" w:w="4320"/>
          </w:tcPr>
          <w:p>
            <w:r>
              <w:rPr>
                <w:sz w:val="19"/>
              </w:rPr>
              <w:t>$3.806.440 CLP (71% del gasto histórico de la campaña)</w:t>
            </w:r>
          </w:p>
        </w:tc>
      </w:tr>
      <w:tr>
        <w:tc>
          <w:tcPr>
            <w:tcW w:type="dxa" w:w="4320"/>
          </w:tcPr>
          <w:p>
            <w:r>
              <w:rPr>
                <w:sz w:val="19"/>
              </w:rPr>
              <w:t>Impresiones</w:t>
            </w:r>
          </w:p>
        </w:tc>
        <w:tc>
          <w:tcPr>
            <w:tcW w:type="dxa" w:w="4320"/>
          </w:tcPr>
          <w:p>
            <w:r>
              <w:rPr>
                <w:sz w:val="19"/>
              </w:rPr>
              <w:t>839.363</w:t>
            </w:r>
          </w:p>
        </w:tc>
      </w:tr>
      <w:tr>
        <w:tc>
          <w:tcPr>
            <w:tcW w:type="dxa" w:w="4320"/>
          </w:tcPr>
          <w:p>
            <w:r>
              <w:rPr>
                <w:sz w:val="19"/>
              </w:rPr>
              <w:t>CTR</w:t>
            </w:r>
          </w:p>
        </w:tc>
        <w:tc>
          <w:tcPr>
            <w:tcW w:type="dxa" w:w="4320"/>
          </w:tcPr>
          <w:p>
            <w:r>
              <w:rPr>
                <w:sz w:val="19"/>
              </w:rPr>
              <w:t>1,39%</w:t>
            </w:r>
          </w:p>
        </w:tc>
      </w:tr>
      <w:tr>
        <w:tc>
          <w:tcPr>
            <w:tcW w:type="dxa" w:w="4320"/>
          </w:tcPr>
          <w:p>
            <w:r>
              <w:rPr>
                <w:sz w:val="19"/>
              </w:rPr>
              <w:t>Frecuencia</w:t>
            </w:r>
          </w:p>
        </w:tc>
        <w:tc>
          <w:tcPr>
            <w:tcW w:type="dxa" w:w="4320"/>
          </w:tcPr>
          <w:p>
            <w:r>
              <w:rPr>
                <w:sz w:val="19"/>
              </w:rPr>
              <w:t>3,79</w:t>
            </w:r>
          </w:p>
        </w:tc>
      </w:tr>
      <w:tr>
        <w:tc>
          <w:tcPr>
            <w:tcW w:type="dxa" w:w="4320"/>
          </w:tcPr>
          <w:p>
            <w:r>
              <w:rPr>
                <w:sz w:val="19"/>
              </w:rPr>
              <w:t>Ranking de calidad (Meta)</w:t>
            </w:r>
          </w:p>
        </w:tc>
        <w:tc>
          <w:tcPr>
            <w:tcW w:type="dxa" w:w="4320"/>
          </w:tcPr>
          <w:p>
            <w:r>
              <w:rPr>
                <w:sz w:val="19"/>
              </w:rPr>
              <w:t>Promedio</w:t>
            </w:r>
          </w:p>
        </w:tc>
      </w:tr>
      <w:tr>
        <w:tc>
          <w:tcPr>
            <w:tcW w:type="dxa" w:w="4320"/>
          </w:tcPr>
          <w:p>
            <w:r>
              <w:rPr>
                <w:sz w:val="19"/>
              </w:rPr>
              <w:t>Ranking de interacción (Meta)</w:t>
            </w:r>
          </w:p>
        </w:tc>
        <w:tc>
          <w:tcPr>
            <w:tcW w:type="dxa" w:w="4320"/>
          </w:tcPr>
          <w:p>
            <w:r>
              <w:rPr>
                <w:sz w:val="19"/>
              </w:rPr>
              <w:t>Bottom 35% (Below Average)</w:t>
            </w:r>
          </w:p>
        </w:tc>
      </w:tr>
      <w:tr>
        <w:tc>
          <w:tcPr>
            <w:tcW w:type="dxa" w:w="4320"/>
          </w:tcPr>
          <w:p>
            <w:r>
              <w:rPr>
                <w:sz w:val="19"/>
              </w:rPr>
              <w:t>Ranking de conversión (Meta)</w:t>
            </w:r>
          </w:p>
        </w:tc>
        <w:tc>
          <w:tcPr>
            <w:tcW w:type="dxa" w:w="4320"/>
          </w:tcPr>
          <w:p>
            <w:r>
              <w:rPr>
                <w:sz w:val="19"/>
              </w:rPr>
              <w:t>Sobre el promedio</w:t>
            </w:r>
          </w:p>
        </w:tc>
      </w:tr>
      <w:tr>
        <w:tc>
          <w:tcPr>
            <w:tcW w:type="dxa" w:w="4320"/>
          </w:tcPr>
          <w:p>
            <w:r>
              <w:rPr>
                <w:sz w:val="19"/>
              </w:rPr>
              <w:t>Tendencia de CTR (Meta)</w:t>
            </w:r>
          </w:p>
        </w:tc>
        <w:tc>
          <w:tcPr>
            <w:tcW w:type="dxa" w:w="4320"/>
          </w:tcPr>
          <w:p>
            <w:r>
              <w:rPr>
                <w:sz w:val="19"/>
              </w:rPr>
              <w:t>-40,7% — clasificada BAD</w:t>
            </w:r>
          </w:p>
        </w:tc>
      </w:tr>
    </w:tbl>
    <w:p>
      <w:r>
        <w:rPr>
          <w:b w:val="0"/>
          <w:i/>
          <w:color w:val="B3382C"/>
          <w:sz w:val="21"/>
        </w:rPr>
        <w:t>Diagnóstico textual de Meta: "This ad is not spurring interest."</w:t>
      </w:r>
    </w:p>
    <w:p>
      <w:r>
        <w:br w:type="page"/>
      </w:r>
    </w:p>
    <w:p>
      <w:pPr>
        <w:pStyle w:val="Heading1"/>
      </w:pPr>
      <w:r>
        <w:rPr>
          <w:color w:val="0F2438"/>
        </w:rPr>
        <w:t>Banco creativo: 70 creativos, 1 activo</w:t>
      </w:r>
    </w:p>
    <w:p>
      <w:r>
        <w:rPr>
          <w:b w:val="0"/>
          <w:i w:val="0"/>
          <w:sz w:val="21"/>
        </w:rPr>
        <w:t>Ángulos ya producidos y disponibles en la cuenta (textos reales de los nombres de creativo, autogenerados por Meta desde el texto principal del anuncio):</w:t>
      </w:r>
    </w:p>
    <w:p>
      <w:pPr>
        <w:pStyle w:val="Heading2"/>
      </w:pPr>
      <w:r>
        <w:rPr>
          <w:color w:val="0F2438"/>
        </w:rPr>
        <w:t>Miedo / urgencia</w:t>
      </w:r>
    </w:p>
    <w:p>
      <w:pPr>
        <w:pStyle w:val="ListBullet"/>
      </w:pPr>
      <w:r>
        <w:t>¡Tesorería puede embargarte hoy!</w:t>
      </w:r>
    </w:p>
    <w:p>
      <w:pPr>
        <w:pStyle w:val="ListBullet"/>
      </w:pPr>
      <w:r>
        <w:t>¿Te embargaron la cuenta?</w:t>
      </w:r>
    </w:p>
    <w:p>
      <w:pPr>
        <w:pStyle w:val="ListBullet"/>
      </w:pPr>
      <w:r>
        <w:t>¿Te llegó una cobranza fiscal?</w:t>
      </w:r>
    </w:p>
    <w:p>
      <w:pPr>
        <w:pStyle w:val="ListBullet"/>
      </w:pPr>
      <w:r>
        <w:t>¿Estás demandado sin saberlo?</w:t>
      </w:r>
    </w:p>
    <w:p>
      <w:pPr>
        <w:pStyle w:val="ListBullet"/>
      </w:pPr>
      <w:r>
        <w:t>¡Defiéndete del Giro del SII hoy!</w:t>
      </w:r>
    </w:p>
    <w:p>
      <w:pPr>
        <w:pStyle w:val="Heading2"/>
      </w:pPr>
      <w:r>
        <w:rPr>
          <w:color w:val="0F2438"/>
        </w:rPr>
        <w:t>Curiosidad / pregunta</w:t>
      </w:r>
    </w:p>
    <w:p>
      <w:pPr>
        <w:pStyle w:val="ListBullet"/>
      </w:pPr>
      <w:r>
        <w:t>¿Tienes deuda con Tesorería?</w:t>
      </w:r>
    </w:p>
    <w:p>
      <w:pPr>
        <w:pStyle w:val="ListBullet"/>
      </w:pPr>
      <w:r>
        <w:t>¿Tu deuda fiscal ya prescribió?</w:t>
      </w:r>
    </w:p>
    <w:p>
      <w:pPr>
        <w:pStyle w:val="ListBullet"/>
      </w:pPr>
      <w:r>
        <w:t>¿Heredaste bienes con deuda?</w:t>
      </w:r>
    </w:p>
    <w:p>
      <w:pPr>
        <w:pStyle w:val="ListBullet"/>
      </w:pPr>
      <w:r>
        <w:t>¿CAE puede abordarse por Prescripción Tributaria?</w:t>
      </w:r>
    </w:p>
    <w:p>
      <w:pPr>
        <w:pStyle w:val="Heading2"/>
      </w:pPr>
      <w:r>
        <w:rPr>
          <w:color w:val="0F2438"/>
        </w:rPr>
        <w:t>Oferta / lead magnet</w:t>
      </w:r>
    </w:p>
    <w:p>
      <w:pPr>
        <w:pStyle w:val="ListBullet"/>
      </w:pPr>
      <w:r>
        <w:t>Hoy liberamos 50 diagnósticos gratuitos...</w:t>
      </w:r>
    </w:p>
    <w:p>
      <w:pPr>
        <w:pStyle w:val="ListBullet"/>
      </w:pPr>
      <w:r>
        <w:t>Agenda tu diagnóstico</w:t>
      </w:r>
    </w:p>
    <w:p>
      <w:pPr>
        <w:pStyle w:val="ListBullet"/>
      </w:pPr>
      <w:r>
        <w:t>¡Prescribe tu deuda CAE ahora!</w:t>
      </w:r>
    </w:p>
    <w:p>
      <w:pPr>
        <w:pStyle w:val="Heading2"/>
      </w:pPr>
      <w:r>
        <w:rPr>
          <w:color w:val="0F2438"/>
        </w:rPr>
        <w:t>Autoridad / testimonio</w:t>
      </w:r>
    </w:p>
    <w:p>
      <w:pPr>
        <w:pStyle w:val="ListBullet"/>
      </w:pPr>
      <w:r>
        <w:t>Más de 10 años ayudando...</w:t>
      </w:r>
    </w:p>
    <w:p>
      <w:pPr>
        <w:pStyle w:val="ListBullet"/>
      </w:pPr>
      <w:r>
        <w:t>Apoyo real, defensa real</w:t>
      </w:r>
    </w:p>
    <w:p>
      <w:pPr>
        <w:pStyle w:val="ListBullet"/>
      </w:pPr>
      <w:r>
        <w:t>Tu defensa Aquí</w:t>
      </w:r>
    </w:p>
    <w:p>
      <w:pPr>
        <w:pStyle w:val="ListBullet"/>
      </w:pPr>
      <w:r>
        <w:t>Testimonio Silvana (Tesorería)</w:t>
      </w:r>
    </w:p>
    <w:p>
      <w:pPr>
        <w:pStyle w:val="ListBullet"/>
      </w:pPr>
      <w:r>
        <w:t>Testimonio Ramón López (Cobranza Fiscal)</w:t>
      </w:r>
    </w:p>
    <w:p>
      <w:pPr>
        <w:pStyle w:val="ListBullet"/>
      </w:pPr>
      <w:r>
        <w:t>Caso de Éxito | Jaime</w:t>
      </w:r>
    </w:p>
    <w:p/>
    <w:p>
      <w:r>
        <w:rPr>
          <w:b/>
          <w:i w:val="0"/>
          <w:color w:val="B3382C"/>
          <w:sz w:val="21"/>
        </w:rPr>
        <w:t>Punto de compliance a revisar:</w:t>
      </w:r>
    </w:p>
    <w:p>
      <w:r>
        <w:rPr>
          <w:b w:val="0"/>
          <w:i w:val="0"/>
          <w:sz w:val="21"/>
        </w:rPr>
        <w:t>El creativo "¡Lo ocultan todo! tal como lo expresa @rfantuzzih..." cita a un tercero por su usuario de red social. Confirmar autorización de uso antes de reactivarlo.</w:t>
      </w:r>
    </w:p>
    <w:p>
      <w:r>
        <w:br w:type="page"/>
      </w:r>
    </w:p>
    <w:p>
      <w:pPr>
        <w:pStyle w:val="Heading1"/>
      </w:pPr>
      <w:r>
        <w:rPr>
          <w:color w:val="0F2438"/>
        </w:rPr>
        <w:t>Medición y tracking</w:t>
      </w:r>
    </w:p>
    <w:p>
      <w:pPr>
        <w:pStyle w:val="Heading2"/>
      </w:pPr>
      <w:r>
        <w:rPr>
          <w:color w:val="0F2438"/>
        </w:rPr>
        <w:t>Meta Pixel — 'Pixel DDCON Web'</w:t>
      </w:r>
    </w:p>
    <w:tbl>
      <w:tblPr>
        <w:tblStyle w:val="LightGrid-Accent1"/>
        <w:tblW w:type="auto" w:w="0"/>
        <w:jc w:val="center"/>
        <w:tblLook w:firstColumn="1" w:firstRow="1" w:lastColumn="0" w:lastRow="0" w:noHBand="0" w:noVBand="1" w:val="04A0"/>
      </w:tblPr>
      <w:tblGrid>
        <w:gridCol w:w="4320"/>
        <w:gridCol w:w="4320"/>
      </w:tblGrid>
      <w:tr>
        <w:tc>
          <w:tcPr>
            <w:tcW w:type="dxa" w:w="4320"/>
            <w:shd w:fill="0F2438"/>
          </w:tcPr>
          <w:p>
            <w:r>
              <w:rPr>
                <w:b/>
                <w:color w:val="FFFFFF"/>
                <w:sz w:val="19"/>
              </w:rPr>
              <w:t>Campo</w:t>
            </w:r>
          </w:p>
        </w:tc>
        <w:tc>
          <w:tcPr>
            <w:tcW w:type="dxa" w:w="4320"/>
            <w:shd w:fill="0F2438"/>
          </w:tcPr>
          <w:p>
            <w:r>
              <w:rPr>
                <w:b/>
                <w:color w:val="FFFFFF"/>
                <w:sz w:val="19"/>
              </w:rPr>
              <w:t>Valor</w:t>
            </w:r>
          </w:p>
        </w:tc>
      </w:tr>
      <w:tr>
        <w:tc>
          <w:tcPr>
            <w:tcW w:type="dxa" w:w="4320"/>
          </w:tcPr>
          <w:p>
            <w:r>
              <w:rPr>
                <w:sz w:val="19"/>
              </w:rPr>
              <w:t>ID</w:t>
            </w:r>
          </w:p>
        </w:tc>
        <w:tc>
          <w:tcPr>
            <w:tcW w:type="dxa" w:w="4320"/>
          </w:tcPr>
          <w:p>
            <w:r>
              <w:rPr>
                <w:sz w:val="19"/>
              </w:rPr>
              <w:t>524558258682248</w:t>
            </w:r>
          </w:p>
        </w:tc>
      </w:tr>
      <w:tr>
        <w:tc>
          <w:tcPr>
            <w:tcW w:type="dxa" w:w="4320"/>
          </w:tcPr>
          <w:p>
            <w:r>
              <w:rPr>
                <w:sz w:val="19"/>
              </w:rPr>
              <w:t>Estado</w:t>
            </w:r>
          </w:p>
        </w:tc>
        <w:tc>
          <w:tcPr>
            <w:tcW w:type="dxa" w:w="4320"/>
          </w:tcPr>
          <w:p>
            <w:r>
              <w:rPr>
                <w:sz w:val="19"/>
              </w:rPr>
              <w:t>Activo, disparando hoy</w:t>
            </w:r>
          </w:p>
        </w:tc>
      </w:tr>
      <w:tr>
        <w:tc>
          <w:tcPr>
            <w:tcW w:type="dxa" w:w="4320"/>
          </w:tcPr>
          <w:p>
            <w:r>
              <w:rPr>
                <w:sz w:val="19"/>
              </w:rPr>
              <w:t>Cookies 1st-party</w:t>
            </w:r>
          </w:p>
        </w:tc>
        <w:tc>
          <w:tcPr>
            <w:tcW w:type="dxa" w:w="4320"/>
          </w:tcPr>
          <w:p>
            <w:r>
              <w:rPr>
                <w:sz w:val="19"/>
              </w:rPr>
              <w:t>Habilitadas</w:t>
            </w:r>
          </w:p>
        </w:tc>
      </w:tr>
      <w:tr>
        <w:tc>
          <w:tcPr>
            <w:tcW w:type="dxa" w:w="4320"/>
          </w:tcPr>
          <w:p>
            <w:r>
              <w:rPr>
                <w:sz w:val="19"/>
              </w:rPr>
              <w:t>Eventos configurados</w:t>
            </w:r>
          </w:p>
        </w:tc>
        <w:tc>
          <w:tcPr>
            <w:tcW w:type="dxa" w:w="4320"/>
          </w:tcPr>
          <w:p>
            <w:r>
              <w:rPr>
                <w:sz w:val="19"/>
              </w:rPr>
              <w:t>Solo PageView</w:t>
            </w:r>
          </w:p>
        </w:tc>
      </w:tr>
      <w:tr>
        <w:tc>
          <w:tcPr>
            <w:tcW w:type="dxa" w:w="4320"/>
          </w:tcPr>
          <w:p>
            <w:r>
              <w:rPr>
                <w:sz w:val="19"/>
              </w:rPr>
              <w:t>Tráfico últimos 7 días</w:t>
            </w:r>
          </w:p>
        </w:tc>
        <w:tc>
          <w:tcPr>
            <w:tcW w:type="dxa" w:w="4320"/>
          </w:tcPr>
          <w:p>
            <w:r>
              <w:rPr>
                <w:sz w:val="19"/>
              </w:rPr>
              <w:t>~380 PageView totales</w:t>
            </w:r>
          </w:p>
        </w:tc>
      </w:tr>
    </w:tbl>
    <w:p>
      <w:pPr>
        <w:pStyle w:val="Heading2"/>
      </w:pPr>
      <w:r>
        <w:rPr>
          <w:color w:val="0F2438"/>
        </w:rPr>
        <w:t>Tags detectados en la landing</w:t>
      </w:r>
    </w:p>
    <w:tbl>
      <w:tblPr>
        <w:tblStyle w:val="LightGrid-Accent1"/>
        <w:tblW w:type="auto" w:w="0"/>
        <w:jc w:val="center"/>
        <w:tblLook w:firstColumn="1" w:firstRow="1" w:lastColumn="0" w:lastRow="0" w:noHBand="0" w:noVBand="1" w:val="04A0"/>
      </w:tblPr>
      <w:tblGrid>
        <w:gridCol w:w="4320"/>
        <w:gridCol w:w="4320"/>
      </w:tblGrid>
      <w:tr>
        <w:tc>
          <w:tcPr>
            <w:tcW w:type="dxa" w:w="4320"/>
            <w:shd w:fill="0F2438"/>
          </w:tcPr>
          <w:p>
            <w:r>
              <w:rPr>
                <w:b/>
                <w:color w:val="FFFFFF"/>
                <w:sz w:val="19"/>
              </w:rPr>
              <w:t>Tag</w:t>
            </w:r>
          </w:p>
        </w:tc>
        <w:tc>
          <w:tcPr>
            <w:tcW w:type="dxa" w:w="4320"/>
            <w:shd w:fill="0F2438"/>
          </w:tcPr>
          <w:p>
            <w:r>
              <w:rPr>
                <w:b/>
                <w:color w:val="FFFFFF"/>
                <w:sz w:val="19"/>
              </w:rPr>
              <w:t>Detalle</w:t>
            </w:r>
          </w:p>
        </w:tc>
      </w:tr>
      <w:tr>
        <w:tc>
          <w:tcPr>
            <w:tcW w:type="dxa" w:w="4320"/>
          </w:tcPr>
          <w:p>
            <w:r>
              <w:rPr>
                <w:sz w:val="19"/>
              </w:rPr>
              <w:t>GTM contenedor 1</w:t>
            </w:r>
          </w:p>
        </w:tc>
        <w:tc>
          <w:tcPr>
            <w:tcW w:type="dxa" w:w="4320"/>
          </w:tcPr>
          <w:p>
            <w:r>
              <w:rPr>
                <w:sz w:val="19"/>
              </w:rPr>
              <w:t>GTM-MQC692WV (cargado 2 veces)</w:t>
            </w:r>
          </w:p>
        </w:tc>
      </w:tr>
      <w:tr>
        <w:tc>
          <w:tcPr>
            <w:tcW w:type="dxa" w:w="4320"/>
          </w:tcPr>
          <w:p>
            <w:r>
              <w:rPr>
                <w:sz w:val="19"/>
              </w:rPr>
              <w:t>GTM contenedor 2</w:t>
            </w:r>
          </w:p>
        </w:tc>
        <w:tc>
          <w:tcPr>
            <w:tcW w:type="dxa" w:w="4320"/>
          </w:tcPr>
          <w:p>
            <w:r>
              <w:rPr>
                <w:sz w:val="19"/>
              </w:rPr>
              <w:t>GTM-N7BQZZW (cargado 2 veces)</w:t>
            </w:r>
          </w:p>
        </w:tc>
      </w:tr>
      <w:tr>
        <w:tc>
          <w:tcPr>
            <w:tcW w:type="dxa" w:w="4320"/>
          </w:tcPr>
          <w:p>
            <w:r>
              <w:rPr>
                <w:sz w:val="19"/>
              </w:rPr>
              <w:t>Google Ads</w:t>
            </w:r>
          </w:p>
        </w:tc>
        <w:tc>
          <w:tcPr>
            <w:tcW w:type="dxa" w:w="4320"/>
          </w:tcPr>
          <w:p>
            <w:r>
              <w:rPr>
                <w:sz w:val="19"/>
              </w:rPr>
              <w:t>AW-593050363</w:t>
            </w:r>
          </w:p>
        </w:tc>
      </w:tr>
      <w:tr>
        <w:tc>
          <w:tcPr>
            <w:tcW w:type="dxa" w:w="4320"/>
          </w:tcPr>
          <w:p>
            <w:r>
              <w:rPr>
                <w:sz w:val="19"/>
              </w:rPr>
              <w:t>HTTPS</w:t>
            </w:r>
          </w:p>
        </w:tc>
        <w:tc>
          <w:tcPr>
            <w:tcW w:type="dxa" w:w="4320"/>
          </w:tcPr>
          <w:p>
            <w:r>
              <w:rPr>
                <w:sz w:val="19"/>
              </w:rPr>
              <w:t>Sí</w:t>
            </w:r>
          </w:p>
        </w:tc>
      </w:tr>
      <w:tr>
        <w:tc>
          <w:tcPr>
            <w:tcW w:type="dxa" w:w="4320"/>
          </w:tcPr>
          <w:p>
            <w:r>
              <w:rPr>
                <w:sz w:val="19"/>
              </w:rPr>
              <w:t>www → apex</w:t>
            </w:r>
          </w:p>
        </w:tc>
        <w:tc>
          <w:tcPr>
            <w:tcW w:type="dxa" w:w="4320"/>
          </w:tcPr>
          <w:p>
            <w:r>
              <w:rPr>
                <w:sz w:val="19"/>
              </w:rPr>
              <w:t>Redirect 301</w:t>
            </w:r>
          </w:p>
        </w:tc>
      </w:tr>
    </w:tbl>
    <w:p>
      <w:r>
        <w:rPr>
          <w:b/>
          <w:i w:val="0"/>
          <w:color w:val="B3382C"/>
          <w:sz w:val="21"/>
        </w:rPr>
        <w:t>GTM duplicado — sigue sin resolverse:</w:t>
      </w:r>
    </w:p>
    <w:p>
      <w:r>
        <w:rPr>
          <w:b w:val="0"/>
          <w:i w:val="0"/>
          <w:sz w:val="21"/>
        </w:rPr>
        <w:t>Este mismo repositorio ya documentó 'Google Tag Manager duplicado' como bloqueante #1 en el alcance técnico de traspaso a la agencia. Sigue exactamente igual hoy.</w:t>
      </w:r>
    </w:p>
    <w:p>
      <w:r>
        <w:rPr>
          <w:b/>
          <w:i w:val="0"/>
          <w:color w:val="B3382C"/>
          <w:sz w:val="21"/>
        </w:rPr>
        <w:t>El Pixel no mide lo que importa:</w:t>
      </w:r>
    </w:p>
    <w:p>
      <w:r>
        <w:rPr>
          <w:b w:val="0"/>
          <w:i w:val="0"/>
          <w:sz w:val="21"/>
        </w:rPr>
        <w:t>No existe evento de Lead, Contact ni clic a WhatsApp. Nadie sabe cuántas conversaciones se convierten en cliente ni cuánto cuesta cada uno.</w:t>
      </w:r>
    </w:p>
    <w:p>
      <w:r>
        <w:br w:type="page"/>
      </w:r>
    </w:p>
    <w:p>
      <w:pPr>
        <w:pStyle w:val="Heading1"/>
      </w:pPr>
      <w:r>
        <w:rPr>
          <w:color w:val="0F2438"/>
        </w:rPr>
        <w:t>Audiencias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F2438"/>
          </w:tcPr>
          <w:p>
            <w:r>
              <w:rPr>
                <w:b/>
                <w:color w:val="FFFFFF"/>
                <w:sz w:val="19"/>
              </w:rPr>
              <w:t>Audiencia</w:t>
            </w:r>
          </w:p>
        </w:tc>
        <w:tc>
          <w:tcPr>
            <w:tcW w:type="dxa" w:w="2160"/>
            <w:shd w:fill="0F2438"/>
          </w:tcPr>
          <w:p>
            <w:r>
              <w:rPr>
                <w:b/>
                <w:color w:val="FFFFFF"/>
                <w:sz w:val="19"/>
              </w:rPr>
              <w:t>Tipo</w:t>
            </w:r>
          </w:p>
        </w:tc>
        <w:tc>
          <w:tcPr>
            <w:tcW w:type="dxa" w:w="2160"/>
            <w:shd w:fill="0F2438"/>
          </w:tcPr>
          <w:p>
            <w:r>
              <w:rPr>
                <w:b/>
                <w:color w:val="FFFFFF"/>
                <w:sz w:val="19"/>
              </w:rPr>
              <w:t>Estado</w:t>
            </w:r>
          </w:p>
        </w:tc>
        <w:tc>
          <w:tcPr>
            <w:tcW w:type="dxa" w:w="2160"/>
            <w:shd w:fill="0F2438"/>
          </w:tcPr>
          <w:p>
            <w:r>
              <w:rPr>
                <w:b/>
                <w:color w:val="FFFFFF"/>
                <w:sz w:val="19"/>
              </w:rPr>
              <w:t>Tamaño aprox.</w:t>
            </w:r>
          </w:p>
        </w:tc>
      </w:tr>
      <w:tr>
        <w:tc>
          <w:tcPr>
            <w:tcW w:type="dxa" w:w="2160"/>
          </w:tcPr>
          <w:p>
            <w:r>
              <w:rPr>
                <w:sz w:val="19"/>
              </w:rPr>
              <w:t>Personas con deudas CAE</w:t>
            </w:r>
          </w:p>
        </w:tc>
        <w:tc>
          <w:tcPr>
            <w:tcW w:type="dxa" w:w="2160"/>
          </w:tcPr>
          <w:p>
            <w:r>
              <w:rPr>
                <w:sz w:val="19"/>
              </w:rPr>
              <w:t>Personalizada</w:t>
            </w:r>
          </w:p>
        </w:tc>
        <w:tc>
          <w:tcPr>
            <w:tcW w:type="dxa" w:w="2160"/>
          </w:tcPr>
          <w:p>
            <w:r>
              <w:rPr>
                <w:sz w:val="19"/>
              </w:rPr>
              <w:t>Activa</w:t>
            </w:r>
          </w:p>
        </w:tc>
        <w:tc>
          <w:tcPr>
            <w:tcW w:type="dxa" w:w="2160"/>
          </w:tcPr>
          <w:p>
            <w:r>
              <w:rPr>
                <w:sz w:val="19"/>
              </w:rPr>
              <w:t>3.800 – 4.500</w:t>
            </w:r>
          </w:p>
        </w:tc>
      </w:tr>
      <w:tr>
        <w:tc>
          <w:tcPr>
            <w:tcW w:type="dxa" w:w="2160"/>
          </w:tcPr>
          <w:p>
            <w:r>
              <w:rPr>
                <w:sz w:val="19"/>
              </w:rPr>
              <w:t>Visitantes Web DDCON</w:t>
            </w:r>
          </w:p>
        </w:tc>
        <w:tc>
          <w:tcPr>
            <w:tcW w:type="dxa" w:w="2160"/>
          </w:tcPr>
          <w:p>
            <w:r>
              <w:rPr>
                <w:sz w:val="19"/>
              </w:rPr>
              <w:t>Personalizada (sitio)</w:t>
            </w:r>
          </w:p>
        </w:tc>
        <w:tc>
          <w:tcPr>
            <w:tcW w:type="dxa" w:w="2160"/>
          </w:tcPr>
          <w:p>
            <w:r>
              <w:rPr>
                <w:sz w:val="19"/>
              </w:rPr>
              <w:t>Activa</w:t>
            </w:r>
          </w:p>
        </w:tc>
        <w:tc>
          <w:tcPr>
            <w:tcW w:type="dxa" w:w="2160"/>
          </w:tcPr>
          <w:p>
            <w:r>
              <w:rPr>
                <w:sz w:val="19"/>
              </w:rPr>
              <w:t>~20</w:t>
            </w:r>
          </w:p>
        </w:tc>
      </w:tr>
      <w:tr>
        <w:tc>
          <w:tcPr>
            <w:tcW w:type="dxa" w:w="2160"/>
          </w:tcPr>
          <w:p>
            <w:r>
              <w:rPr>
                <w:sz w:val="19"/>
              </w:rPr>
              <w:t>Público similar (1%) — Visitantes Web</w:t>
            </w:r>
          </w:p>
        </w:tc>
        <w:tc>
          <w:tcPr>
            <w:tcW w:type="dxa" w:w="2160"/>
          </w:tcPr>
          <w:p>
            <w:r>
              <w:rPr>
                <w:sz w:val="19"/>
              </w:rPr>
              <w:t>Lookalike</w:t>
            </w:r>
          </w:p>
        </w:tc>
        <w:tc>
          <w:tcPr>
            <w:tcW w:type="dxa" w:w="2160"/>
          </w:tcPr>
          <w:p>
            <w:r>
              <w:rPr>
                <w:sz w:val="19"/>
              </w:rPr>
              <w:t>Inactiva</w:t>
            </w:r>
          </w:p>
        </w:tc>
        <w:tc>
          <w:tcPr>
            <w:tcW w:type="dxa" w:w="2160"/>
          </w:tcPr>
          <w:p>
            <w:r>
              <w:rPr>
                <w:sz w:val="19"/>
              </w:rPr>
              <w:t>—</w:t>
            </w:r>
          </w:p>
        </w:tc>
      </w:tr>
      <w:tr>
        <w:tc>
          <w:tcPr>
            <w:tcW w:type="dxa" w:w="2160"/>
          </w:tcPr>
          <w:p>
            <w:r>
              <w:rPr>
                <w:sz w:val="19"/>
              </w:rPr>
              <w:t>Público similar (1%) — Personas con deudas CAE</w:t>
            </w:r>
          </w:p>
        </w:tc>
        <w:tc>
          <w:tcPr>
            <w:tcW w:type="dxa" w:w="2160"/>
          </w:tcPr>
          <w:p>
            <w:r>
              <w:rPr>
                <w:sz w:val="19"/>
              </w:rPr>
              <w:t>Lookalike</w:t>
            </w:r>
          </w:p>
        </w:tc>
        <w:tc>
          <w:tcPr>
            <w:tcW w:type="dxa" w:w="2160"/>
          </w:tcPr>
          <w:p>
            <w:r>
              <w:rPr>
                <w:sz w:val="19"/>
              </w:rPr>
              <w:t>Inactiva</w:t>
            </w:r>
          </w:p>
        </w:tc>
        <w:tc>
          <w:tcPr>
            <w:tcW w:type="dxa" w:w="2160"/>
          </w:tcPr>
          <w:p>
            <w:r>
              <w:rPr>
                <w:sz w:val="19"/>
              </w:rPr>
              <w:t>—</w:t>
            </w:r>
          </w:p>
        </w:tc>
      </w:tr>
      <w:tr>
        <w:tc>
          <w:tcPr>
            <w:tcW w:type="dxa" w:w="2160"/>
          </w:tcPr>
          <w:p>
            <w:r>
              <w:rPr>
                <w:sz w:val="19"/>
              </w:rPr>
              <w:t>Público similar (1%) — Seguidores Facebook</w:t>
            </w:r>
          </w:p>
        </w:tc>
        <w:tc>
          <w:tcPr>
            <w:tcW w:type="dxa" w:w="2160"/>
          </w:tcPr>
          <w:p>
            <w:r>
              <w:rPr>
                <w:sz w:val="19"/>
              </w:rPr>
              <w:t>Lookalike</w:t>
            </w:r>
          </w:p>
        </w:tc>
        <w:tc>
          <w:tcPr>
            <w:tcW w:type="dxa" w:w="2160"/>
          </w:tcPr>
          <w:p>
            <w:r>
              <w:rPr>
                <w:sz w:val="19"/>
              </w:rPr>
              <w:t>Inactiva</w:t>
            </w:r>
          </w:p>
        </w:tc>
        <w:tc>
          <w:tcPr>
            <w:tcW w:type="dxa" w:w="2160"/>
          </w:tcPr>
          <w:p>
            <w:r>
              <w:rPr>
                <w:sz w:val="19"/>
              </w:rPr>
              <w:t>—</w:t>
            </w:r>
          </w:p>
        </w:tc>
      </w:tr>
      <w:tr>
        <w:tc>
          <w:tcPr>
            <w:tcW w:type="dxa" w:w="2160"/>
          </w:tcPr>
          <w:p>
            <w:r>
              <w:rPr>
                <w:sz w:val="19"/>
              </w:rPr>
              <w:t>Seguidores Facebook</w:t>
            </w:r>
          </w:p>
        </w:tc>
        <w:tc>
          <w:tcPr>
            <w:tcW w:type="dxa" w:w="2160"/>
          </w:tcPr>
          <w:p>
            <w:r>
              <w:rPr>
                <w:sz w:val="19"/>
              </w:rPr>
              <w:t>Plataforma</w:t>
            </w:r>
          </w:p>
        </w:tc>
        <w:tc>
          <w:tcPr>
            <w:tcW w:type="dxa" w:w="2160"/>
          </w:tcPr>
          <w:p>
            <w:r>
              <w:rPr>
                <w:sz w:val="19"/>
              </w:rPr>
              <w:t>Inactiva</w:t>
            </w:r>
          </w:p>
        </w:tc>
        <w:tc>
          <w:tcPr>
            <w:tcW w:type="dxa" w:w="2160"/>
          </w:tcPr>
          <w:p>
            <w:r>
              <w:rPr>
                <w:sz w:val="19"/>
              </w:rPr>
              <w:t>—</w:t>
            </w:r>
          </w:p>
        </w:tc>
      </w:tr>
    </w:tbl>
    <w:p>
      <w:r>
        <w:br w:type="page"/>
      </w:r>
    </w:p>
    <w:p>
      <w:pPr>
        <w:pStyle w:val="Heading1"/>
      </w:pPr>
      <w:r>
        <w:rPr>
          <w:color w:val="0F2438"/>
        </w:rPr>
        <w:t>Auditoría de la landing (defensordelcontribuyente.cl)</w:t>
      </w:r>
    </w:p>
    <w:p>
      <w:pPr>
        <w:pStyle w:val="Heading2"/>
      </w:pPr>
      <w:r>
        <w:rPr>
          <w:color w:val="0F2438"/>
        </w:rPr>
        <w:t>Above the fold</w:t>
      </w:r>
    </w:p>
    <w:p>
      <w:r>
        <w:rPr>
          <w:b w:val="0"/>
          <w:i w:val="0"/>
          <w:sz w:val="21"/>
        </w:rPr>
        <w:t>Headline: "Abogado tributario" · Subhead: "Defensor del Contribuyente para Pymes y Emprendedores"</w:t>
      </w:r>
    </w:p>
    <w:p>
      <w:r>
        <w:rPr>
          <w:b w:val="0"/>
          <w:i w:val="0"/>
          <w:sz w:val="21"/>
        </w:rPr>
        <w:t>Genérico frente a los ángulos de mayor conversión (embargo, CAE, prescripción). No hay mención a 'CAE' en la home.</w:t>
      </w:r>
    </w:p>
    <w:p>
      <w:pPr>
        <w:pStyle w:val="Heading2"/>
      </w:pPr>
      <w:r>
        <w:rPr>
          <w:color w:val="0F2438"/>
        </w:rPr>
        <w:t>CTAs encontrados (7 variantes distintas)</w:t>
      </w:r>
    </w:p>
    <w:p>
      <w:r>
        <w:rPr>
          <w:b w:val="0"/>
          <w:i w:val="0"/>
          <w:sz w:val="21"/>
        </w:rPr>
        <w:t>"Necesito ayuda para crecer" · "Contáctanos" · "Conversemos" · "Más info" (x6) · "Agendar Diagnóstico" · "Escríbenos por WhatsApp"</w:t>
      </w:r>
    </w:p>
    <w:p>
      <w:pPr>
        <w:pStyle w:val="Heading2"/>
      </w:pPr>
      <w:r>
        <w:rPr>
          <w:color w:val="0F2438"/>
        </w:rPr>
        <w:t>Formularios</w:t>
      </w:r>
    </w:p>
    <w:p>
      <w:r>
        <w:rPr>
          <w:b w:val="0"/>
          <w:i w:val="0"/>
          <w:sz w:val="21"/>
        </w:rPr>
        <w:t>3 variantes distintas conviven en la página. Pedir RUT en tráfico frío agrega fricción innecesaria.</w:t>
      </w:r>
    </w:p>
    <w:p>
      <w:pPr>
        <w:pStyle w:val="Heading2"/>
      </w:pPr>
      <w:r>
        <w:rPr>
          <w:color w:val="0F2438"/>
        </w:rPr>
        <w:t>Prueba social</w:t>
      </w:r>
    </w:p>
    <w:p>
      <w:r>
        <w:rPr>
          <w:b w:val="0"/>
          <w:i w:val="0"/>
          <w:sz w:val="21"/>
        </w:rPr>
        <w:t>Testimonios con nombre (Marilú López, Gian Pallini, Jaime Quiroga, Mario Fatigante, Rubén V.) pero sin cifra de resultado visible.</w:t>
      </w:r>
    </w:p>
    <w:p>
      <w:r>
        <w:br w:type="page"/>
      </w:r>
    </w:p>
    <w:p>
      <w:pPr>
        <w:pStyle w:val="Heading1"/>
      </w:pPr>
      <w:r>
        <w:rPr>
          <w:color w:val="0F2438"/>
        </w:rPr>
        <w:t>Benchmarks del sector (Legal / Professional Services)</w:t>
      </w:r>
    </w:p>
    <w:p>
      <w:r>
        <w:rPr>
          <w:b w:val="0"/>
          <w:i/>
          <w:color w:val="6B6459"/>
          <w:sz w:val="18"/>
        </w:rPr>
        <w:t>Conversión referencial a CLP con tipo de cambio aproximado de $950 CLP/USD (agosto 2026). Fuentes públicas 2026: theedigital.com, digitalapplied.com, rule1.ai, get-ryze.ai.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F2438"/>
          </w:tcPr>
          <w:p>
            <w:r>
              <w:rPr>
                <w:b/>
                <w:color w:val="FFFFFF"/>
                <w:sz w:val="19"/>
              </w:rPr>
              <w:t>Métrica</w:t>
            </w:r>
          </w:p>
        </w:tc>
        <w:tc>
          <w:tcPr>
            <w:tcW w:type="dxa" w:w="2160"/>
            <w:shd w:fill="0F2438"/>
          </w:tcPr>
          <w:p>
            <w:r>
              <w:rPr>
                <w:b/>
                <w:color w:val="FFFFFF"/>
                <w:sz w:val="19"/>
              </w:rPr>
              <w:t>Benchmark sector 2026</w:t>
            </w:r>
          </w:p>
        </w:tc>
        <w:tc>
          <w:tcPr>
            <w:tcW w:type="dxa" w:w="2160"/>
            <w:shd w:fill="0F2438"/>
          </w:tcPr>
          <w:p>
            <w:r>
              <w:rPr>
                <w:b/>
                <w:color w:val="FFFFFF"/>
                <w:sz w:val="19"/>
              </w:rPr>
              <w:t>Cuenta — campaña activa</w:t>
            </w:r>
          </w:p>
        </w:tc>
        <w:tc>
          <w:tcPr>
            <w:tcW w:type="dxa" w:w="2160"/>
            <w:shd w:fill="0F2438"/>
          </w:tcPr>
          <w:p>
            <w:r>
              <w:rPr>
                <w:b/>
                <w:color w:val="FFFFFF"/>
                <w:sz w:val="19"/>
              </w:rPr>
              <w:t>Cuenta — mejores CAE (pausadas)</w:t>
            </w:r>
          </w:p>
        </w:tc>
      </w:tr>
      <w:tr>
        <w:tc>
          <w:tcPr>
            <w:tcW w:type="dxa" w:w="2160"/>
          </w:tcPr>
          <w:p>
            <w:r>
              <w:rPr>
                <w:sz w:val="19"/>
              </w:rPr>
              <w:t>CTR</w:t>
            </w:r>
          </w:p>
        </w:tc>
        <w:tc>
          <w:tcPr>
            <w:tcW w:type="dxa" w:w="2160"/>
          </w:tcPr>
          <w:p>
            <w:r>
              <w:rPr>
                <w:sz w:val="19"/>
              </w:rPr>
              <w:t>1,85% (media general 2,19%)</w:t>
            </w:r>
          </w:p>
        </w:tc>
        <w:tc>
          <w:tcPr>
            <w:tcW w:type="dxa" w:w="2160"/>
          </w:tcPr>
          <w:p>
            <w:r>
              <w:rPr>
                <w:sz w:val="19"/>
              </w:rPr>
              <w:t>1,48%</w:t>
            </w:r>
          </w:p>
        </w:tc>
        <w:tc>
          <w:tcPr>
            <w:tcW w:type="dxa" w:w="2160"/>
          </w:tcPr>
          <w:p>
            <w:r>
              <w:rPr>
                <w:sz w:val="19"/>
              </w:rPr>
              <w:t>1,95% – 3,21%</w:t>
            </w:r>
          </w:p>
        </w:tc>
      </w:tr>
      <w:tr>
        <w:tc>
          <w:tcPr>
            <w:tcW w:type="dxa" w:w="2160"/>
          </w:tcPr>
          <w:p>
            <w:r>
              <w:rPr>
                <w:sz w:val="19"/>
              </w:rPr>
              <w:t>CPC</w:t>
            </w:r>
          </w:p>
        </w:tc>
        <w:tc>
          <w:tcPr>
            <w:tcW w:type="dxa" w:w="2160"/>
          </w:tcPr>
          <w:p>
            <w:r>
              <w:rPr>
                <w:sz w:val="19"/>
              </w:rPr>
              <w:t>≈ $3.895 CLP (legal) / $1.824 CLP (lead-gen)</w:t>
            </w:r>
          </w:p>
        </w:tc>
        <w:tc>
          <w:tcPr>
            <w:tcW w:type="dxa" w:w="2160"/>
          </w:tcPr>
          <w:p>
            <w:r>
              <w:rPr>
                <w:sz w:val="19"/>
              </w:rPr>
              <w:t>$283</w:t>
            </w:r>
          </w:p>
        </w:tc>
        <w:tc>
          <w:tcPr>
            <w:tcW w:type="dxa" w:w="2160"/>
          </w:tcPr>
          <w:p>
            <w:r>
              <w:rPr>
                <w:sz w:val="19"/>
              </w:rPr>
              <w:t>$117 – $134</w:t>
            </w:r>
          </w:p>
        </w:tc>
      </w:tr>
      <w:tr>
        <w:tc>
          <w:tcPr>
            <w:tcW w:type="dxa" w:w="2160"/>
          </w:tcPr>
          <w:p>
            <w:r>
              <w:rPr>
                <w:sz w:val="19"/>
              </w:rPr>
              <w:t>CPM</w:t>
            </w:r>
          </w:p>
        </w:tc>
        <w:tc>
          <w:tcPr>
            <w:tcW w:type="dxa" w:w="2160"/>
          </w:tcPr>
          <w:p>
            <w:r>
              <w:rPr>
                <w:sz w:val="19"/>
              </w:rPr>
              <w:t>≈ $12.825 – $13.490 CLP</w:t>
            </w:r>
          </w:p>
        </w:tc>
        <w:tc>
          <w:tcPr>
            <w:tcW w:type="dxa" w:w="2160"/>
          </w:tcPr>
          <w:p>
            <w:r>
              <w:rPr>
                <w:sz w:val="19"/>
              </w:rPr>
              <w:t>$4.196</w:t>
            </w:r>
          </w:p>
        </w:tc>
        <w:tc>
          <w:tcPr>
            <w:tcW w:type="dxa" w:w="2160"/>
          </w:tcPr>
          <w:p>
            <w:r>
              <w:rPr>
                <w:sz w:val="19"/>
              </w:rPr>
              <w:t>$2.519 – $5.288</w:t>
            </w:r>
          </w:p>
        </w:tc>
      </w:tr>
      <w:tr>
        <w:tc>
          <w:tcPr>
            <w:tcW w:type="dxa" w:w="2160"/>
          </w:tcPr>
          <w:p>
            <w:r>
              <w:rPr>
                <w:sz w:val="19"/>
              </w:rPr>
              <w:t>Costo por lead / CPA</w:t>
            </w:r>
          </w:p>
        </w:tc>
        <w:tc>
          <w:tcPr>
            <w:tcW w:type="dxa" w:w="2160"/>
          </w:tcPr>
          <w:p>
            <w:r>
              <w:rPr>
                <w:sz w:val="19"/>
              </w:rPr>
              <w:t>≈ $178.220 CLP (lead calificado)</w:t>
            </w:r>
          </w:p>
        </w:tc>
        <w:tc>
          <w:tcPr>
            <w:tcW w:type="dxa" w:w="2160"/>
          </w:tcPr>
          <w:p>
            <w:r>
              <w:rPr>
                <w:sz w:val="19"/>
              </w:rPr>
              <w:t>No comparable (solo mide conversación)</w:t>
            </w:r>
          </w:p>
        </w:tc>
        <w:tc>
          <w:tcPr>
            <w:tcW w:type="dxa" w:w="2160"/>
          </w:tcPr>
          <w:p>
            <w:r>
              <w:rPr>
                <w:sz w:val="19"/>
              </w:rPr>
              <w:t>No comparable</w:t>
            </w:r>
          </w:p>
        </w:tc>
      </w:tr>
    </w:tbl>
    <w:p>
      <w:r>
        <w:br w:type="page"/>
      </w:r>
    </w:p>
    <w:p>
      <w:pPr>
        <w:pStyle w:val="Heading1"/>
      </w:pPr>
      <w:r>
        <w:rPr>
          <w:color w:val="0F2438"/>
        </w:rPr>
        <w:t>Checklist de implementación (priorizado por impacto)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F2438"/>
          </w:tcPr>
          <w:p>
            <w:r>
              <w:rPr>
                <w:b/>
                <w:color w:val="FFFFFF"/>
                <w:sz w:val="19"/>
              </w:rPr>
              <w:t>Impacto</w:t>
            </w:r>
          </w:p>
        </w:tc>
        <w:tc>
          <w:tcPr>
            <w:tcW w:type="dxa" w:w="2880"/>
            <w:shd w:fill="0F2438"/>
          </w:tcPr>
          <w:p>
            <w:r>
              <w:rPr>
                <w:b/>
                <w:color w:val="FFFFFF"/>
                <w:sz w:val="19"/>
              </w:rPr>
              <w:t>Acción</w:t>
            </w:r>
          </w:p>
        </w:tc>
        <w:tc>
          <w:tcPr>
            <w:tcW w:type="dxa" w:w="2880"/>
            <w:shd w:fill="0F2438"/>
          </w:tcPr>
          <w:p>
            <w:r>
              <w:rPr>
                <w:b/>
                <w:color w:val="FFFFFF"/>
                <w:sz w:val="19"/>
              </w:rPr>
              <w:t>Tiempo estimado</w:t>
            </w:r>
          </w:p>
        </w:tc>
      </w:tr>
      <w:tr>
        <w:tc>
          <w:tcPr>
            <w:tcW w:type="dxa" w:w="2880"/>
          </w:tcPr>
          <w:p>
            <w:r>
              <w:rPr>
                <w:sz w:val="19"/>
              </w:rPr>
              <w:t>ALTO</w:t>
            </w:r>
          </w:p>
        </w:tc>
        <w:tc>
          <w:tcPr>
            <w:tcW w:type="dxa" w:w="2880"/>
          </w:tcPr>
          <w:p>
            <w:r>
              <w:rPr>
                <w:sz w:val="19"/>
              </w:rPr>
              <w:t>Reactivar las 3 campañas CAE pausadas y evaluar pausar/reducir 'Diagnósticos Gratuitos' mientras se refresca su creativo.</w:t>
            </w:r>
          </w:p>
        </w:tc>
        <w:tc>
          <w:tcPr>
            <w:tcW w:type="dxa" w:w="2880"/>
          </w:tcPr>
          <w:p>
            <w:r>
              <w:rPr>
                <w:sz w:val="19"/>
              </w:rPr>
              <w:t>15 min</w:t>
            </w:r>
          </w:p>
        </w:tc>
      </w:tr>
      <w:tr>
        <w:tc>
          <w:tcPr>
            <w:tcW w:type="dxa" w:w="2880"/>
          </w:tcPr>
          <w:p>
            <w:r>
              <w:rPr>
                <w:sz w:val="19"/>
              </w:rPr>
              <w:t>ALTO</w:t>
            </w:r>
          </w:p>
        </w:tc>
        <w:tc>
          <w:tcPr>
            <w:tcW w:type="dxa" w:w="2880"/>
          </w:tcPr>
          <w:p>
            <w:r>
              <w:rPr>
                <w:sz w:val="19"/>
              </w:rPr>
              <w:t>Configurar el evento Lead/Contact en el Pixel (vía GTM o Conversions API).</w:t>
            </w:r>
          </w:p>
        </w:tc>
        <w:tc>
          <w:tcPr>
            <w:tcW w:type="dxa" w:w="2880"/>
          </w:tcPr>
          <w:p>
            <w:r>
              <w:rPr>
                <w:sz w:val="19"/>
              </w:rPr>
              <w:t>2-4 horas</w:t>
            </w:r>
          </w:p>
        </w:tc>
      </w:tr>
      <w:tr>
        <w:tc>
          <w:tcPr>
            <w:tcW w:type="dxa" w:w="2880"/>
          </w:tcPr>
          <w:p>
            <w:r>
              <w:rPr>
                <w:sz w:val="19"/>
              </w:rPr>
              <w:t>ALTO</w:t>
            </w:r>
          </w:p>
        </w:tc>
        <w:tc>
          <w:tcPr>
            <w:tcW w:type="dxa" w:w="2880"/>
          </w:tcPr>
          <w:p>
            <w:r>
              <w:rPr>
                <w:sz w:val="19"/>
              </w:rPr>
              <w:t>Refrescar o pausar 'Video 22' y activar 2-3 creativos nuevos del banco de 70 disponibles.</w:t>
            </w:r>
          </w:p>
        </w:tc>
        <w:tc>
          <w:tcPr>
            <w:tcW w:type="dxa" w:w="2880"/>
          </w:tcPr>
          <w:p>
            <w:r>
              <w:rPr>
                <w:sz w:val="19"/>
              </w:rPr>
              <w:t>30 min</w:t>
            </w:r>
          </w:p>
        </w:tc>
      </w:tr>
      <w:tr>
        <w:tc>
          <w:tcPr>
            <w:tcW w:type="dxa" w:w="2880"/>
          </w:tcPr>
          <w:p>
            <w:r>
              <w:rPr>
                <w:sz w:val="19"/>
              </w:rPr>
              <w:t>MEDIO</w:t>
            </w:r>
          </w:p>
        </w:tc>
        <w:tc>
          <w:tcPr>
            <w:tcW w:type="dxa" w:w="2880"/>
          </w:tcPr>
          <w:p>
            <w:r>
              <w:rPr>
                <w:sz w:val="19"/>
              </w:rPr>
              <w:t>Resolver el GTM duplicado (2 contenedores, cada uno cargado 2 veces).</w:t>
            </w:r>
          </w:p>
        </w:tc>
        <w:tc>
          <w:tcPr>
            <w:tcW w:type="dxa" w:w="2880"/>
          </w:tcPr>
          <w:p>
            <w:r>
              <w:rPr>
                <w:sz w:val="19"/>
              </w:rPr>
              <w:t>1-2 horas</w:t>
            </w:r>
          </w:p>
        </w:tc>
      </w:tr>
      <w:tr>
        <w:tc>
          <w:tcPr>
            <w:tcW w:type="dxa" w:w="2880"/>
          </w:tcPr>
          <w:p>
            <w:r>
              <w:rPr>
                <w:sz w:val="19"/>
              </w:rPr>
              <w:t>MEDIO</w:t>
            </w:r>
          </w:p>
        </w:tc>
        <w:tc>
          <w:tcPr>
            <w:tcW w:type="dxa" w:w="2880"/>
          </w:tcPr>
          <w:p>
            <w:r>
              <w:rPr>
                <w:sz w:val="19"/>
              </w:rPr>
              <w:t>Agregar variantes de imagen junto al video (recomendación directa de Meta, +4 pts).</w:t>
            </w:r>
          </w:p>
        </w:tc>
        <w:tc>
          <w:tcPr>
            <w:tcW w:type="dxa" w:w="2880"/>
          </w:tcPr>
          <w:p>
            <w:r>
              <w:rPr>
                <w:sz w:val="19"/>
              </w:rPr>
              <w:t>20 min</w:t>
            </w:r>
          </w:p>
        </w:tc>
      </w:tr>
      <w:tr>
        <w:tc>
          <w:tcPr>
            <w:tcW w:type="dxa" w:w="2880"/>
          </w:tcPr>
          <w:p>
            <w:r>
              <w:rPr>
                <w:sz w:val="19"/>
              </w:rPr>
              <w:t>MEDIO</w:t>
            </w:r>
          </w:p>
        </w:tc>
        <w:tc>
          <w:tcPr>
            <w:tcW w:type="dxa" w:w="2880"/>
          </w:tcPr>
          <w:p>
            <w:r>
              <w:rPr>
                <w:sz w:val="19"/>
              </w:rPr>
              <w:t>Unificar CTAs de la landing a uno solo y simplificar el formulario.</w:t>
            </w:r>
          </w:p>
        </w:tc>
        <w:tc>
          <w:tcPr>
            <w:tcW w:type="dxa" w:w="2880"/>
          </w:tcPr>
          <w:p>
            <w:r>
              <w:rPr>
                <w:sz w:val="19"/>
              </w:rPr>
              <w:t>1-2 horas</w:t>
            </w:r>
          </w:p>
        </w:tc>
      </w:tr>
      <w:tr>
        <w:tc>
          <w:tcPr>
            <w:tcW w:type="dxa" w:w="2880"/>
          </w:tcPr>
          <w:p>
            <w:r>
              <w:rPr>
                <w:sz w:val="19"/>
              </w:rPr>
              <w:t>MEDIO</w:t>
            </w:r>
          </w:p>
        </w:tc>
        <w:tc>
          <w:tcPr>
            <w:tcW w:type="dxa" w:w="2880"/>
          </w:tcPr>
          <w:p>
            <w:r>
              <w:rPr>
                <w:sz w:val="19"/>
              </w:rPr>
              <w:t>Reactivar las 3 audiencias lookalike en un conjunto de prueba.</w:t>
            </w:r>
          </w:p>
        </w:tc>
        <w:tc>
          <w:tcPr>
            <w:tcW w:type="dxa" w:w="2880"/>
          </w:tcPr>
          <w:p>
            <w:r>
              <w:rPr>
                <w:sz w:val="19"/>
              </w:rPr>
              <w:t>15 min</w:t>
            </w:r>
          </w:p>
        </w:tc>
      </w:tr>
      <w:tr>
        <w:tc>
          <w:tcPr>
            <w:tcW w:type="dxa" w:w="2880"/>
          </w:tcPr>
          <w:p>
            <w:r>
              <w:rPr>
                <w:sz w:val="19"/>
              </w:rPr>
              <w:t>BAJO</w:t>
            </w:r>
          </w:p>
        </w:tc>
        <w:tc>
          <w:tcPr>
            <w:tcW w:type="dxa" w:w="2880"/>
          </w:tcPr>
          <w:p>
            <w:r>
              <w:rPr>
                <w:sz w:val="19"/>
              </w:rPr>
              <w:t>Corregir nomenclatura de campañas (fechas inconsistentes).</w:t>
            </w:r>
          </w:p>
        </w:tc>
        <w:tc>
          <w:tcPr>
            <w:tcW w:type="dxa" w:w="2880"/>
          </w:tcPr>
          <w:p>
            <w:r>
              <w:rPr>
                <w:sz w:val="19"/>
              </w:rPr>
              <w:t>10 min</w:t>
            </w:r>
          </w:p>
        </w:tc>
      </w:tr>
      <w:tr>
        <w:tc>
          <w:tcPr>
            <w:tcW w:type="dxa" w:w="2880"/>
          </w:tcPr>
          <w:p>
            <w:r>
              <w:rPr>
                <w:sz w:val="19"/>
              </w:rPr>
              <w:t>BAJO</w:t>
            </w:r>
          </w:p>
        </w:tc>
        <w:tc>
          <w:tcPr>
            <w:tcW w:type="dxa" w:w="2880"/>
          </w:tcPr>
          <w:p>
            <w:r>
              <w:rPr>
                <w:sz w:val="19"/>
              </w:rPr>
              <w:t>Revisar el creativo que cita a @rfantuzzih antes de reactivarlo.</w:t>
            </w:r>
          </w:p>
        </w:tc>
        <w:tc>
          <w:tcPr>
            <w:tcW w:type="dxa" w:w="2880"/>
          </w:tcPr>
          <w:p>
            <w:r>
              <w:rPr>
                <w:sz w:val="19"/>
              </w:rPr>
              <w:t>10 min</w:t>
            </w:r>
          </w:p>
        </w:tc>
      </w:tr>
    </w:tbl>
    <w:p>
      <w:r>
        <w:br w:type="page"/>
      </w:r>
    </w:p>
    <w:p>
      <w:pPr>
        <w:pStyle w:val="Heading1"/>
      </w:pPr>
      <w:r>
        <w:rPr>
          <w:color w:val="0F2438"/>
        </w:rPr>
        <w:t>Pack de anuncios nuevos listos para lanzar</w:t>
      </w:r>
    </w:p>
    <w:p>
      <w:pPr>
        <w:pStyle w:val="Heading2"/>
      </w:pPr>
      <w:r>
        <w:rPr>
          <w:color w:val="0F2438"/>
        </w:rPr>
        <w:t>1 — Ángulo resultado</w:t>
      </w:r>
    </w:p>
    <w:p>
      <w:r>
        <w:rPr>
          <w:b/>
          <w:i w:val="0"/>
          <w:sz w:val="21"/>
        </w:rPr>
        <w:t>Hook: "Su deuda con Tesorería bajó de $8.400.000 a $0 en 4 meses. Así lo hizo."</w:t>
      </w:r>
    </w:p>
    <w:p>
      <w:r>
        <w:rPr>
          <w:b w:val="0"/>
          <w:i w:val="0"/>
          <w:sz w:val="21"/>
        </w:rPr>
        <w:t>Copy: Nuestro cliente pensaba que su negocio estaba condenado por una deuda fiscal heredada de una sociedad anterior. Revisamos su caso, encontramos un vicio en la cobranza y hoy su PyME sigue operando sin esa carga encima. Si Tesorería te está cobrando algo que no debería, agenda un diagnóstico gratuito y lo revisamos contigo.</w:t>
      </w:r>
    </w:p>
    <w:p>
      <w:r>
        <w:rPr>
          <w:b w:val="0"/>
          <w:i w:val="0"/>
          <w:sz w:val="21"/>
        </w:rPr>
        <w:t>Headline: Diagnóstico gratuito de tu deuda fiscal</w:t>
      </w:r>
    </w:p>
    <w:p>
      <w:r>
        <w:rPr>
          <w:b w:val="0"/>
          <w:i w:val="0"/>
          <w:sz w:val="21"/>
        </w:rPr>
        <w:t>Descripción: Defensa tributaria para Pymes y emprendedores</w:t>
      </w:r>
    </w:p>
    <w:p>
      <w:r>
        <w:rPr>
          <w:b w:val="0"/>
          <w:i w:val="0"/>
          <w:sz w:val="21"/>
        </w:rPr>
        <w:t>CTA: Enviar mensaje</w:t>
      </w:r>
    </w:p>
    <w:p>
      <w:r>
        <w:rPr>
          <w:b w:val="0"/>
          <w:i w:val="0"/>
          <w:sz w:val="21"/>
        </w:rPr>
        <w:t>Formato sugerido: Video testimonial (banco existente: Silvana o Ramón López)</w:t>
      </w:r>
    </w:p>
    <w:p>
      <w:r>
        <w:rPr>
          <w:b w:val="0"/>
          <w:i w:val="0"/>
          <w:sz w:val="21"/>
        </w:rPr>
        <w:t>Briefing creativo: Abrir con la cifra en pantalla (antes/después), cortar al testimonio real a los 3 segundos.</w:t>
      </w:r>
    </w:p>
    <w:p/>
    <w:p>
      <w:pPr>
        <w:pStyle w:val="Heading2"/>
      </w:pPr>
      <w:r>
        <w:rPr>
          <w:color w:val="0F2438"/>
        </w:rPr>
        <w:t>2 — Ángulo problema</w:t>
      </w:r>
    </w:p>
    <w:p>
      <w:r>
        <w:rPr>
          <w:b/>
          <w:i w:val="0"/>
          <w:sz w:val="21"/>
        </w:rPr>
        <w:t>Hook: "¿Sacaste la CAE hace más de 5 años y todavía te persiguen para pagarla?"</w:t>
      </w:r>
    </w:p>
    <w:p>
      <w:r>
        <w:rPr>
          <w:b w:val="0"/>
          <w:i w:val="0"/>
          <w:sz w:val="21"/>
        </w:rPr>
        <w:t>Copy: Miles de personas siguen pagando (o esquivando) una deuda CAE que legalmente pudo haber prescrito. No es magia, es prescripción tributaria — y es un derecho, no un favor. Escríbenos y revisamos tu caso sin costo.</w:t>
      </w:r>
    </w:p>
    <w:p>
      <w:r>
        <w:rPr>
          <w:b w:val="0"/>
          <w:i w:val="0"/>
          <w:sz w:val="21"/>
        </w:rPr>
        <w:t>Headline: ¿Tu CAE ya prescribió?</w:t>
      </w:r>
    </w:p>
    <w:p>
      <w:r>
        <w:rPr>
          <w:b w:val="0"/>
          <w:i w:val="0"/>
          <w:sz w:val="21"/>
        </w:rPr>
        <w:t>Descripción: Diagnóstico gratuito en minutos</w:t>
      </w:r>
    </w:p>
    <w:p>
      <w:r>
        <w:rPr>
          <w:b w:val="0"/>
          <w:i w:val="0"/>
          <w:sz w:val="21"/>
        </w:rPr>
        <w:t>CTA: Enviar mensaje</w:t>
      </w:r>
    </w:p>
    <w:p>
      <w:r>
        <w:rPr>
          <w:b w:val="0"/>
          <w:i w:val="0"/>
          <w:sz w:val="21"/>
        </w:rPr>
        <w:t>Formato sugerido: Video avatar IA o slide informativo (formato 'Video 1/2 CAE', el más eficiente de la cuenta)</w:t>
      </w:r>
    </w:p>
    <w:p>
      <w:r>
        <w:rPr>
          <w:b w:val="0"/>
          <w:i w:val="0"/>
          <w:sz w:val="21"/>
        </w:rPr>
        <w:t>Briefing creativo: Mantener el mismo formato costo-eficiente ya validado, solo variar el hook.</w:t>
      </w:r>
    </w:p>
    <w:p/>
    <w:p>
      <w:pPr>
        <w:pStyle w:val="Heading2"/>
      </w:pPr>
      <w:r>
        <w:rPr>
          <w:color w:val="0F2438"/>
        </w:rPr>
        <w:t>3 — Ángulo prueba social</w:t>
      </w:r>
    </w:p>
    <w:p>
      <w:r>
        <w:rPr>
          <w:b/>
          <w:i w:val="0"/>
          <w:sz w:val="21"/>
        </w:rPr>
        <w:t>Hook: "Más de 10 años defendiendo Pymes del SII y la Tesorería. Esto aprendimos."</w:t>
      </w:r>
    </w:p>
    <w:p>
      <w:r>
        <w:rPr>
          <w:b w:val="0"/>
          <w:i w:val="0"/>
          <w:sz w:val="21"/>
        </w:rPr>
        <w:t>Copy: No es la primera vez que alguien nos dice 'ya perdí, no hay nada que hacer'. Casi siempre hay algo que hacer: condonación, convenio de pago o incluso prescripción. Agenda tu diagnóstico gratuito y te decimos exactamente qué opciones tienes.</w:t>
      </w:r>
    </w:p>
    <w:p>
      <w:r>
        <w:rPr>
          <w:b w:val="0"/>
          <w:i w:val="0"/>
          <w:sz w:val="21"/>
        </w:rPr>
        <w:t>Headline: +10 años defendiendo contribuyentes</w:t>
      </w:r>
    </w:p>
    <w:p>
      <w:r>
        <w:rPr>
          <w:b w:val="0"/>
          <w:i w:val="0"/>
          <w:sz w:val="21"/>
        </w:rPr>
        <w:t>Descripción: Agenda tu diagnóstico gratuito</w:t>
      </w:r>
    </w:p>
    <w:p>
      <w:r>
        <w:rPr>
          <w:b w:val="0"/>
          <w:i w:val="0"/>
          <w:sz w:val="21"/>
        </w:rPr>
        <w:t>CTA: Enviar mensaje</w:t>
      </w:r>
    </w:p>
    <w:p>
      <w:r>
        <w:rPr>
          <w:b w:val="0"/>
          <w:i w:val="0"/>
          <w:sz w:val="21"/>
        </w:rPr>
        <w:t>Formato sugerido: Carrusel con 3-4 casos</w:t>
      </w:r>
    </w:p>
    <w:p>
      <w:r>
        <w:rPr>
          <w:b w:val="0"/>
          <w:i w:val="0"/>
          <w:sz w:val="21"/>
        </w:rPr>
        <w:t>Briefing creativo: Cada tarjeta: un problema distinto (embargo, CAE, giro SII) + resultado.</w:t>
      </w:r>
    </w:p>
    <w:p/>
    <w:p>
      <w:pPr>
        <w:pStyle w:val="Heading2"/>
      </w:pPr>
      <w:r>
        <w:rPr>
          <w:color w:val="0F2438"/>
        </w:rPr>
        <w:t>4 — Ángulo curiosidad</w:t>
      </w:r>
    </w:p>
    <w:p>
      <w:r>
        <w:rPr>
          <w:b/>
          <w:i w:val="0"/>
          <w:sz w:val="21"/>
        </w:rPr>
        <w:t>Hook: "El error que comete el 8 de cada 10 emprendedores cuando le llega una carta del SII"</w:t>
      </w:r>
    </w:p>
    <w:p>
      <w:r>
        <w:rPr>
          <w:b w:val="0"/>
          <w:i w:val="0"/>
          <w:sz w:val="21"/>
        </w:rPr>
        <w:t>Copy: No es ignorar la carta. Es responder solo, sin asesoría, y firmar algo que no entendieron del todo. Antes de responder cualquier notificación del SII o Tesorería, escríbenos — el diagnóstico es gratis y puede evitarte un problema mucho más caro.</w:t>
      </w:r>
    </w:p>
    <w:p>
      <w:r>
        <w:rPr>
          <w:b w:val="0"/>
          <w:i w:val="0"/>
          <w:sz w:val="21"/>
        </w:rPr>
        <w:t>Headline: No respondas al SII sin asesoría</w:t>
      </w:r>
    </w:p>
    <w:p>
      <w:r>
        <w:rPr>
          <w:b w:val="0"/>
          <w:i w:val="0"/>
          <w:sz w:val="21"/>
        </w:rPr>
        <w:t>Descripción: Diagnóstico gratuito para Pymes</w:t>
      </w:r>
    </w:p>
    <w:p>
      <w:r>
        <w:rPr>
          <w:b w:val="0"/>
          <w:i w:val="0"/>
          <w:sz w:val="21"/>
        </w:rPr>
        <w:t>CTA: Enviar mensaje</w:t>
      </w:r>
    </w:p>
    <w:p>
      <w:r>
        <w:rPr>
          <w:b w:val="0"/>
          <w:i w:val="0"/>
          <w:sz w:val="21"/>
        </w:rPr>
        <w:t>Formato sugerido: Video corto, gancho hablado a cámara</w:t>
      </w:r>
    </w:p>
    <w:p>
      <w:r>
        <w:rPr>
          <w:b w:val="0"/>
          <w:i w:val="0"/>
          <w:sz w:val="21"/>
        </w:rPr>
        <w:t>Briefing creativo: Persona a cámara, tono cercano, sin oficina ni traje formal.</w:t>
      </w:r>
    </w:p>
    <w:p/>
    <w:p>
      <w:pPr>
        <w:pStyle w:val="Heading2"/>
      </w:pPr>
      <w:r>
        <w:rPr>
          <w:color w:val="0F2438"/>
        </w:rPr>
        <w:t>5 — Ángulo contraste</w:t>
      </w:r>
    </w:p>
    <w:p>
      <w:r>
        <w:rPr>
          <w:b/>
          <w:i w:val="0"/>
          <w:sz w:val="21"/>
        </w:rPr>
        <w:t>Hook: "Antes evitaba abrir las cartas de Tesorería. Ahora sé exactamente qué hacer con cada una."</w:t>
      </w:r>
    </w:p>
    <w:p>
      <w:r>
        <w:rPr>
          <w:b w:val="0"/>
          <w:i w:val="0"/>
          <w:sz w:val="21"/>
        </w:rPr>
        <w:t>Copy: El cambio no fue mágico: fue tener un equipo que revisa cada notificación y responde a tiempo. Si hoy te da lo mismo miedo que confusión cuando llega una carta del SII o Tesorería, hablemos.</w:t>
      </w:r>
    </w:p>
    <w:p>
      <w:r>
        <w:rPr>
          <w:b w:val="0"/>
          <w:i w:val="0"/>
          <w:sz w:val="21"/>
        </w:rPr>
        <w:t>Headline: De la angustia fiscal a tener un plan</w:t>
      </w:r>
    </w:p>
    <w:p>
      <w:r>
        <w:rPr>
          <w:b w:val="0"/>
          <w:i w:val="0"/>
          <w:sz w:val="21"/>
        </w:rPr>
        <w:t>Descripción: Agenda tu diagnóstico gratuito</w:t>
      </w:r>
    </w:p>
    <w:p>
      <w:r>
        <w:rPr>
          <w:b w:val="0"/>
          <w:i w:val="0"/>
          <w:sz w:val="21"/>
        </w:rPr>
        <w:t>CTA: Enviar mensaje</w:t>
      </w:r>
    </w:p>
    <w:p>
      <w:r>
        <w:rPr>
          <w:b w:val="0"/>
          <w:i w:val="0"/>
          <w:sz w:val="21"/>
        </w:rPr>
        <w:t>Formato sugerido: Testimonio real (formato 'Silvana'/'Ramón López')</w:t>
      </w:r>
    </w:p>
    <w:p>
      <w:r>
        <w:rPr>
          <w:b w:val="0"/>
          <w:i w:val="0"/>
          <w:sz w:val="21"/>
        </w:rPr>
        <w:t>Briefing creativo: Estructura antes/después dicha por la misma persona, sin cortes artificiales.</w:t>
      </w:r>
    </w:p>
    <w:p/>
    <w:p>
      <w:r>
        <w:br w:type="page"/>
      </w:r>
    </w:p>
    <w:p>
      <w:pPr>
        <w:pStyle w:val="Heading1"/>
      </w:pPr>
      <w:r>
        <w:rPr>
          <w:color w:val="0F2438"/>
        </w:rPr>
        <w:t>Nota metodológica</w:t>
      </w:r>
    </w:p>
    <w:p>
      <w:r>
        <w:rPr>
          <w:b w:val="0"/>
          <w:i w:val="0"/>
          <w:color w:val="6B6459"/>
          <w:sz w:val="18"/>
        </w:rPr>
        <w:t>Esta auditoría se realizó con acceso directo y autorizado a la cuenta publicitaria de Meta Ads (ID 949295082543787) a través del servidor MCP de Meta Ads conectado a esta sesión — no se estimó ni infirió ningún dato de rendimiento a partir de la Biblioteca de Anuncios pública. Se consultaron: cuentas publicitarias, páginas, campañas/conjuntos/anuncios con métricas del rango histórico completo disponible, Opportunity Score, contexto de anunciante, tendencia de rendimiento, ranking de subasta, errores de entrega, datasets/pixel y su calidad y volumen de eventos, audiencias personalizadas y actividad de cuenta. La landing page se auditó mediante lectura directa de su código fuente HTML y análisis de contenido. Los benchmarks de sector provienen de fuentes públicas 2026 y se presentan como referencia de magnitud, no como comparación exacta.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