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unito Sans" w:hAnsi="Nunito Sans"/>
          <w:b/>
          <w:color w:val="00B4C8"/>
          <w:sz w:val="22"/>
        </w:rPr>
        <w:t>DEFENSOR DEL CONTRIBUYENTE</w:t>
      </w:r>
    </w:p>
    <w:p>
      <w:r>
        <w:rPr>
          <w:rFonts w:ascii="Nunito Sans" w:hAnsi="Nunito Sans"/>
          <w:b/>
          <w:color w:val="FF7B00"/>
          <w:sz w:val="52"/>
        </w:rPr>
        <w:t>Backlog ClickUp - Investigacion 2</w:t>
      </w:r>
    </w:p>
    <w:p>
      <w:r>
        <w:rPr>
          <w:rFonts w:ascii="Nunito Sans" w:hAnsi="Nunito Sans"/>
          <w:color w:val="1A3A5C"/>
          <w:sz w:val="28"/>
        </w:rPr>
        <w:t>Tareas y activos derivados de politicas y algoritmo Meta 2026 (sin CAE, copy en 3a persona)</w:t>
      </w:r>
    </w:p>
    <w:p>
      <w:r>
        <w:rPr>
          <w:rFonts w:ascii="Nunito Sans" w:hAnsi="Nunito Sans"/>
          <w:color w:val="4A5068"/>
          <w:sz w:val="20"/>
        </w:rPr>
        <w:t>18-08-2026  ·  Uso interno - fuente unica: investigacion-2-politicas-algoritmo-meta.md</w:t>
      </w:r>
    </w:p>
    <w:p/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Fecha:</w:t>
      </w:r>
      <w:r>
        <w:rPr>
          <w:rFonts w:ascii="Nunito Sans" w:hAnsi="Nunito Sans"/>
          <w:i w:val="0"/>
          <w:color w:val="4A5068"/>
          <w:sz w:val="21"/>
        </w:rPr>
        <w:t xml:space="preserve"> 18-08-2026 · </w:t>
      </w:r>
      <w:r>
        <w:rPr>
          <w:rFonts w:ascii="Nunito Sans" w:hAnsi="Nunito Sans"/>
          <w:b/>
          <w:i w:val="0"/>
          <w:color w:val="1A3A5C"/>
          <w:sz w:val="21"/>
        </w:rPr>
        <w:t>Fuente única:</w:t>
      </w:r>
      <w:r>
        <w:rPr>
          <w:rFonts w:ascii="Nunito Sans" w:hAnsi="Nunito Sans"/>
          <w:i w:val="0"/>
          <w:color w:val="4A5068"/>
          <w:sz w:val="21"/>
        </w:rPr>
        <w:t xml:space="preserve"> [Investigación 2 — políticas y algoritmo Meta 2026](investigacion-2-politicas-algoritmo-meta.md) · </w:t>
      </w:r>
      <w:r>
        <w:rPr>
          <w:rFonts w:ascii="Nunito Sans" w:hAnsi="Nunito Sans"/>
          <w:b/>
          <w:i w:val="0"/>
          <w:color w:val="1A3A5C"/>
          <w:sz w:val="21"/>
        </w:rPr>
        <w:t>Formato:</w:t>
      </w:r>
      <w:r>
        <w:rPr>
          <w:rFonts w:ascii="Nunito Sans" w:hAnsi="Nunito Sans"/>
          <w:i w:val="0"/>
          <w:color w:val="4A5068"/>
          <w:sz w:val="21"/>
        </w:rPr>
        <w:t xml:space="preserve"> tareas y activos listos para crear como cards en ClickUp, uno por fila.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Reglas que aplican a todo este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</w:tcPr>
          <w:p>
            <w:pPr>
              <w:spacing w:before="120" w:after="40"/>
            </w:pPr>
            <w:r>
              <w:rPr>
                <w:rFonts w:ascii="Nunito Sans" w:hAnsi="Nunito Sans"/>
                <w:b/>
                <w:color w:val="FF7B00"/>
                <w:sz w:val="21"/>
              </w:rPr>
              <w:t>Exclusión CAE.</w:t>
            </w:r>
          </w:p>
          <w:p>
            <w:pPr>
              <w:spacing w:after="120"/>
            </w:pPr>
            <w:r>
              <w:rPr>
                <w:rFonts w:ascii="Nunito Sans" w:hAnsi="Nunito Sans"/>
                <w:color w:val="4A5068"/>
                <w:sz w:val="21"/>
              </w:rPr>
              <w:t>Este backlog no incluye ninguna instrucción para activar, reactivar o lanzar campañas o audiencias asociadas a la deuda CAE. La audiencia y las 3 campañas CAE siguen supeditadas a la actualización de oferta pendiente del Cliente-Estudio (ver [plan-ajustes-post-cae-clickup.md](plan-ajustes-post-cae-clickup.md)). Donde la Investigación 2 mencionaba la audiencia "Personas con deudas CAE" como semilla de Advantage+, esa mención se excluyó explícitamente de las tareas de abajo.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</w:tcPr>
          <w:p>
            <w:pPr>
              <w:spacing w:before="120" w:after="40"/>
            </w:pPr>
            <w:r>
              <w:rPr>
                <w:rFonts w:ascii="Nunito Sans" w:hAnsi="Nunito Sans"/>
                <w:b/>
                <w:color w:val="FF7B00"/>
                <w:sz w:val="21"/>
              </w:rPr>
              <w:t>Regla de compliance de copy.</w:t>
            </w:r>
          </w:p>
          <w:p>
            <w:pPr>
              <w:spacing w:after="120"/>
            </w:pPr>
            <w:r>
              <w:rPr>
                <w:rFonts w:ascii="Nunito Sans" w:hAnsi="Nunito Sans"/>
                <w:color w:val="4A5068"/>
                <w:sz w:val="21"/>
              </w:rPr>
              <w:t>Ningún copy producido o revisado a partir de este backlog puede afirmar o implicar directamente, en segunda persona, que el espectador individual tiene una deuda tributaria (ej. "tú le debes al SII"). Todo copy debe mantener encuadre de tercera persona o estadístico (ej. "miles de contribuyentes..."). Esta regla es criterio de aceptación obligatorio en toda tarea de esta lista marcada con 🔒 y aplica también, hacia adelante, a cualquier creativo del banco de 70 que se reactive.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1. Pixel y medición — Conversions API de mensajería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Activar destino WhatsApp con Click-to-WhatsApp (CTWA) en las campañas activas, si no está ya configurado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30 min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Precondición técnica para T2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T2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Conectar Conversions API (CAPI) de mensajería, enlazada por `ctwa_clid`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2-4 horas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Requiere acceso a Meta Business Suite / WhatsApp Business API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T3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Definir, junto al equipo de atención, qué conversación de WhatsApp cuenta como "lead calificado"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1 reunión (1 hora)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Insumo obligatorio para T4; sin esta definición no hay evento que reenviar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T4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Reenviar a Meta el evento "lead calificado" vía CAPI usando el mismo `ctwa_clid`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2-3 horas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Depende de T2 y T3. Habilita T14 (objetivo Leads)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2. Contenido con IA vs. sin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T5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Verificar y activar el control de divulgación de IA en Ads Manager en todo material con avatar IA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1 hora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No basta el rótulo visual en el video; Meta detecta origen IA automáticamente desde el 01-06-2026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T6 🔒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Documentar criterio de uso: avatar IA para prospección fría / testeo de ángulo; testimonio real para audiencias cálidas y remarketing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 aprueba · Agencia documenta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 horas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Queda como estándar escrito para todo creativo nuevo, no solo para el banco actual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3. Video de personas reales vs. video editado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T7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Instrumentar hook rate y hold rate como métricas de diagnóstico estándar para cada pieza nueva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2 horas (setup de reporte)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Métrica de seguimiento, no de un solo uso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T8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Definir estándar de duración por tipo de ángulo: 15-20s para miedo/urgencia, 30-50s para explicativo/autoridad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 + Agencia (brief conjunto)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1 reunión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Se aplica como checklist de producción para todo creativo nuevo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4. Formatos sugeridos por Meta (imagen + video)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T9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Aplicar la recomendación "mixed_formats" en el ad set activo: agregar variante de imagen al video existente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20 min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Acción directa y gratuita ya identificada por Meta en vivo; +4 pts de Opportunity Score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T10 🔒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Seleccionar y subir 10-20 creativos variados del banco de 70 para alcanzar el mínimo que pide Advantage+ Creative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 selecciona · Agencia publica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2-3 horas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Todo creativo seleccionado pasa primero por el checklist de T15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5. Algoritmo de entrega y fatiga creativa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T11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Definir calendario de rotación de creativos (semanal a quincenal)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 propone · Cliente-Estudio aprueba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1 reunión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El ciclo de fatiga 2026 es de 5-7 días, no 14-21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T12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Configurar alertas de fatiga como gatillo automático de reemplazo: CTR con caída superior a 20%, frecuencia superior a 3,0, relevance score menor a 6/10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1-2 horas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Reemplazar por gatillo de dato, no por percepción de "se ve viejo"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6. Configuraciones de cuenta y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T13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Activar como semilla de Advantage+ Audience las audiencias lookalike ya construidas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Medio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15 min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Excluye expresamente la audiencia/lookalike de naming CAE — solo aplica a segmentación general, sin oferta CAE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T14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Testear el objetivo "Leads" (en paralelo a Conversations) en un ad set piloto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Medio (condicionado)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30 min de setup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Depende de T4 — sin señal de calidad vía CAPI, Meta no puede optimizar por calidad de lead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7. Compliance de copy y categoría restringida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/ Activo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Tiempo estimado</w:t>
            </w:r>
          </w:p>
        </w:tc>
        <w:tc>
          <w:tcPr>
            <w:tcW w:type="dxa" w:w="1234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T15 🔒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Crear checklist formal de compliance de copy (regla de tercera persona/estadístico, ver reglas arriba)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 define · Agencia implementa como paso de aprobación previo a publicar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2 horas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Checklist obligatorio antes de publicar cualquier pieza nueva o reactivada</w:t>
            </w:r>
          </w:p>
        </w:tc>
      </w:tr>
      <w:tr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T16 🔒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Auditar el banco de 70 creativos existente contra ese checklist antes de reactivar cualquiera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Cliente-Estudio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Alto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1 día (revisión por lotes)</w:t>
            </w:r>
          </w:p>
        </w:tc>
        <w:tc>
          <w:tcPr>
            <w:tcW w:type="dxa" w:w="1234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Ningún creativo se reactiva sin pasar esta auditoría</w:t>
            </w:r>
          </w:p>
        </w:tc>
      </w:tr>
      <w:tr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T17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Revisar en Business Manager si la cuenta tiene alguna bandera de categoría "servicios financieros"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Agencia-prestador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Bajo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30 min</w:t>
            </w:r>
          </w:p>
        </w:tc>
        <w:tc>
          <w:tcPr>
            <w:tcW w:type="dxa" w:w="1234"/>
          </w:tcPr>
          <w:p>
            <w:r>
              <w:rPr>
                <w:rFonts w:ascii="Nunito Sans" w:hAnsi="Nunito Sans"/>
                <w:color w:val="4A5068"/>
                <w:sz w:val="19"/>
              </w:rPr>
              <w:t>Preventivo — no hay evidencia de bloqueo hoy, pero conviene confirmar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Activos ya disponibles para desplegar (no son tareas nuevas)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Por qué importa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Tarea vinculada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Banco de 70 creativos (testimonio real, avatar IA rotulado, slide informativo)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Cubre de sobra el mínimo de 10-20 assets que pide Advantage+ Creative, sin producción nueva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T10, T16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A2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Evento de optimización ya activo `onsite_conversion.messaging_deep_conversation`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Es una señal más avanzada que "conversación iniciada"; solo falta conectarlo a CAPI para medir calidad real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T2, T4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Configuración estructural de cuenta (Opportunity Score 96/100)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Confirma que el foco debe ir 100% a ejecución (creativo + medición), no a ajustes de cuenta</w:t>
            </w:r>
          </w:p>
        </w:tc>
        <w:tc>
          <w:tcPr>
            <w:tcW w:type="dxa" w:w="2160"/>
          </w:tcPr>
          <w:p>
            <w:r>
              <w:rPr>
                <w:rFonts w:ascii="Nunito Sans" w:hAnsi="Nunito Sans"/>
                <w:color w:val="4A5068"/>
                <w:sz w:val="19"/>
              </w:rPr>
              <w:t>Contexto — sin tarea directa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A4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Audiencias lookalike ya construidas (excluida la de naming CAE)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Insumo listo para Advantage+ Audience sin costo de reconstrucción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T13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Resumen para ClickUp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**17 tareas** (T1-T17) + **4 activos de referencia** (A1-A4) = 21 cards.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**Agencia-prestador:** 11 tareas (algunas condicionadas a insumo de Cliente-Estudio).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**Cliente-Estudio:** 4 tareas exclusivas + 3 compartidas con aprobación/definición.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**Marcadas 🔒 (criterio de aceptación de compliance de copy obligatorio):** T6, T10, T15, T16.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**Cero tareas de activación de servicios o audiencias CAE** — exclusión aplicada en T13 y en la nota de reglas.</w:t>
      </w:r>
    </w:p>
    <w:p/>
    <w:p>
      <w:pPr>
        <w:spacing w:before="480"/>
      </w:pPr>
      <w:r>
        <w:rPr>
          <w:rFonts w:ascii="Nunito Sans" w:hAnsi="Nunito Sans"/>
          <w:i/>
          <w:color w:val="4A5068"/>
          <w:sz w:val="17"/>
        </w:rPr>
        <w:t>Defensor del Contribuyente — Estudio Jurídico Boutique · Concepción, Chile · defensordelcontribuyente.cl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unito Sans" w:hAnsi="Nunito Sans"/>
      <w:color w:val="4A506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