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1F1F1F"/>
          <w:sz w:val="44"/>
        </w:rPr>
        <w:t>信息技术部 2026年第二季度工作总结</w:t>
      </w:r>
    </w:p>
    <w:p>
      <w:pPr>
        <w:spacing w:after="320"/>
        <w:jc w:val="center"/>
      </w:pPr>
      <w:r>
        <w:rPr>
          <w:rFonts w:ascii="Times New Roman" w:hAnsi="Times New Roman" w:eastAsia="楷体"/>
          <w:b w:val="0"/>
          <w:i w:val="0"/>
          <w:color w:val="595959"/>
          <w:sz w:val="28"/>
        </w:rPr>
        <w:t>（汇报人：王磊　二〇二六年七月）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1F1F1F"/>
          <w:sz w:val="32"/>
        </w:rPr>
        <w:t>一、本季度工作完成情况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二季度，部门按年度计划推进各项任务，整体进展顺利。在系统运维方面，我们重点保证了核心业务系统的稳定运行，可用率达到99.95%，未发生一起一级故障。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在项目建设方面，新上线的客户管理系统（CRM）按计划完成了一期交付，覆盖销售、客服两个部门，用户反馈总体良好，但也存在报表导出缓慢、部分页面加载时间偏长等问题，需要在下个阶段重点优化。</w:t>
      </w:r>
    </w:p>
    <w:p>
      <w:pPr>
        <w:spacing w:before="120" w:after="80" w:line="360" w:lineRule="auto"/>
      </w:pPr>
      <w:r>
        <w:rPr>
          <w:rFonts w:ascii="Times New Roman" w:hAnsi="Times New Roman" w:eastAsia="黑体"/>
          <w:b/>
          <w:i w:val="0"/>
          <w:color w:val="1F1F1F"/>
          <w:sz w:val="28"/>
        </w:rPr>
        <w:t>（一）主要指标完成情况</w:t>
      </w:r>
    </w:p>
    <w:p>
      <w:pPr>
        <w:spacing w:line="360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• 系统可用率：99.95%，高于季度目标99.9%；</w:t>
      </w:r>
    </w:p>
    <w:p>
      <w:pPr>
        <w:spacing w:line="360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• 需求交付：累计完成需求 87个，其中紧急需求 15个，按期交付率 94%；</w:t>
      </w:r>
    </w:p>
    <w:p>
      <w:pPr>
        <w:spacing w:line="360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• 故障处理：共处理工单 236单，平均响应时间 18 分钟，平均解决时间 3.2 小时；</w:t>
      </w:r>
    </w:p>
    <w:p>
      <w:pPr>
        <w:spacing w:line="360" w:lineRule="auto" w:after="40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• 培训完成：组织内部培训 6场，累计参训 214人次。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2"/>
              </w:rPr>
              <w:t>指标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2"/>
              </w:rPr>
              <w:t>目标值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2"/>
              </w:rPr>
              <w:t>实际值</w:t>
            </w:r>
          </w:p>
        </w:tc>
      </w:tr>
      <w:tr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系统可用率</w:t>
            </w:r>
          </w:p>
        </w:tc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99.9%</w:t>
            </w:r>
          </w:p>
        </w:tc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99.95%</w:t>
            </w:r>
          </w:p>
        </w:tc>
      </w:tr>
      <w:tr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需求按期交付率</w:t>
            </w:r>
          </w:p>
        </w:tc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95%</w:t>
            </w:r>
          </w:p>
        </w:tc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94%</w:t>
            </w:r>
          </w:p>
        </w:tc>
      </w:tr>
      <w:tr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自动化测试覆盖率</w:t>
            </w:r>
          </w:p>
        </w:tc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70%</w:t>
            </w:r>
          </w:p>
        </w:tc>
        <w:tc>
          <w:tcPr>
            <w:tcW w:type="dxa" w:w="2880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2"/>
              </w:rPr>
              <w:t>62%</w:t>
            </w:r>
          </w:p>
        </w:tc>
      </w:tr>
    </w:tbl>
    <w:p/>
    <w:p>
      <w:pPr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1F1F1F"/>
          <w:sz w:val="32"/>
        </w:rPr>
        <w:t>二、存在的主要问题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对照年初目标，仍存在以下不足：一是跨部门协作的沟通成本偏高，部分需求在评审阶段反复变更，影响了开发节奏；二是自动化测试覆盖率不足，目前仅为 62%，回归测试仍较多依赖人工；三是文档管理不够规范，部分系统缺少完整的操作手册和运维手册。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1F1F1F"/>
          <w:sz w:val="32"/>
        </w:rPr>
        <w:t>三、下季度工作安排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三季度将重点做好以下工作：第一，持续提升系统稳定性，完善监控告警体系，力争把平均故障恢复时间压缩到 2 小时以内；第二，推进 CRM 二期建设，补齐报表性能短板，提升移动端使用体验；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第三，加强自动化测试能力建设，目标把覆盖率从62%提升到75%；第四，规范文档管理，在三季度末完成核心系统操作手册和运维手册的补全工作。各小组要明确责任人，关键节点提前向部门汇报。</w:t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信息技术部</w:t>
      </w: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2026年7月10日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