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D6D0" w14:textId="77777777" w:rsidR="00564CF7" w:rsidRPr="00CB4E6A" w:rsidRDefault="008448F2">
      <w:pPr>
        <w:spacing w:after="240"/>
        <w:rPr>
          <w:rFonts w:ascii="Times New Roman" w:hAnsi="Times New Roman" w:cs="Times New Roman"/>
        </w:rPr>
      </w:pPr>
      <w:commentRangeStart w:id="0"/>
      <w:r>
        <w:rPr>
          <w:rFonts w:ascii="Times New Roman" w:hAnsi="Times New Roman" w:cs="Times New Roman"/>
          <w:b/>
          <w:bCs/>
          <w:sz w:val="32"/>
          <w:szCs w:val="32"/>
        </w:rPr>
        <w:t>nanoCAS: a real-time classification and alerting system for pathogen detection during nanopore sequencing</w:t>
      </w:r>
      <w:commentRangeEnd w:id="0"/>
      <w:r>
        <w:rPr>
          <w:rStyle w:val="CommentReference"/>
          <w:rFonts w:ascii="Times New Roman" w:hAnsi="Times New Roman" w:cs="Times New Roman"/>
          <w:sz w:val="22"/>
          <w:szCs w:val="22"/>
        </w:rPr>
        <w:commentReference w:id="0"/>
      </w:r>
    </w:p>
    <w:p w14:paraId="2E64C354"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Tayab Soomro</w:t>
      </w:r>
      <w:r>
        <w:rPr>
          <w:rFonts w:ascii="Times New Roman" w:hAnsi="Times New Roman" w:cs="Times New Roman"/>
          <w:vertAlign w:val="superscript"/>
        </w:rPr>
        <w:t>1</w:t>
      </w:r>
      <w:r>
        <w:rPr>
          <w:rFonts w:ascii="Times New Roman" w:hAnsi="Times New Roman" w:cs="Times New Roman"/>
        </w:rPr>
        <w:t>, Sam Horovatin</w:t>
      </w:r>
      <w:r>
        <w:rPr>
          <w:rFonts w:ascii="Times New Roman" w:hAnsi="Times New Roman" w:cs="Times New Roman"/>
          <w:vertAlign w:val="superscript"/>
        </w:rPr>
        <w:t>2</w:t>
      </w:r>
      <w:r>
        <w:rPr>
          <w:rFonts w:ascii="Times New Roman" w:hAnsi="Times New Roman" w:cs="Times New Roman"/>
        </w:rPr>
        <w:t>, Tim J. Dumonceaux</w:t>
      </w:r>
      <w:r>
        <w:rPr>
          <w:rFonts w:ascii="Times New Roman" w:hAnsi="Times New Roman" w:cs="Times New Roman"/>
          <w:vertAlign w:val="superscript"/>
        </w:rPr>
        <w:t>1</w:t>
      </w:r>
      <w:r>
        <w:rPr>
          <w:rFonts w:ascii="Times New Roman" w:hAnsi="Times New Roman" w:cs="Times New Roman"/>
        </w:rPr>
        <w:t>, Matthew G. Links</w:t>
      </w:r>
      <w:r>
        <w:rPr>
          <w:rFonts w:ascii="Times New Roman" w:hAnsi="Times New Roman" w:cs="Times New Roman"/>
          <w:vertAlign w:val="superscript"/>
        </w:rPr>
        <w:t>2*</w:t>
      </w:r>
    </w:p>
    <w:p w14:paraId="6AA63838" w14:textId="7120A187" w:rsidR="00564CF7" w:rsidRPr="00CB4E6A" w:rsidRDefault="008448F2">
      <w:pPr>
        <w:spacing w:after="80" w:line="360" w:lineRule="auto"/>
        <w:rPr>
          <w:rFonts w:ascii="Times New Roman" w:hAnsi="Times New Roman" w:cs="Times New Roman"/>
        </w:rPr>
      </w:pPr>
      <w:r>
        <w:rPr>
          <w:rFonts w:ascii="Times New Roman" w:hAnsi="Times New Roman" w:cs="Times New Roman"/>
          <w:vertAlign w:val="superscript"/>
        </w:rPr>
        <w:t>1</w:t>
      </w:r>
      <w:r>
        <w:rPr>
          <w:rFonts w:ascii="Times New Roman" w:hAnsi="Times New Roman" w:cs="Times New Roman"/>
        </w:rPr>
        <w:t xml:space="preserve"> Agriculture and Agri-Food Canada, Brandon Research and Development Centre, Saskatoon, Saskatchewan, Canada</w:t>
      </w:r>
    </w:p>
    <w:p w14:paraId="05C799DC"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vertAlign w:val="superscript"/>
        </w:rPr>
        <w:t>2</w:t>
      </w:r>
      <w:r>
        <w:rPr>
          <w:rFonts w:ascii="Times New Roman" w:hAnsi="Times New Roman" w:cs="Times New Roman"/>
        </w:rPr>
        <w:t xml:space="preserve"> Department of Animal and Poultry Science, University of Saskatchewan, Saskatoon, Saskatchewan, Canada</w:t>
      </w:r>
    </w:p>
    <w:p w14:paraId="55663468" w14:textId="77777777" w:rsidR="00564CF7" w:rsidRPr="00CB4E6A" w:rsidRDefault="008448F2">
      <w:pPr>
        <w:spacing w:after="160" w:line="360" w:lineRule="auto"/>
        <w:rPr>
          <w:rFonts w:ascii="Times New Roman" w:hAnsi="Times New Roman" w:cs="Times New Roman"/>
        </w:rPr>
      </w:pPr>
      <w:commentRangeStart w:id="1"/>
      <w:r>
        <w:rPr>
          <w:rFonts w:ascii="Times New Roman" w:hAnsi="Times New Roman" w:cs="Times New Roman"/>
        </w:rPr>
        <w:t>Tayab Soomro, tayab.soomro@usask.ca. Sam Horovatin, s.horovatin@usask.ca. Tim J. Dumonceaux, tim.dumonceaux@agr.gc.ca. Matthew G. Links, matthew.links@usask.ca.</w:t>
      </w:r>
      <w:commentRangeEnd w:id="1"/>
      <w:r>
        <w:rPr>
          <w:rStyle w:val="CommentReference"/>
          <w:rFonts w:ascii="Times New Roman" w:hAnsi="Times New Roman" w:cs="Times New Roman"/>
          <w:sz w:val="22"/>
          <w:szCs w:val="22"/>
        </w:rPr>
        <w:commentReference w:id="1"/>
      </w:r>
    </w:p>
    <w:p w14:paraId="4CF56F6B"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*Corresponding author: Matthew G. Links, matthew.links@usask.ca</w:t>
      </w:r>
    </w:p>
    <w:p w14:paraId="7EC03C73"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Article type: Software</w:t>
      </w:r>
    </w:p>
    <w:p w14:paraId="2FDC0D27" w14:textId="77777777" w:rsidR="00564CF7" w:rsidRPr="00CB4E6A" w:rsidRDefault="008448F2">
      <w:pPr>
        <w:rPr>
          <w:rFonts w:ascii="Times New Roman" w:hAnsi="Times New Roman" w:cs="Times New Roman"/>
        </w:rPr>
      </w:pPr>
      <w:r>
        <w:rPr>
          <w:rFonts w:ascii="Times New Roman" w:hAnsi="Times New Roman" w:cs="Times New Roman"/>
        </w:rPr>
        <w:br w:type="page"/>
      </w:r>
    </w:p>
    <w:p w14:paraId="27F150EF"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lastRenderedPageBreak/>
        <w:t>Abstract</w:t>
      </w:r>
    </w:p>
    <w:p w14:paraId="6FBAAA67"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Background</w:t>
      </w:r>
    </w:p>
    <w:p w14:paraId="6728197E"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Nanopore sequencing delivers reads while the run is in progress, so a pathogen or a contaminant can be detected long before the run ends. Existing real-time tools draw live plots and leave the decision to a person watching the screen. None of them let the user define what counts as a positive result, raise an alarm about the sequencer itself, or keep the sequencing result next to the confirmatory laboratory test.</w:t>
      </w:r>
    </w:p>
    <w:p w14:paraId="0866DC28"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Results</w:t>
      </w:r>
    </w:p>
    <w:p w14:paraId="6D1894CA" w14:textId="4DD9048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We present nanoCAS (Nanopore Classification and Alerting System), an open-source web application that watches an Oxford Nanopore sequencer's output, classifies each new batch of reads against user-defined targets and sends an alert the moment a threshold is crossed. Thresholds can be set on depth, breadth, read count or read fraction for any target, and on depth over individual features from a GFF3 annotation. The classifier is a plug-in: minimap2, Kraken2 and Centrifuge are included, and another tool can be added by instantiating a Python class. A second monitor reads the sequencing summary written by MinKNOW and alerts on the run itself, such as a run that never started, stalled output or declining pore activity. Alerts go out by e-mail, SMS, desktop notification and into MinKNOW. Quantitative PCR results can be recorded per target, and agreement, time to detection and the relationship between cycle threshold and read yield are computed in the application. A built-in simulator lets every function be tried without an instrument. We applied nanoCAS to naturally infected plant samples carrying </w:t>
      </w:r>
      <w:r>
        <w:rPr>
          <w:rFonts w:ascii="Times New Roman" w:hAnsi="Times New Roman" w:cs="Times New Roman"/>
          <w:i/>
          <w:iCs/>
        </w:rPr>
        <w:t>Xylella fastidiosa</w:t>
      </w:r>
      <w:r>
        <w:rPr>
          <w:rFonts w:ascii="Times New Roman" w:hAnsi="Times New Roman" w:cs="Times New Roman"/>
        </w:rPr>
        <w:t xml:space="preserve"> with matching qPCR quantification, and to a dilution series of </w:t>
      </w:r>
      <w:r>
        <w:rPr>
          <w:rFonts w:ascii="Times New Roman" w:hAnsi="Times New Roman" w:cs="Times New Roman"/>
          <w:i/>
          <w:iCs/>
        </w:rPr>
        <w:t>Brucella abortus</w:t>
      </w:r>
      <w:r>
        <w:rPr>
          <w:rFonts w:ascii="Times New Roman" w:hAnsi="Times New Roman" w:cs="Times New Roman"/>
        </w:rPr>
        <w:t xml:space="preserve"> DNA in a bovine background sequenced with adaptive sampling. </w:t>
      </w:r>
      <w:commentRangeStart w:id="2"/>
      <w:r>
        <w:rPr>
          <w:rFonts w:ascii="Times New Roman" w:hAnsi="Times New Roman" w:cs="Times New Roman"/>
        </w:rPr>
        <w:t>Time to alert and read yield tracked the qPCR cycle threshold, and nanoCAS raised an alert for every spike level down to [lowest level] while flagging pore decline during the three-day run.</w:t>
      </w:r>
      <w:commentRangeEnd w:id="2"/>
      <w:r>
        <w:rPr>
          <w:rStyle w:val="CommentReference"/>
          <w:rFonts w:ascii="Times New Roman" w:hAnsi="Times New Roman" w:cs="Times New Roman"/>
          <w:sz w:val="22"/>
          <w:szCs w:val="22"/>
        </w:rPr>
        <w:commentReference w:id="2"/>
      </w:r>
    </w:p>
    <w:p w14:paraId="6310F44E"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Conclusions</w:t>
      </w:r>
    </w:p>
    <w:p w14:paraId="1C7935F8" w14:textId="24841301"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nanoCAS turns a nanopore run into a monitored process that tells user when something they care about has happened. It is a decision layer on top of whichever classifier a laboratory already trusts, and it records the evidence needed to validate that decision against a reference test.</w:t>
      </w:r>
    </w:p>
    <w:p w14:paraId="71183891"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Keywords</w:t>
      </w:r>
    </w:p>
    <w:p w14:paraId="493F0BD6"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Nanopore sequencing, real-time analysis, pathogen detection, alerting, run monitoring, adaptive sampling, quantitative PCR, </w:t>
      </w:r>
      <w:r>
        <w:rPr>
          <w:rFonts w:ascii="Times New Roman" w:hAnsi="Times New Roman" w:cs="Times New Roman"/>
          <w:i/>
          <w:iCs/>
        </w:rPr>
        <w:t>Xylella fastidiosa</w:t>
      </w:r>
      <w:r>
        <w:rPr>
          <w:rFonts w:ascii="Times New Roman" w:hAnsi="Times New Roman" w:cs="Times New Roman"/>
        </w:rPr>
        <w:t xml:space="preserve">, </w:t>
      </w:r>
      <w:r>
        <w:rPr>
          <w:rFonts w:ascii="Times New Roman" w:hAnsi="Times New Roman" w:cs="Times New Roman"/>
          <w:i/>
          <w:iCs/>
        </w:rPr>
        <w:t>Brucella abortus</w:t>
      </w:r>
    </w:p>
    <w:p w14:paraId="12B5DFA5"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t>Background</w:t>
      </w:r>
    </w:p>
    <w:p w14:paraId="66517AAE"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lastRenderedPageBreak/>
        <w:t>The value of a diagnostic result depends on when it arrives. In a livestock herd or a crop, a pathogen that is identified early can be contained by isolating animals, removing plants or changing a treatment plan, and one that is identified late has already spread. In a clinical setting the same logic applies to the choice of an antimicrobial or the decision to isolate a patient. Sequencing-based diagnostics have shown that a causative organism can be identified from a clinical sample within hours [1-3], but the time from sample to answer is only part of the picture. The other part is how quickly the answer reaches the person who has to act on it.</w:t>
      </w:r>
    </w:p>
    <w:p w14:paraId="5EDC58D3" w14:textId="77777777" w:rsidR="00564CF7" w:rsidRPr="00CB4E6A" w:rsidRDefault="008448F2">
      <w:pPr>
        <w:spacing w:after="160" w:line="360" w:lineRule="auto"/>
        <w:rPr>
          <w:rFonts w:ascii="Times New Roman" w:hAnsi="Times New Roman" w:cs="Times New Roman"/>
        </w:rPr>
      </w:pPr>
      <w:commentRangeStart w:id="23"/>
      <w:r>
        <w:rPr>
          <w:rFonts w:ascii="Times New Roman" w:hAnsi="Times New Roman" w:cs="Times New Roman"/>
        </w:rPr>
        <w:t xml:space="preserve">Routine pathogen testing still relies on culture, serology and targeted amplification, and the diagnostic standards that apply to the two organisms in this study are recent. The EPPO diagnostic protocol for </w:t>
      </w:r>
      <w:r>
        <w:rPr>
          <w:rFonts w:ascii="Times New Roman" w:hAnsi="Times New Roman" w:cs="Times New Roman"/>
          <w:i/>
          <w:iCs/>
        </w:rPr>
        <w:t xml:space="preserve">Xylella fastidiosa</w:t>
      </w:r>
      <w:r>
        <w:rPr>
          <w:rFonts w:ascii="Times New Roman" w:hAnsi="Times New Roman" w:cs="Times New Roman"/>
        </w:rPr>
        <w:t xml:space="preserve">, revised in 2023, is built around real-time PCR [4], and the 2022 revision of the WOAH manual for brucellosis treats isolation of </w:t>
      </w:r>
      <w:r>
        <w:rPr>
          <w:rFonts w:ascii="Times New Roman" w:hAnsi="Times New Roman" w:cs="Times New Roman"/>
          <w:i/>
          <w:iCs/>
        </w:rPr>
        <w:t xml:space="preserve">Brucella</w:t>
      </w:r>
      <w:r>
        <w:rPr>
          <w:rFonts w:ascii="Times New Roman" w:hAnsi="Times New Roman" w:cs="Times New Roman"/>
        </w:rPr>
        <w:t xml:space="preserve"> in culture as the definitive diagnosis, with PCR as an additional means of detecting </w:t>
      </w:r>
      <w:r>
        <w:rPr>
          <w:rFonts w:ascii="Times New Roman" w:hAnsi="Times New Roman" w:cs="Times New Roman"/>
          <w:i/>
          <w:iCs/>
        </w:rPr>
        <w:t xml:space="preserve">Brucella</w:t>
      </w:r>
      <w:r>
        <w:rPr>
          <w:rFonts w:ascii="Times New Roman" w:hAnsi="Times New Roman" w:cs="Times New Roman"/>
        </w:rPr>
        <w:t xml:space="preserve"> DNA [5]. Recent reviews of plant and animal pathogen diagnostics describe the same picture, with PCR-based and immunological assays remaining the mainstay of routine practice [6, 7]. These methods are sensitive and inexpensive. They also answer only the question that was asked. A quantitative PCR (qPCR) panel cannot report an organism it has no primers for, it gives no information about which genes or plasmids are present, and the result is available only after the cycling program has finished. Metagenomic sequencing answers a broader question at the cost of more DNA input and more analysis, and nanopore sequencing adds a property that no other platform has: reads are delivered continuously while the run is in progress, so the analysis can start with the first batch of reads and stop as soon as the answer is clear [8].</w:t>
      </w:r>
      <w:commentRangeEnd w:id="23"/>
      <w:r>
        <w:rPr>
          <w:rStyle w:val="CommentReference"/>
        </w:rPr>
        <w:commentReference w:id="23"/>
      </w:r>
    </w:p>
    <w:p w14:paraId="46487AE8"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Several tools already use this property. MinKNOW, the instrument control software from Oxford Nanopore Technologies, can align reads to a reference during a run and draw coverage plots, and the EPI2ME workflows can watch an output directory and update a report as files appear [9]. RAMPART shows amplicon coverage per barcode for viral genome sequencing [10]. minoTour is a laboratory information system that captures run metrics and sequence data from MinKNOW and can run alignment and metagenomic classification on them [11]. BoardION monitors instrument performance across flow cells [12]. MARTi [13], Nanometa Live [14] and NanoOK RT [15] classify reads taxonomically while the run is in progress and present the result as an interactive report. Cloud platforms such as BugSeq [16] and general pipelines such as fastv [17] and Sunbeam [18] process the data after the run. Adaptive sampling tools such as readfish [19] act at the signal level to enrich or deplete chosen sequences, and have been shown to enrich low-abundance species in metagenomic samples [20].</w:t>
      </w:r>
    </w:p>
    <w:p w14:paraId="659FF178"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What these tools have in common is that they stop at the plot. The user must sit in front of the screen, decide what a positive result looks like and notice when it appears. None of them let a laboratory state in advance that, for example, ten reads or five-fold depth over a given gene means a positive sample, and then notify a person by text message when that happens. None of them raise an alarm when the instrument is the problem rather than the sample, for instance when a flow cell produces no data or read quality collapses part way through a run. And none of them keep the confirmatory laboratory result in the same place as the sequencing result, so the comparison between the two is redone by hand in every study.</w:t>
      </w:r>
    </w:p>
    <w:p w14:paraId="43FF649B"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lastRenderedPageBreak/>
        <w:t>nanoCAS was written to fill this gap. It is not a new aligner or classifier. It is the layer that sits on top of an existing classifier, watches the sequencer, evaluates user-defined rules on every new batch of reads and on the state of the run, delivers alerts, and records the evidence that a laboratory needs to validate the rules against a reference test. In this paper we describe the design of nanoCAS and demonstrate it on two case studies: a plant pathogen in naturally infected plant tissue with matching qPCR data, and an animal pathogen spiked into a bovine background at decreasing concentrations and sequenced with adaptive sampling.</w:t>
      </w:r>
    </w:p>
    <w:p w14:paraId="37C36A3F"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t>Implementation</w:t>
      </w:r>
    </w:p>
    <w:p w14:paraId="5ECFC7DB"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Design overview</w:t>
      </w:r>
    </w:p>
    <w:p w14:paraId="6432F5A5"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nanoCAS is a single Python process that serves a web interface, a JSON API and the monitoring threads (Fig. 1). The back end is written in Python 3.10 or later on Flask with Flask-SocketIO for live updates to the browser, watchdog for file-system events, pysam and NumPy for alignment processing, and minknow_api for communication with the sequencer. The front end is a React application written in TypeScript with Chart.js for plots. It is compiled once and served by the same process, so a deployment consists of one program, the minimap2 and samtools binaries and no external services. Each analysis is a project with its own directory under the user's home directory that holds the configuration, the reference index, one BAM file per processed batch, the rolling coverage state, the coverage time series, the alert log and any laboratory results. Nothing is sent to a remote server and the application works without an internet connection.</w:t>
      </w:r>
    </w:p>
    <w:p w14:paraId="1206BA06"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A project is created in a three-step form. The user selects a directory to watch, either by choosing a sequencing position discovered through minknow_api or by giving a path, uploads the reference sequences and optionally a GFF3 annotation, picks the sequence records and features to monitor, and sets the alert thresholds. Once the reference index is built the project is ready and monitoring can be started with one click.</w:t>
      </w:r>
    </w:p>
    <w:p w14:paraId="271B2E0E"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Data ingestion</w:t>
      </w:r>
    </w:p>
    <w:p w14:paraId="58C29990"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When monitoring is active nanoCAS watches the chosen directory, which is normally the fastq_pass folder written by MinKNOW. It accepts FASTQ files, gzipped or not, and BAM files produced by another tool. MinKNOW writes each batch to a temporary name and renames it when complete, and nanoCAS waits for the rename so that partially written files are never processed. Files already present when monitoring starts are processed first, so an analysis can be started or restarted part way through a run without losing data. A batch that fails, for example because the aligner ran out of memory, is recorded </w:t>
        <w:lastRenderedPageBreak/>
        <w:t>and retried on the next start rather than silently skipped. Batches are processed one at a time in the order they arrive.</w:t>
      </w:r>
    </w:p>
    <w:p w14:paraId="3C8A1848"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Classification and targets</w:t>
      </w:r>
    </w:p>
    <w:p w14:paraId="18D25C5F"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Each batch is passed to a classifier. The default classifier aligns the reads with minimap2 [21] using the nanopore preset and sorts the output with samtools [22]. From the resulting BAM file nanoCAS updates a per-position depth array for every reference sequence. The array is updated incrementally, so the cost of a batch depends on the number of reads in that batch and not on the number of reads seen so far. Depth counts every aligned base regardless of base quality, which matches the behaviour of samtools depth, and read counts include primary alignments only. From the arrays nanoCAS derives, for every target and after every batch, the mean depth, the breadth of coverage (the fraction of positions with at least one read), the number of reads and the fraction of all reads in the run so far that were assigned to the target. These four metrics are appended to a coverage time series that drives the coverage-over-time plot (Fig. 2a).</w:t>
      </w:r>
    </w:p>
    <w:p w14:paraId="592E76A9"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The classifier is a plug-in. A classifier is a Python class that declares a name, a kind (alignment or taxonomic), how it builds its index from the uploaded reference, and a method that classifies one batch and returns either a BAM file or a table of read counts per taxon. Kraken2 [23] and Centrifuge [24] are included as taxonomic classifiers, in which case the targets are taxon names or NCBI taxonomy identifiers and the available metrics are read count and read fraction. A user can add another tool by placing a Python file in a plug-ins directory. The alert rules are defined on the metrics rather than on the tool, so a project can be moved from one classifier to another without changing its alerts. An example plug-in that classifies reads by shared k-mers is shipped with the source code and is used by the automated tests.</w:t>
      </w:r>
    </w:p>
    <w:p w14:paraId="668B1C8A"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Alert rules</w:t>
      </w:r>
    </w:p>
    <w:p w14:paraId="01D2D099"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A target can carry any combination of four thresholds: mean depth, breadth of coverage, read count and read fraction. Each rule is evaluated after every batch and fires once per run. When a GFF3 annotation was uploaded, the user can select individual features, for example a toxin gene or a resistance gene, and give each a depth threshold of its own. Feature rules are evaluated over the feature's coordinates on the same depth arrays and are useful when presence of a gene rather than presence of an organism is the question, for instance to distinguish a virulent strain from a harmless relative or a plasmid backbone from its insert. Feature thresholds can be edited while monitoring is running and take effect from the next batch.</w:t>
      </w:r>
    </w:p>
    <w:p w14:paraId="0F9937BB"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Run-health monitoring</w:t>
      </w:r>
    </w:p>
    <w:p w14:paraId="03FBB29E"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lastRenderedPageBreak/>
        <w:t>A second thread reads the sequencing summary file that MinKNOW writes alongside the reads. The file is read incrementally, and from each new block of rows nanoCAS maintains a Q-score histogram, a read-length histogram, per-minute throughput, the set of channels that produced reads in the last ten minutes and a rolling window of the most recent reads. Seven rules are evaluated on this state at a fixed interval, by default every 30 seconds (Table 2). Each rule fires only after its condition has held for two consecutive evaluations and logs a recovery entry when the condition clears, after which it can fire again. This hysteresis prevents a single slow batch from raising an alarm. The flow-cell type is inferred from the highest channel number in the summary, so the active-channel rule uses the correct denominator for a Flongle, MinION or PromethION flow cell. When the project is linked to a sequencing position, the live acquisition state reported by MinKNOW is shown in the interface and is used to suppress the run-not-started rule while the instrument is still preparing. The same summary statistics that post-run tools such as NanoPlot [25] and pycoQC [26] report from a finished run are shown while the run is in progress (Fig. 2b).</w:t>
      </w:r>
    </w:p>
    <w:p w14:paraId="6A000BEC"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Notifications and alert history</w:t>
      </w:r>
    </w:p>
    <w:p w14:paraId="1ED6433D"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Every alert, whether from a target rule or a run-health rule, carries a severity, a timestamp, a message and the values that triggered it. It is appended to a per-project log, pushed to any open browser session and passed to the configured notification channels: e-mail over SMTP, SMS through Twilio, a desktop notification on the host computer and a user message inside the MinKNOW interface of the linked sequencing position. A test button sends a message through every configured channel so that the delivery path can be checked before a run rather than discovered to be broken during one. The alert history is browsable and filterable in the interface (Fig. 2c) and the log file is plain JSON lines so that it can be consumed by other software.</w:t>
      </w:r>
    </w:p>
    <w:p w14:paraId="1CDE4138"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Laboratory results and statistics</w:t>
      </w:r>
    </w:p>
    <w:p w14:paraId="1578D4D1"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For any target the user can record the result of a reference test, in practice a qPCR assay, as positive, negative or inconclusive together with the cycle threshold (Ct), a sample identifier and a date. nanoCAS then reports, for each target, whether sequencing detected it (that is, whether any of its alert rules fired), the time from the first processed batch to the first alert, and whether the sequencing result agrees with the laboratory result (Fig. 2d). Across targets with a Ct value it fits an ordinary least-squares regression of log10 reads per million on Ct, reports the slope, the coefficient of determination and a t-test p-value for the slope, and computes Spearman's rank correlation as a distribution-free check. A separate view pools all projects on the same server and reports, for each target, the positivity rate with a Wilson score interval [27], the sensitivity and specificity of sequencing against the laboratory test, Cohen's kappa [28], the median time to detection and </w:t>
      </w:r>
      <w:commentRangeStart w:id="3"/>
      <w:r>
        <w:rPr>
          <w:rFonts w:ascii="Times New Roman" w:hAnsi="Times New Roman" w:cs="Times New Roman"/>
        </w:rPr>
        <w:t>an estimate of the highest Ct at which sequencing still detected the target</w:t>
      </w:r>
      <w:commentRangeEnd w:id="3"/>
      <w:r>
        <w:rPr>
          <w:rStyle w:val="CommentReference"/>
          <w:rFonts w:ascii="Times New Roman" w:hAnsi="Times New Roman" w:cs="Times New Roman"/>
          <w:sz w:val="22"/>
          <w:szCs w:val="22"/>
        </w:rPr>
        <w:commentReference w:id="3"/>
      </w:r>
      <w:r>
        <w:rPr>
          <w:rFonts w:ascii="Times New Roman" w:hAnsi="Times New Roman" w:cs="Times New Roman"/>
        </w:rPr>
        <w:t xml:space="preserve">. </w:t>
        <w:lastRenderedPageBreak/>
        <w:t>These are the quantities that validation studies of sequencing-based diagnostics usually report, and computing them inside the application means that each run adds a row to the validation dataset instead of a line in a spreadsheet.</w:t>
      </w:r>
    </w:p>
    <w:p w14:paraId="578916BD"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Simulation and testing</w:t>
      </w:r>
    </w:p>
    <w:p w14:paraId="413A2F12"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nanoCAS includes a sequencer simulator that writes gzipped FASTQ batches and a sequencing summary in the same layout, naming scheme and timing as MinKNOW. Six scripted scenarios are provided: a clean run, a contamination that appears part way through, a low-abundance pathogen, a flow cell that loses pores, a run that stalls and a run that never starts. A demo project can be created in one click and comes with a replayed history so that the coverage plot, the feature alerts, the run-health alerts, the notification channels and the laboratory-result views are all populated without an instrument or any user data. The simulator is also the basis of the automated test suite, which contains 123 tests including an end-to-end test that runs real minimap2 and samtools on simulated reads, and which is executed on every change by continuous integration.</w:t>
      </w:r>
    </w:p>
    <w:p w14:paraId="702C9A48"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Deployment</w:t>
      </w:r>
    </w:p>
    <w:p w14:paraId="7A27A6B3"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nanoCAS runs on Linux and macOS. A setup script creates a Python environment, installs the dependencies and builds the front end, and a Docker image is provided for a container deployment. The only external requirements are minimap2 and samtools, plus Kraken2 or Centrifuge if those classifiers are used. Because the whole system is one process with local storage, it can run on the laptop that controls a MinION in the field as easily as on a server in a diagnostic laboratory.</w:t>
      </w:r>
    </w:p>
    <w:p w14:paraId="5E332C9E"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Case study data</w:t>
      </w:r>
    </w:p>
    <w:p w14:paraId="6C439285" w14:textId="77777777" w:rsidR="00564CF7" w:rsidRPr="00CB4E6A" w:rsidRDefault="008448F2">
      <w:pPr>
        <w:pStyle w:val="Heading3"/>
        <w:spacing w:before="200" w:after="80"/>
        <w:rPr>
          <w:rFonts w:ascii="Times New Roman" w:hAnsi="Times New Roman" w:cs="Times New Roman"/>
        </w:rPr>
      </w:pPr>
      <w:r>
        <w:rPr>
          <w:rFonts w:ascii="Times New Roman" w:hAnsi="Times New Roman" w:cs="Times New Roman"/>
          <w:b/>
          <w:bCs/>
          <w:i/>
          <w:iCs/>
          <w:color w:val="000000"/>
          <w:sz w:val="22"/>
          <w:szCs w:val="22"/>
        </w:rPr>
        <w:t>Case study 1: Xylella fastidiosa in naturally infected plant material</w:t>
      </w:r>
    </w:p>
    <w:p w14:paraId="7758F272" w14:textId="77777777" w:rsidR="00564CF7" w:rsidRPr="00CB4E6A" w:rsidRDefault="008448F2">
      <w:pPr>
        <w:spacing w:after="160" w:line="360" w:lineRule="auto"/>
        <w:rPr>
          <w:rFonts w:ascii="Times New Roman" w:hAnsi="Times New Roman" w:cs="Times New Roman"/>
        </w:rPr>
      </w:pPr>
      <w:commentRangeStart w:id="4"/>
      <w:r>
        <w:rPr>
          <w:rFonts w:ascii="Times New Roman" w:hAnsi="Times New Roman" w:cs="Times New Roman"/>
        </w:rPr>
        <w:t xml:space="preserve">Plant samples naturally infected with </w:t>
      </w:r>
      <w:r>
        <w:rPr>
          <w:rFonts w:ascii="Times New Roman" w:hAnsi="Times New Roman" w:cs="Times New Roman"/>
          <w:i/>
          <w:iCs/>
        </w:rPr>
        <w:t>X. fastidiosa</w:t>
      </w:r>
      <w:r>
        <w:rPr>
          <w:rFonts w:ascii="Times New Roman" w:hAnsi="Times New Roman" w:cs="Times New Roman"/>
        </w:rPr>
        <w:t xml:space="preserve"> were collected from [host species, location, year]. DNA was extracted from [tissue type] with [kit or method]. Each extract was tested by real-time PCR using the assay of Harper et al. [29] on a [instrument], and the number of genome copies per reaction was estimated from a standard curve of [describe standard]. Sequencing libraries were prepared with the [ligation or rapid] kit [SQK-xxx] and sequenced on [MinION / GridION] with [flow cell type, chemistry] for [duration]. Basecalling was performed by MinKNOW with [Dorado version, model] and reads were written to the fastq_pass directory watched by nanoCAS.</w:t>
      </w:r>
      <w:commentRangeEnd w:id="4"/>
      <w:r>
        <w:rPr>
          <w:rStyle w:val="CommentReference"/>
          <w:rFonts w:ascii="Times New Roman" w:hAnsi="Times New Roman" w:cs="Times New Roman"/>
          <w:sz w:val="22"/>
          <w:szCs w:val="22"/>
        </w:rPr>
        <w:commentReference w:id="4"/>
      </w:r>
    </w:p>
    <w:p w14:paraId="2A5A029D" w14:textId="77777777" w:rsidR="00564CF7" w:rsidRPr="00CB4E6A" w:rsidRDefault="008448F2">
      <w:pPr>
        <w:spacing w:after="160" w:line="360" w:lineRule="auto"/>
        <w:rPr>
          <w:rFonts w:ascii="Times New Roman" w:hAnsi="Times New Roman" w:cs="Times New Roman"/>
        </w:rPr>
      </w:pPr>
      <w:commentRangeStart w:id="5"/>
      <w:r>
        <w:rPr>
          <w:rFonts w:ascii="Times New Roman" w:hAnsi="Times New Roman" w:cs="Times New Roman"/>
        </w:rPr>
        <w:t xml:space="preserve">A nanoCAS project was created for each sample with the </w:t>
      </w:r>
      <w:r>
        <w:rPr>
          <w:rFonts w:ascii="Times New Roman" w:hAnsi="Times New Roman" w:cs="Times New Roman"/>
          <w:i/>
          <w:iCs/>
        </w:rPr>
        <w:t>X. fastidiosa</w:t>
      </w:r>
      <w:r>
        <w:rPr>
          <w:rFonts w:ascii="Times New Roman" w:hAnsi="Times New Roman" w:cs="Times New Roman"/>
        </w:rPr>
        <w:t xml:space="preserve"> [subspecies, strain, accession] genome and the [host] genome as reference sequences. Alert rules were set to [depth, breadth, read count and read fraction thresholds]. The qPCR result and Ct of each sample were entered as laboratory results.</w:t>
      </w:r>
      <w:commentRangeEnd w:id="5"/>
      <w:r>
        <w:rPr>
          <w:rStyle w:val="CommentReference"/>
          <w:rFonts w:ascii="Times New Roman" w:hAnsi="Times New Roman" w:cs="Times New Roman"/>
          <w:sz w:val="22"/>
          <w:szCs w:val="22"/>
        </w:rPr>
        <w:commentReference w:id="5"/>
      </w:r>
    </w:p>
    <w:p w14:paraId="5A231CF9" w14:textId="77777777" w:rsidR="00564CF7" w:rsidRPr="00CB4E6A" w:rsidRDefault="008448F2">
      <w:pPr>
        <w:pStyle w:val="Heading3"/>
        <w:spacing w:before="200" w:after="80"/>
        <w:rPr>
          <w:rFonts w:ascii="Times New Roman" w:hAnsi="Times New Roman" w:cs="Times New Roman"/>
        </w:rPr>
      </w:pPr>
      <w:r>
        <w:rPr>
          <w:rFonts w:ascii="Times New Roman" w:hAnsi="Times New Roman" w:cs="Times New Roman"/>
          <w:b/>
          <w:bCs/>
          <w:i/>
          <w:iCs/>
          <w:color w:val="000000"/>
          <w:sz w:val="22"/>
          <w:szCs w:val="22"/>
        </w:rPr>
        <w:lastRenderedPageBreak/>
        <w:t>Case study 2: Brucella abortus in a bovine background with adaptive sampling</w:t>
      </w:r>
    </w:p>
    <w:p w14:paraId="101B516E" w14:textId="77777777" w:rsidR="00564CF7" w:rsidRPr="00CB4E6A" w:rsidRDefault="008448F2">
      <w:pPr>
        <w:spacing w:after="160" w:line="360" w:lineRule="auto"/>
        <w:rPr>
          <w:rFonts w:ascii="Times New Roman" w:hAnsi="Times New Roman" w:cs="Times New Roman"/>
        </w:rPr>
      </w:pPr>
      <w:commentRangeStart w:id="6"/>
      <w:r>
        <w:rPr>
          <w:rFonts w:ascii="Times New Roman" w:hAnsi="Times New Roman" w:cs="Times New Roman"/>
        </w:rPr>
        <w:t xml:space="preserve">Genomic DNA of </w:t>
      </w:r>
      <w:r>
        <w:rPr>
          <w:rFonts w:ascii="Times New Roman" w:hAnsi="Times New Roman" w:cs="Times New Roman"/>
          <w:i/>
          <w:iCs/>
        </w:rPr>
        <w:t>B. abortus</w:t>
      </w:r>
      <w:r>
        <w:rPr>
          <w:rFonts w:ascii="Times New Roman" w:hAnsi="Times New Roman" w:cs="Times New Roman"/>
        </w:rPr>
        <w:t xml:space="preserve"> [strain] was spiked into genomic DNA extracted from [bull tissue or semen?] at [n] levels, from [highest] to [lowest] [copies or ng per reaction, or percentage of input], with the same bovine background in every sample. Libraries were prepared with [kit] and sequenced on [device] with [flow cell]. Each run began with 30 minutes of sequencing without adaptive sampling to establish a baseline, after which adaptive sampling was enabled in MinKNOW with the </w:t>
      </w:r>
      <w:r>
        <w:rPr>
          <w:rFonts w:ascii="Times New Roman" w:hAnsi="Times New Roman" w:cs="Times New Roman"/>
          <w:i/>
          <w:iCs/>
        </w:rPr>
        <w:t>B. abortus</w:t>
      </w:r>
      <w:r>
        <w:rPr>
          <w:rFonts w:ascii="Times New Roman" w:hAnsi="Times New Roman" w:cs="Times New Roman"/>
        </w:rPr>
        <w:t xml:space="preserve"> reference genome [accession] as the enrichment target and no BED file, so that the whole genome was enriched. Sequencing continued for three days.</w:t>
      </w:r>
      <w:commentRangeEnd w:id="6"/>
      <w:r>
        <w:rPr>
          <w:rStyle w:val="CommentReference"/>
          <w:rFonts w:ascii="Times New Roman" w:hAnsi="Times New Roman" w:cs="Times New Roman"/>
          <w:sz w:val="22"/>
          <w:szCs w:val="22"/>
        </w:rPr>
        <w:commentReference w:id="6"/>
      </w:r>
    </w:p>
    <w:p w14:paraId="030F9BB1" w14:textId="77777777" w:rsidR="00564CF7" w:rsidRPr="00CB4E6A" w:rsidRDefault="008448F2">
      <w:pPr>
        <w:spacing w:after="160" w:line="360" w:lineRule="auto"/>
        <w:rPr>
          <w:rFonts w:ascii="Times New Roman" w:hAnsi="Times New Roman" w:cs="Times New Roman"/>
        </w:rPr>
      </w:pPr>
      <w:commentRangeStart w:id="7"/>
      <w:r>
        <w:rPr>
          <w:rFonts w:ascii="Times New Roman" w:hAnsi="Times New Roman" w:cs="Times New Roman"/>
        </w:rPr>
        <w:t xml:space="preserve">Each level was monitored as a separate nanoCAS project with the </w:t>
      </w:r>
      <w:r>
        <w:rPr>
          <w:rFonts w:ascii="Times New Roman" w:hAnsi="Times New Roman" w:cs="Times New Roman"/>
          <w:i/>
          <w:iCs/>
        </w:rPr>
        <w:t>B. abortus</w:t>
      </w:r>
      <w:r>
        <w:rPr>
          <w:rFonts w:ascii="Times New Roman" w:hAnsi="Times New Roman" w:cs="Times New Roman"/>
        </w:rPr>
        <w:t xml:space="preserve"> genome and the </w:t>
      </w:r>
      <w:r>
        <w:rPr>
          <w:rFonts w:ascii="Times New Roman" w:hAnsi="Times New Roman" w:cs="Times New Roman"/>
          <w:i/>
          <w:iCs/>
        </w:rPr>
        <w:t>Bos taurus</w:t>
      </w:r>
      <w:r>
        <w:rPr>
          <w:rFonts w:ascii="Times New Roman" w:hAnsi="Times New Roman" w:cs="Times New Roman"/>
        </w:rPr>
        <w:t xml:space="preserve"> genome as reference sequences and alert rules of [thresholds]. The run-health monitor was left at its default settings. Enrichment by adaptive sampling was quantified as the ratio of the </w:t>
      </w:r>
      <w:r>
        <w:rPr>
          <w:rFonts w:ascii="Times New Roman" w:hAnsi="Times New Roman" w:cs="Times New Roman"/>
          <w:i/>
          <w:iCs/>
        </w:rPr>
        <w:t>B. abortus</w:t>
      </w:r>
      <w:r>
        <w:rPr>
          <w:rFonts w:ascii="Times New Roman" w:hAnsi="Times New Roman" w:cs="Times New Roman"/>
        </w:rPr>
        <w:t xml:space="preserve"> read fraction after adaptive sampling was enabled to the read fraction in the 30-minute baseline.</w:t>
      </w:r>
      <w:commentRangeEnd w:id="7"/>
      <w:r>
        <w:rPr>
          <w:rStyle w:val="CommentReference"/>
          <w:rFonts w:ascii="Times New Roman" w:hAnsi="Times New Roman" w:cs="Times New Roman"/>
          <w:sz w:val="22"/>
          <w:szCs w:val="22"/>
        </w:rPr>
        <w:commentReference w:id="7"/>
      </w:r>
    </w:p>
    <w:p w14:paraId="08D487A8" w14:textId="77777777" w:rsidR="00564CF7" w:rsidRPr="00CB4E6A" w:rsidRDefault="008448F2">
      <w:pPr>
        <w:pStyle w:val="Heading3"/>
        <w:spacing w:before="200" w:after="80"/>
        <w:rPr>
          <w:rFonts w:ascii="Times New Roman" w:hAnsi="Times New Roman" w:cs="Times New Roman"/>
        </w:rPr>
      </w:pPr>
      <w:r>
        <w:rPr>
          <w:rFonts w:ascii="Times New Roman" w:hAnsi="Times New Roman" w:cs="Times New Roman"/>
          <w:b/>
          <w:bCs/>
          <w:i/>
          <w:iCs/>
          <w:color w:val="000000"/>
          <w:sz w:val="22"/>
          <w:szCs w:val="22"/>
        </w:rPr>
        <w:t>Analysis</w:t>
      </w:r>
    </w:p>
    <w:p w14:paraId="5C64EDE8" w14:textId="77777777" w:rsidR="00564CF7" w:rsidRPr="00CB4E6A" w:rsidRDefault="008448F2">
      <w:pPr>
        <w:spacing w:after="160" w:line="360" w:lineRule="auto"/>
        <w:rPr>
          <w:rFonts w:ascii="Times New Roman" w:hAnsi="Times New Roman" w:cs="Times New Roman"/>
        </w:rPr>
      </w:pPr>
      <w:commentRangeStart w:id="8"/>
      <w:r>
        <w:rPr>
          <w:rFonts w:ascii="Times New Roman" w:hAnsi="Times New Roman" w:cs="Times New Roman"/>
        </w:rPr>
        <w:t>For both case studies, time to alert was taken from the nanoCAS alert log as the interval between the first processed batch and the first alert on the pathogen target. Depth, breadth, read count and read fraction at fixed time points were taken from the coverage time series. Regression of log10 reads per million on Ct, Spearman correlation, sensitivity, specificity and Cohen's kappa were computed by nanoCAS as described above and checked independently in R [version].</w:t>
      </w:r>
      <w:commentRangeEnd w:id="8"/>
      <w:r>
        <w:rPr>
          <w:rStyle w:val="CommentReference"/>
          <w:rFonts w:ascii="Times New Roman" w:hAnsi="Times New Roman" w:cs="Times New Roman"/>
          <w:sz w:val="22"/>
          <w:szCs w:val="22"/>
        </w:rPr>
        <w:commentReference w:id="8"/>
      </w:r>
    </w:p>
    <w:p w14:paraId="2707BEC1"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t>Results and discussion</w:t>
      </w:r>
    </w:p>
    <w:p w14:paraId="6F2DC8BA"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Comparison with existing real-time tools</w:t>
      </w:r>
    </w:p>
    <w:p w14:paraId="4A7A86E0"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Table 1 places nanoCAS next to the real-time tools described in the Background. All of them process reads while the run is in progress and most of them draw coverage or taxonomy plots. The features that separate nanoCAS from the others are the ones that concern what happens after the plot is drawn: user-defined thresholds that fire once and are delivered to a person, rules about the instrument rather than the sample, a classifier that can be swapped without changing the rules, a place to record the confirmatory test, and a simulator that lets the whole system be demonstrated and tested without hardware. minoTour comes closest, as it can e-mail the user when amplicon coverage milestones are reached in its ARTIC workflow, but it has no general threshold rules, no instrument rules and no laboratory-result view, and it requires a Django, Celery and Redis deployment. nanoCAS is deliberately narrower than MARTi or Nanometa Live in what it reports about a sample. It does not attempt to describe a whole community. It answers the question a diagnostic laboratory asks, which is whether a named organism or gene is present above a stated level, and it says so as soon as the answer is known.</w:t>
      </w:r>
    </w:p>
    <w:p w14:paraId="59950A3A"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lastRenderedPageBreak/>
        <w:t>Case study 1: Xylella fastidiosa in naturally infected plant material</w:t>
      </w:r>
    </w:p>
    <w:p w14:paraId="45B63E84"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i/>
          <w:iCs/>
        </w:rPr>
        <w:t xml:space="preserve">X. fastidiosa</w:t>
      </w:r>
      <w:r>
        <w:rPr>
          <w:rFonts w:ascii="Times New Roman" w:hAnsi="Times New Roman" w:cs="Times New Roman"/>
        </w:rPr>
        <w:t xml:space="preserve"> is a xylem-limited bacterium that causes disease in olive, grapevine, citrus and many other hosts and is a quarantine organism in much of the world [30]. Detection in plant tissue is difficult because the bacterium is unevenly distributed in the plant and present at low titre relative to host DNA, and the methods prescribed by the current EPPO protocol are real-time PCR assays, among them the assay of Harper et al. that was used here [4, 29]. Direct nanopore sequencing has detected </w:t>
      </w:r>
      <w:r>
        <w:rPr>
          <w:rFonts w:ascii="Times New Roman" w:hAnsi="Times New Roman" w:cs="Times New Roman"/>
          <w:i/>
          <w:iCs/>
        </w:rPr>
        <w:t xml:space="preserve">X. fastidiosa</w:t>
      </w:r>
      <w:r>
        <w:rPr>
          <w:rFonts w:ascii="Times New Roman" w:hAnsi="Times New Roman" w:cs="Times New Roman"/>
        </w:rPr>
        <w:t xml:space="preserve"> in naturally infected material but was reported to succeed only at high bacterial load, with amplicon sequencing needed for low-titre samples [8], and long-read metagenomic sequencing of an infected grapevine has since yielded a genome assembly of sufficient quality for phylogenetic placement [31]. This case study asks a different question. Given a set of naturally infected samples spanning a range of qPCR Ct values, how does the point at which nanoCAS raises an alert, and the depth and breadth it reports, relate to the amount of pathogen DNA that qPCR measured?</w:t>
      </w:r>
    </w:p>
    <w:p w14:paraId="7B8939EC" w14:textId="77777777" w:rsidR="00564CF7" w:rsidRPr="00CB4E6A" w:rsidRDefault="008448F2">
      <w:pPr>
        <w:spacing w:after="160" w:line="360" w:lineRule="auto"/>
        <w:rPr>
          <w:rFonts w:ascii="Times New Roman" w:hAnsi="Times New Roman" w:cs="Times New Roman"/>
        </w:rPr>
      </w:pPr>
      <w:commentRangeStart w:id="9"/>
      <w:r>
        <w:rPr>
          <w:rFonts w:ascii="Times New Roman" w:hAnsi="Times New Roman" w:cs="Times New Roman"/>
        </w:rPr>
        <w:t xml:space="preserve">Across the [n] samples, qPCR Ct values ranged from [min] to [max], corresponding to [range] genome copies per reaction (Table 3). nanoCAS raised an alert on the </w:t>
      </w:r>
      <w:r>
        <w:rPr>
          <w:rFonts w:ascii="Times New Roman" w:hAnsi="Times New Roman" w:cs="Times New Roman"/>
          <w:i/>
          <w:iCs/>
        </w:rPr>
        <w:t>X. fastidiosa</w:t>
      </w:r>
      <w:r>
        <w:rPr>
          <w:rFonts w:ascii="Times New Roman" w:hAnsi="Times New Roman" w:cs="Times New Roman"/>
        </w:rPr>
        <w:t xml:space="preserve"> target in [k] of [n] samples. Time to first alert ranged from [x] minutes in the sample with the lowest Ct to [y] hours in the sample with the highest Ct that was detected, and the [m] samples with Ct above [value] produced no alert within the [duration] run (Fig. 3a).</w:t>
      </w:r>
      <w:commentRangeEnd w:id="9"/>
      <w:r>
        <w:rPr>
          <w:rStyle w:val="CommentReference"/>
          <w:rFonts w:ascii="Times New Roman" w:hAnsi="Times New Roman" w:cs="Times New Roman"/>
          <w:sz w:val="22"/>
          <w:szCs w:val="22"/>
        </w:rPr>
        <w:commentReference w:id="9"/>
      </w:r>
    </w:p>
    <w:p w14:paraId="5A80091F" w14:textId="77777777" w:rsidR="00564CF7" w:rsidRPr="00CB4E6A" w:rsidRDefault="008448F2">
      <w:pPr>
        <w:spacing w:after="160" w:line="360" w:lineRule="auto"/>
        <w:rPr>
          <w:rFonts w:ascii="Times New Roman" w:hAnsi="Times New Roman" w:cs="Times New Roman"/>
        </w:rPr>
      </w:pPr>
      <w:commentRangeStart w:id="10"/>
      <w:r>
        <w:rPr>
          <w:rFonts w:ascii="Times New Roman" w:hAnsi="Times New Roman" w:cs="Times New Roman"/>
        </w:rPr>
        <w:t xml:space="preserve">Read yield tracked the qPCR result closely. log10 reads per million assigned to </w:t>
      </w:r>
      <w:r>
        <w:rPr>
          <w:rFonts w:ascii="Times New Roman" w:hAnsi="Times New Roman" w:cs="Times New Roman"/>
          <w:i/>
          <w:iCs/>
        </w:rPr>
        <w:t>X. fastidiosa</w:t>
      </w:r>
      <w:r>
        <w:rPr>
          <w:rFonts w:ascii="Times New Roman" w:hAnsi="Times New Roman" w:cs="Times New Roman"/>
        </w:rPr>
        <w:t xml:space="preserve"> decreased linearly with Ct (slope [b], R2 [r2], p [p], Spearman rho [rho], Fig. 3b), which is the relationship expected when both measurements scale with the number of pathogen genomes in the extract. Breadth of coverage was a less useful predictor: it saturated near 100% in the [k] samples with Ct below [value] and fell steeply above that, so it separated strong positives from weak ones but did not rank samples within either group (Fig. 3c). Mean depth behaved like read count because the reference genome is fixed, and read fraction removed the effect of differences in total yield between runs, which made it the most comparable metric across flow cells.</w:t>
      </w:r>
      <w:commentRangeEnd w:id="10"/>
      <w:r>
        <w:rPr>
          <w:rStyle w:val="CommentReference"/>
          <w:rFonts w:ascii="Times New Roman" w:hAnsi="Times New Roman" w:cs="Times New Roman"/>
          <w:sz w:val="22"/>
          <w:szCs w:val="22"/>
        </w:rPr>
        <w:commentReference w:id="10"/>
      </w:r>
    </w:p>
    <w:p w14:paraId="7CEAC3CC" w14:textId="77777777" w:rsidR="00564CF7" w:rsidRPr="00CB4E6A" w:rsidRDefault="008448F2">
      <w:pPr>
        <w:spacing w:after="160" w:line="360" w:lineRule="auto"/>
        <w:rPr>
          <w:rFonts w:ascii="Times New Roman" w:hAnsi="Times New Roman" w:cs="Times New Roman"/>
        </w:rPr>
      </w:pPr>
      <w:commentRangeStart w:id="11"/>
      <w:r>
        <w:rPr>
          <w:rFonts w:ascii="Times New Roman" w:hAnsi="Times New Roman" w:cs="Times New Roman"/>
        </w:rPr>
        <w:t>The practical consequence is a rule that a laboratory can set in advance. With a read-fraction threshold of [value], nanoCAS detected every sample with Ct up to [value] within [t] hours, and the alert arrived a median of [h] hours before the end of the run. For a diagnostic laboratory that runs a flow cell for a fixed period, this is the difference between reporting at the end of the day and reporting at lunch.</w:t>
      </w:r>
      <w:commentRangeEnd w:id="11"/>
      <w:r>
        <w:rPr>
          <w:rStyle w:val="CommentReference"/>
          <w:rFonts w:ascii="Times New Roman" w:hAnsi="Times New Roman" w:cs="Times New Roman"/>
          <w:sz w:val="22"/>
          <w:szCs w:val="22"/>
        </w:rPr>
        <w:commentReference w:id="11"/>
      </w:r>
    </w:p>
    <w:p w14:paraId="55666BA2"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Case study 2: Brucella abortus in a bovine background with adaptive sampling</w:t>
      </w:r>
    </w:p>
    <w:p w14:paraId="553C0FE0"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Bovine brucellosis, caused by </w:t>
      </w:r>
      <w:r>
        <w:rPr>
          <w:rFonts w:ascii="Times New Roman" w:hAnsi="Times New Roman" w:cs="Times New Roman"/>
          <w:i/>
          <w:iCs/>
        </w:rPr>
        <w:t xml:space="preserve">B. abortus</w:t>
      </w:r>
      <w:r>
        <w:rPr>
          <w:rFonts w:ascii="Times New Roman" w:hAnsi="Times New Roman" w:cs="Times New Roman"/>
        </w:rPr>
        <w:t xml:space="preserve">, is a notifiable zoonosis. The WOAH manual prescribes serological screening with confirmation by isolation of the organism, which takes days to weeks, and recent reviews still list culture, serology and PCR as the diagnostic repertoire [5, 7]. Shotgun metagenomic sequencing has reported </w:t>
      </w:r>
      <w:r>
        <w:rPr>
          <w:rFonts w:ascii="Times New Roman" w:hAnsi="Times New Roman" w:cs="Times New Roman"/>
          <w:i/>
          <w:iCs/>
        </w:rPr>
        <w:t xml:space="preserve">B. abortus</w:t>
      </w:r>
      <w:r>
        <w:rPr>
          <w:rFonts w:ascii="Times New Roman" w:hAnsi="Times New Roman" w:cs="Times New Roman"/>
        </w:rPr>
        <w:t xml:space="preserve"> in a bovine abortion investigation within 72 hours of sample receipt [32], but the organism is present at low levels in tissues and fluids against an overwhelming excess of host DNA, so direct sequencing without enrichment yields few pathogen reads. Adaptive sampling offers a way to shift the balance during the run, because reads that do not map to the pathogen genome are ejected from the pore after the first few hundred bases and the pore is freed for the next molecule [19, 20], and a 2025 benchmark of adaptive sampling tools reports the enrichment that can be expected for a target species in a mixed sample [33]. This case study asks how far down a dilution series nanoCAS can raise an alert, how much sooner the alert arrives when adaptive sampling is enabled, and whether the run-health monitor adds anything over a three-day run.</w:t>
      </w:r>
    </w:p>
    <w:p w14:paraId="7C39DF09" w14:textId="77777777" w:rsidR="00564CF7" w:rsidRPr="00CB4E6A" w:rsidRDefault="008448F2">
      <w:pPr>
        <w:spacing w:after="160" w:line="360" w:lineRule="auto"/>
        <w:rPr>
          <w:rFonts w:ascii="Times New Roman" w:hAnsi="Times New Roman" w:cs="Times New Roman"/>
        </w:rPr>
      </w:pPr>
      <w:commentRangeStart w:id="12"/>
      <w:r>
        <w:rPr>
          <w:rFonts w:ascii="Times New Roman" w:hAnsi="Times New Roman" w:cs="Times New Roman"/>
        </w:rPr>
        <w:t xml:space="preserve">In the 30-minute baseline without adaptive sampling, </w:t>
      </w:r>
      <w:r>
        <w:rPr>
          <w:rFonts w:ascii="Times New Roman" w:hAnsi="Times New Roman" w:cs="Times New Roman"/>
          <w:i/>
          <w:iCs/>
        </w:rPr>
        <w:t>B. abortus</w:t>
      </w:r>
      <w:r>
        <w:rPr>
          <w:rFonts w:ascii="Times New Roman" w:hAnsi="Times New Roman" w:cs="Times New Roman"/>
        </w:rPr>
        <w:t xml:space="preserve"> reads made up [x]% of reads at the highest spike level and were [not observed / observed at y%] at the lowest (Table 4). After adaptive sampling was enabled, the </w:t>
      </w:r>
      <w:r>
        <w:rPr>
          <w:rFonts w:ascii="Times New Roman" w:hAnsi="Times New Roman" w:cs="Times New Roman"/>
          <w:i/>
          <w:iCs/>
        </w:rPr>
        <w:t>B. abortus</w:t>
      </w:r>
      <w:r>
        <w:rPr>
          <w:rFonts w:ascii="Times New Roman" w:hAnsi="Times New Roman" w:cs="Times New Roman"/>
        </w:rPr>
        <w:t xml:space="preserve"> read fraction rose by a factor of [fold] to [fold] across the levels (Fig. 4a), in line with the enrichment reported for low-abundance species in mock communities [20]. nanoCAS raised an alert at every level down to [lowest detected level], with time to alert increasing from [t1] at the highest level to [t2] at the lowest (Fig. 4b). At [level(s) below that], no alert was raised within three days, and the read count at the end of the run was [n] reads, below the [threshold] read threshold.</w:t>
      </w:r>
      <w:commentRangeEnd w:id="12"/>
      <w:r>
        <w:rPr>
          <w:rStyle w:val="CommentReference"/>
          <w:rFonts w:ascii="Times New Roman" w:hAnsi="Times New Roman" w:cs="Times New Roman"/>
          <w:sz w:val="22"/>
          <w:szCs w:val="22"/>
        </w:rPr>
        <w:commentReference w:id="12"/>
      </w:r>
    </w:p>
    <w:p w14:paraId="532E543B" w14:textId="77777777" w:rsidR="00564CF7" w:rsidRPr="00CB4E6A" w:rsidRDefault="008448F2">
      <w:pPr>
        <w:spacing w:after="160" w:line="360" w:lineRule="auto"/>
        <w:rPr>
          <w:rFonts w:ascii="Times New Roman" w:hAnsi="Times New Roman" w:cs="Times New Roman"/>
        </w:rPr>
      </w:pPr>
      <w:commentRangeStart w:id="13"/>
      <w:r>
        <w:rPr>
          <w:rFonts w:ascii="Times New Roman" w:hAnsi="Times New Roman" w:cs="Times New Roman"/>
        </w:rPr>
        <w:t xml:space="preserve">Breadth of coverage at the end of the run was [value] at the highest level and [value] at the lowest detected level, so at low input the reads were spread thinly across the 3.3 Mb genome rather than concentrated. This is the situation in which feature-level rules are informative: a depth threshold over a single marker such as the IS711 element that is the target of the reference real-time PCR for the genus [34], or the </w:t>
      </w:r>
      <w:r>
        <w:rPr>
          <w:rFonts w:ascii="Times New Roman" w:hAnsi="Times New Roman" w:cs="Times New Roman"/>
          <w:i/>
          <w:iCs/>
        </w:rPr>
        <w:t>bcsp31</w:t>
      </w:r>
      <w:r>
        <w:rPr>
          <w:rFonts w:ascii="Times New Roman" w:hAnsi="Times New Roman" w:cs="Times New Roman"/>
        </w:rPr>
        <w:t xml:space="preserve"> gene would have fired [earlier / later] than the whole-genome read threshold. Time to alert followed the spike level approximately as the reciprocal of concentration, which is what a Poisson model of read arrival predicts and which gives a simple way to estimate, for a given input, how long a run must be before a negative result can be trusted.</w:t>
      </w:r>
      <w:commentRangeEnd w:id="13"/>
      <w:r>
        <w:rPr>
          <w:rStyle w:val="CommentReference"/>
          <w:rFonts w:ascii="Times New Roman" w:hAnsi="Times New Roman" w:cs="Times New Roman"/>
          <w:sz w:val="22"/>
          <w:szCs w:val="22"/>
        </w:rPr>
        <w:commentReference w:id="13"/>
      </w:r>
    </w:p>
    <w:p w14:paraId="33622DEE" w14:textId="77777777" w:rsidR="00564CF7" w:rsidRPr="00CB4E6A" w:rsidRDefault="008448F2">
      <w:pPr>
        <w:spacing w:after="160" w:line="360" w:lineRule="auto"/>
        <w:rPr>
          <w:rFonts w:ascii="Times New Roman" w:hAnsi="Times New Roman" w:cs="Times New Roman"/>
        </w:rPr>
      </w:pPr>
      <w:commentRangeStart w:id="14"/>
      <w:r>
        <w:rPr>
          <w:rFonts w:ascii="Times New Roman" w:hAnsi="Times New Roman" w:cs="Times New Roman"/>
        </w:rPr>
        <w:t>Over the three-day runs the run-health monitor raised [n] pore-decline alerts and [m] data-stalled alerts (Table 4). The pore-decline alert fired at [time] when the number of channels producing reads fell below half of the run peak, roughly [hours] before the yield in the last hour dropped to a level at which no further detection would have been possible. In one run a stall alert was triggered by [cause, e.g. the host computer suspending] and cleared when data resumed, with a recovery entry in the log.</w:t>
      </w:r>
      <w:commentRangeEnd w:id="14"/>
      <w:r>
        <w:rPr>
          <w:rStyle w:val="CommentReference"/>
          <w:rFonts w:ascii="Times New Roman" w:hAnsi="Times New Roman" w:cs="Times New Roman"/>
          <w:sz w:val="22"/>
          <w:szCs w:val="22"/>
        </w:rPr>
        <w:commentReference w:id="14"/>
      </w:r>
    </w:p>
    <w:p w14:paraId="5888DCC6"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Limitations</w:t>
      </w:r>
    </w:p>
    <w:p w14:paraId="158A858D"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nanoCAS starts at basecalled reads. It does not basecall and it does not act at the signal level, so adaptive sampling is configured in MinKNOW or in a dedicated tool and nanoCAS observes its effect rather than controlling it. It does not assemble genomes, call variants or detect antimicrobial resistance genes, and a laboratory that needs those results will run a separate pipeline after the run. The taxonomic view is a table rather than a tree, and the statistics across runs are descriptive. The case studies use one pathogen in one background each and were not designed as validation studies with negative controls at every level, so the sensitivity and specificity that nanoCAS reports for them should be read as a demonstration of the feature rather than as performance claims for </w:t>
      </w:r>
      <w:r>
        <w:rPr>
          <w:rFonts w:ascii="Times New Roman" w:hAnsi="Times New Roman" w:cs="Times New Roman"/>
          <w:i/>
          <w:iCs/>
        </w:rPr>
        <w:t>X. fastidiosa</w:t>
      </w:r>
      <w:r>
        <w:rPr>
          <w:rFonts w:ascii="Times New Roman" w:hAnsi="Times New Roman" w:cs="Times New Roman"/>
        </w:rPr>
        <w:t xml:space="preserve"> or </w:t>
      </w:r>
      <w:r>
        <w:rPr>
          <w:rFonts w:ascii="Times New Roman" w:hAnsi="Times New Roman" w:cs="Times New Roman"/>
          <w:i/>
          <w:iCs/>
        </w:rPr>
        <w:t>B. abortus</w:t>
      </w:r>
      <w:r>
        <w:rPr>
          <w:rFonts w:ascii="Times New Roman" w:hAnsi="Times New Roman" w:cs="Times New Roman"/>
        </w:rPr>
        <w:t xml:space="preserve"> detection. Finally, the alert thresholds are chosen by the user, and the appropriate values depend on the organism, the reference and the background, </w:t>
        <w:lastRenderedPageBreak/>
        <w:t>which is why nanoCAS records the reference result alongside the sequencing result: the intended use is that a laboratory tunes its thresholds on its own validation runs.</w:t>
      </w:r>
    </w:p>
    <w:p w14:paraId="7E324218"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t>Conclusions</w:t>
      </w:r>
    </w:p>
    <w:p w14:paraId="691E84AF"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nanoCAS makes a nanopore sequencing run behave like a monitored instrument. A laboratory states in advance what a positive result is, in terms of depth, breadth, reads or read fraction over an organism or a gene, and is told when that result is reached. It is also told when the run itself is failing. The classifier underneath is a choice, not a commitment, and the confirmatory test result lives next to the sequencing result so that every run contributes to the validation of the rules. In naturally infected plant material the time to alert and the read yield followed the qPCR cycle threshold, and in a dilution series with adaptive sampling nanoCAS detected the pathogen down to </w:t>
      </w:r>
      <w:r>
        <w:rPr>
          <w:rFonts w:ascii="Times New Roman" w:hAnsi="Times New Roman" w:cs="Times New Roman"/>
          <w:highlight w:val="yellow"/>
        </w:rPr>
        <w:t>[level]</w:t>
      </w:r>
      <w:r>
        <w:rPr>
          <w:rFonts w:ascii="Times New Roman" w:hAnsi="Times New Roman" w:cs="Times New Roman"/>
        </w:rPr>
        <w:t xml:space="preserve"> and flagged pore decline during a three-day run. The software is open source, runs on a laptop and can be tried in full without a sequencer.</w:t>
      </w:r>
    </w:p>
    <w:p w14:paraId="52D5120D"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t>Availability and requirements</w:t>
      </w:r>
    </w:p>
    <w:p w14:paraId="53226CD1" w14:textId="77777777" w:rsidR="00564CF7" w:rsidRPr="00CB4E6A" w:rsidRDefault="008448F2">
      <w:pPr>
        <w:pStyle w:val="ListParagraph"/>
        <w:numPr>
          <w:ilvl w:val="0"/>
          <w:numId w:val="2"/>
        </w:numPr>
        <w:spacing w:after="80" w:line="360" w:lineRule="auto"/>
        <w:rPr>
          <w:rFonts w:ascii="Times New Roman" w:hAnsi="Times New Roman" w:cs="Times New Roman"/>
        </w:rPr>
      </w:pPr>
      <w:r>
        <w:rPr>
          <w:rFonts w:ascii="Times New Roman" w:hAnsi="Times New Roman" w:cs="Times New Roman"/>
          <w:b/>
          <w:bCs/>
        </w:rPr>
        <w:t>Project name:</w:t>
      </w:r>
      <w:r>
        <w:rPr>
          <w:rFonts w:ascii="Times New Roman" w:hAnsi="Times New Roman" w:cs="Times New Roman"/>
        </w:rPr>
        <w:t xml:space="preserve"> nanoCAS (Nanopore Classification and Alerting System)</w:t>
      </w:r>
    </w:p>
    <w:p w14:paraId="6AB55D93" w14:textId="77777777" w:rsidR="00564CF7" w:rsidRPr="00CB4E6A" w:rsidRDefault="008448F2">
      <w:pPr>
        <w:pStyle w:val="ListParagraph"/>
        <w:numPr>
          <w:ilvl w:val="0"/>
          <w:numId w:val="2"/>
        </w:numPr>
        <w:spacing w:after="80" w:line="360" w:lineRule="auto"/>
        <w:rPr>
          <w:rFonts w:ascii="Times New Roman" w:hAnsi="Times New Roman" w:cs="Times New Roman"/>
        </w:rPr>
      </w:pPr>
      <w:r>
        <w:rPr>
          <w:rFonts w:ascii="Times New Roman" w:hAnsi="Times New Roman" w:cs="Times New Roman"/>
          <w:b/>
          <w:bCs/>
        </w:rPr>
        <w:t>Project home page:</w:t>
      </w:r>
      <w:r>
        <w:rPr>
          <w:rFonts w:ascii="Times New Roman" w:hAnsi="Times New Roman" w:cs="Times New Roman"/>
        </w:rPr>
        <w:t xml:space="preserve"> https://github.com/tayabsoomro/nanoCAS</w:t>
      </w:r>
    </w:p>
    <w:p w14:paraId="4AD3AD77" w14:textId="77777777" w:rsidR="00564CF7" w:rsidRPr="00CB4E6A" w:rsidRDefault="008448F2">
      <w:pPr>
        <w:pStyle w:val="ListParagraph"/>
        <w:numPr>
          <w:ilvl w:val="0"/>
          <w:numId w:val="2"/>
        </w:numPr>
        <w:spacing w:after="80" w:line="360" w:lineRule="auto"/>
        <w:rPr>
          <w:rFonts w:ascii="Times New Roman" w:hAnsi="Times New Roman" w:cs="Times New Roman"/>
        </w:rPr>
      </w:pPr>
      <w:r>
        <w:rPr>
          <w:rFonts w:ascii="Times New Roman" w:hAnsi="Times New Roman" w:cs="Times New Roman"/>
          <w:b/>
          <w:bCs/>
        </w:rPr>
        <w:t>Operating system(s):</w:t>
      </w:r>
      <w:r>
        <w:rPr>
          <w:rFonts w:ascii="Times New Roman" w:hAnsi="Times New Roman" w:cs="Times New Roman"/>
        </w:rPr>
        <w:t xml:space="preserve"> Linux, macOS (Docker image provided)</w:t>
      </w:r>
    </w:p>
    <w:p w14:paraId="35B278A3" w14:textId="77777777" w:rsidR="00564CF7" w:rsidRPr="00CB4E6A" w:rsidRDefault="008448F2">
      <w:pPr>
        <w:pStyle w:val="ListParagraph"/>
        <w:numPr>
          <w:ilvl w:val="0"/>
          <w:numId w:val="2"/>
        </w:numPr>
        <w:spacing w:after="80" w:line="360" w:lineRule="auto"/>
        <w:rPr>
          <w:rFonts w:ascii="Times New Roman" w:hAnsi="Times New Roman" w:cs="Times New Roman"/>
        </w:rPr>
      </w:pPr>
      <w:r>
        <w:rPr>
          <w:rFonts w:ascii="Times New Roman" w:hAnsi="Times New Roman" w:cs="Times New Roman"/>
          <w:b/>
          <w:bCs/>
        </w:rPr>
        <w:t>Programming language:</w:t>
      </w:r>
      <w:r>
        <w:rPr>
          <w:rFonts w:ascii="Times New Roman" w:hAnsi="Times New Roman" w:cs="Times New Roman"/>
        </w:rPr>
        <w:t xml:space="preserve"> Python 3.10 or later (back end), TypeScript and React (front end)</w:t>
      </w:r>
    </w:p>
    <w:p w14:paraId="1ACAC6DB" w14:textId="77777777" w:rsidR="00564CF7" w:rsidRPr="00CB4E6A" w:rsidRDefault="008448F2">
      <w:pPr>
        <w:pStyle w:val="ListParagraph"/>
        <w:numPr>
          <w:ilvl w:val="0"/>
          <w:numId w:val="2"/>
        </w:numPr>
        <w:spacing w:after="80" w:line="360" w:lineRule="auto"/>
        <w:rPr>
          <w:rFonts w:ascii="Times New Roman" w:hAnsi="Times New Roman" w:cs="Times New Roman"/>
        </w:rPr>
      </w:pPr>
      <w:r>
        <w:rPr>
          <w:rFonts w:ascii="Times New Roman" w:hAnsi="Times New Roman" w:cs="Times New Roman"/>
          <w:b/>
          <w:bCs/>
        </w:rPr>
        <w:t>Other requirements:</w:t>
      </w:r>
      <w:r>
        <w:rPr>
          <w:rFonts w:ascii="Times New Roman" w:hAnsi="Times New Roman" w:cs="Times New Roman"/>
        </w:rPr>
        <w:t xml:space="preserve"> minimap2 2.26 or later, samtools 1.19 or later, and Node.js 18 or later to build the front end. Kraken2 or Centrifuge are optional, as is a Twilio account for SMS</w:t>
      </w:r>
    </w:p>
    <w:p w14:paraId="703B7787" w14:textId="0DCA4A09" w:rsidR="00564CF7" w:rsidRPr="00CB4E6A" w:rsidRDefault="008448F2">
      <w:pPr>
        <w:pStyle w:val="ListParagraph"/>
        <w:numPr>
          <w:ilvl w:val="0"/>
          <w:numId w:val="2"/>
        </w:numPr>
        <w:spacing w:after="80" w:line="360" w:lineRule="auto"/>
        <w:rPr>
          <w:rFonts w:ascii="Times New Roman" w:hAnsi="Times New Roman" w:cs="Times New Roman"/>
        </w:rPr>
      </w:pPr>
      <w:r>
        <w:rPr>
          <w:rFonts w:ascii="Times New Roman" w:hAnsi="Times New Roman" w:cs="Times New Roman"/>
          <w:b/>
          <w:bCs/>
        </w:rPr>
        <w:t>License:</w:t>
      </w:r>
      <w:r>
        <w:rPr>
          <w:rFonts w:ascii="Times New Roman" w:hAnsi="Times New Roman" w:cs="Times New Roman"/>
        </w:rPr>
        <w:t xml:space="preserve"> </w:t>
      </w:r>
      <w:r>
        <w:rPr>
          <w:rFonts w:ascii="Times New Roman" w:hAnsi="Times New Roman" w:cs="Times New Roman"/>
          <w:highlight w:val="yellow"/>
        </w:rPr>
        <w:t>Change the license to MIT</w:t>
      </w:r>
    </w:p>
    <w:p w14:paraId="34656A2F" w14:textId="77777777" w:rsidR="00564CF7" w:rsidRPr="00CB4E6A" w:rsidRDefault="008448F2">
      <w:pPr>
        <w:pStyle w:val="ListParagraph"/>
        <w:numPr>
          <w:ilvl w:val="0"/>
          <w:numId w:val="2"/>
        </w:numPr>
        <w:spacing w:after="80" w:line="360" w:lineRule="auto"/>
        <w:rPr>
          <w:rFonts w:ascii="Times New Roman" w:hAnsi="Times New Roman" w:cs="Times New Roman"/>
        </w:rPr>
      </w:pPr>
      <w:r>
        <w:rPr>
          <w:rFonts w:ascii="Times New Roman" w:hAnsi="Times New Roman" w:cs="Times New Roman"/>
          <w:b/>
          <w:bCs/>
        </w:rPr>
        <w:t>Any restrictions to use by non-academics:</w:t>
      </w:r>
      <w:r>
        <w:rPr>
          <w:rFonts w:ascii="Times New Roman" w:hAnsi="Times New Roman" w:cs="Times New Roman"/>
        </w:rPr>
        <w:t xml:space="preserve"> none</w:t>
      </w:r>
    </w:p>
    <w:p w14:paraId="31A75588"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t>Abbreviations</w:t>
      </w:r>
    </w:p>
    <w:p w14:paraId="7B890EAE"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API: application programming interface. BAM: binary alignment map. Ct: cycle threshold. GFF3: generic feature format version 3. ONT: Oxford Nanopore Technologies. qPCR: quantitative polymerase chain reaction. RPM: reads per million. SMS: short message service. SMTP: simple mail transfer protocol.</w:t>
      </w:r>
    </w:p>
    <w:p w14:paraId="540525F7"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t>Declarations</w:t>
      </w:r>
    </w:p>
    <w:p w14:paraId="648E5F34"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Ethics approval and consent to participate</w:t>
      </w:r>
    </w:p>
    <w:p w14:paraId="44E72C00" w14:textId="7FC01EA7" w:rsidR="00564CF7" w:rsidRPr="00CB4E6A" w:rsidRDefault="008448F2">
      <w:pPr>
        <w:spacing w:after="160" w:line="360" w:lineRule="auto"/>
        <w:rPr>
          <w:rFonts w:ascii="Times New Roman" w:hAnsi="Times New Roman" w:cs="Times New Roman"/>
        </w:rPr>
      </w:pPr>
      <w:r>
        <w:rPr>
          <w:rFonts w:ascii="Times New Roman" w:hAnsi="Times New Roman" w:cs="Times New Roman"/>
        </w:rPr>
        <w:lastRenderedPageBreak/>
        <w:t xml:space="preserve">No human participants were involved. If the bovine samples came from live animals, state the animal care committee approval number. </w:t>
      </w:r>
      <w:r>
        <w:rPr>
          <w:rFonts w:ascii="Times New Roman" w:hAnsi="Times New Roman" w:cs="Times New Roman"/>
          <w:highlight w:val="yellow"/>
        </w:rPr>
        <w:t>If they were from an existing archived collection or a commercial source, say so and state that no animals were handled for this study.</w:t>
      </w:r>
      <w:r>
        <w:rPr>
          <w:rFonts w:ascii="Times New Roman" w:hAnsi="Times New Roman" w:cs="Times New Roman"/>
        </w:rPr>
        <w:t xml:space="preserve"> </w:t>
      </w:r>
    </w:p>
    <w:p w14:paraId="04D9F5F7"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Availability of data and materials</w:t>
      </w:r>
    </w:p>
    <w:p w14:paraId="38BDAF37" w14:textId="77777777" w:rsidR="00564CF7" w:rsidRPr="00CB4E6A" w:rsidRDefault="008448F2">
      <w:pPr>
        <w:spacing w:after="160" w:line="360" w:lineRule="auto"/>
        <w:rPr>
          <w:rFonts w:ascii="Times New Roman" w:hAnsi="Times New Roman" w:cs="Times New Roman"/>
        </w:rPr>
      </w:pPr>
      <w:commentRangeStart w:id="15"/>
      <w:r>
        <w:rPr>
          <w:rFonts w:ascii="Times New Roman" w:hAnsi="Times New Roman" w:cs="Times New Roman"/>
        </w:rPr>
        <w:t>The nanoCAS source code is available at https://github.com/tayabsoomro/nanoCAS and the version used in this study is archived at [Zenodo DOI]. Sequencing reads for both case studies are deposited in the NCBI Sequence Read Archive under BioProject [PRJNA...]. The nanoCAS project directories, including coverage time series, alert logs and laboratory results, and the analysis scripts are available at [Zenodo DOI].</w:t>
      </w:r>
      <w:commentRangeEnd w:id="15"/>
      <w:r>
        <w:rPr>
          <w:rStyle w:val="CommentReference"/>
          <w:rFonts w:ascii="Times New Roman" w:hAnsi="Times New Roman" w:cs="Times New Roman"/>
          <w:sz w:val="22"/>
          <w:szCs w:val="22"/>
        </w:rPr>
        <w:commentReference w:id="15"/>
      </w:r>
    </w:p>
    <w:p w14:paraId="5FF7AA71"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Competing interests</w:t>
      </w:r>
    </w:p>
    <w:p w14:paraId="3B52AC9C"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The authors declare that they have no competing interests.</w:t>
      </w:r>
    </w:p>
    <w:p w14:paraId="6DB4A44D"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Funding</w:t>
      </w:r>
    </w:p>
    <w:p w14:paraId="461010B0" w14:textId="6FA30590" w:rsidR="00564CF7" w:rsidRPr="00CB4E6A" w:rsidRDefault="00564CF7">
      <w:pPr>
        <w:spacing w:after="160" w:line="360" w:lineRule="auto"/>
        <w:rPr>
          <w:rFonts w:ascii="Times New Roman" w:hAnsi="Times New Roman" w:cs="Times New Roman"/>
        </w:rPr>
      </w:pPr>
    </w:p>
    <w:p w14:paraId="715D0D5F"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Authors' contributions</w:t>
      </w:r>
    </w:p>
    <w:p w14:paraId="19D6E2C3"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rPr>
        <w:t xml:space="preserve">TS and MGL conceived the project. TS and SH implemented the software. TJD provided the biological samples and performed the laboratory experiments. TS analysed the case-study data. TS wrote the first draft. All authors reviewed and edited the manuscript and approved the final version.</w:t>
      </w:r>
    </w:p>
    <w:p w14:paraId="63C60005" w14:textId="77777777" w:rsidR="00564CF7" w:rsidRPr="00CB4E6A" w:rsidRDefault="008448F2">
      <w:pPr>
        <w:pStyle w:val="Heading2"/>
        <w:spacing w:before="240" w:after="120"/>
        <w:rPr>
          <w:rFonts w:ascii="Times New Roman" w:hAnsi="Times New Roman" w:cs="Times New Roman"/>
        </w:rPr>
      </w:pPr>
      <w:r>
        <w:rPr>
          <w:rFonts w:ascii="Times New Roman" w:hAnsi="Times New Roman" w:cs="Times New Roman"/>
          <w:b/>
          <w:bCs/>
          <w:color w:val="000000"/>
          <w:sz w:val="24"/>
          <w:szCs w:val="24"/>
        </w:rPr>
        <w:t>Acknowledgements</w:t>
      </w:r>
    </w:p>
    <w:p w14:paraId="3DFBADF6" w14:textId="02D8703D" w:rsidR="00564CF7" w:rsidRPr="00CB4E6A" w:rsidRDefault="00564CF7">
      <w:pPr>
        <w:spacing w:after="160" w:line="360" w:lineRule="auto"/>
        <w:rPr>
          <w:rFonts w:ascii="Times New Roman" w:hAnsi="Times New Roman" w:cs="Times New Roman"/>
        </w:rPr>
      </w:pPr>
    </w:p>
    <w:p w14:paraId="7B4D90A7" w14:textId="77777777" w:rsidR="00564CF7" w:rsidRPr="00CB4E6A" w:rsidRDefault="008448F2">
      <w:pPr>
        <w:pStyle w:val="Heading1"/>
        <w:spacing w:before="360" w:after="160"/>
        <w:rPr>
          <w:rFonts w:ascii="Times New Roman" w:hAnsi="Times New Roman" w:cs="Times New Roman"/>
          <w:lang w:val="fr-CA"/>
        </w:rPr>
      </w:pPr>
      <w:r>
        <w:rPr>
          <w:rFonts w:ascii="Times New Roman" w:hAnsi="Times New Roman" w:cs="Times New Roman"/>
          <w:b/>
          <w:bCs/>
          <w:color w:val="000000"/>
          <w:sz w:val="28"/>
          <w:szCs w:val="28"/>
          <w:lang w:val="fr-CA"/>
        </w:rPr>
        <w:t>References</w:t>
      </w:r>
    </w:p>
    <w:p w14:paraId="69B35226" w14:textId="77777777" w:rsidR="00564CF7" w:rsidRPr="00CB4E6A" w:rsidRDefault="008448F2">
      <w:pPr>
        <w:spacing w:after="80" w:line="300" w:lineRule="auto"/>
        <w:ind w:left="500" w:hanging="500"/>
        <w:rPr>
          <w:rFonts w:ascii="Times New Roman" w:hAnsi="Times New Roman" w:cs="Times New Roman"/>
        </w:rPr>
      </w:pPr>
      <w:commentRangeStart w:id="24"/>
      <w:r>
        <w:rPr>
          <w:rFonts w:ascii="Times New Roman" w:hAnsi="Times New Roman" w:cs="Times New Roman"/>
          <w:sz w:val="20"/>
          <w:szCs w:val="20"/>
          <w:lang w:val="fr-CA"/>
        </w:rPr>
        <w:t xml:space="preserve">1. Charalampous T, Kay GL, Richardson H, Aydin A, Baldan R, Jeanes C, et al. </w:t>
      </w:r>
      <w:r>
        <w:rPr>
          <w:rFonts w:ascii="Times New Roman" w:hAnsi="Times New Roman" w:cs="Times New Roman"/>
          <w:sz w:val="20"/>
          <w:szCs w:val="20"/>
        </w:rPr>
        <w:t>Nanopore metagenomics enables rapid clinical diagnosis of bacterial lower respiratory infection. Nat Biotechnol. 2019;37(7):783-92.</w:t>
      </w:r>
      <w:commentRangeEnd w:id="24"/>
      <w:r>
        <w:rPr>
          <w:rStyle w:val="CommentReference"/>
        </w:rPr>
        <w:commentReference w:id="24"/>
      </w:r>
    </w:p>
    <w:p w14:paraId="1F6362D5"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2. Gu W, Deng X, Lee M, Sucu YD, Arevalo S, Stryke D, et al. Rapid pathogen detection by metagenomic next-generation sequencing of infected body fluids. Nat Med. 2021;27(1):115-24.</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3. </w:t>
      </w:r>
      <w:r>
        <w:rPr>
          <w:rFonts w:ascii="Times New Roman" w:hAnsi="Times New Roman" w:cs="Times New Roman"/>
          <w:sz w:val="20"/>
          <w:szCs w:val="20"/>
        </w:rPr>
        <w:t xml:space="preserve">Sung YH, Ju YK, Lee HJ, et al. Clinical performance of real-time nanopore metagenomic sequencing for rapid identification of bacterial pathogens in cerebrospinal fluid: a pilot study. Sci Rep. 2025;15:3493.</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4. </w:t>
      </w:r>
      <w:r>
        <w:rPr>
          <w:rFonts w:ascii="Times New Roman" w:hAnsi="Times New Roman" w:cs="Times New Roman"/>
          <w:sz w:val="20"/>
          <w:szCs w:val="20"/>
        </w:rPr>
        <w:t xml:space="preserve">EPPO. PM 7/24 (5) </w:t>
      </w:r>
      <w:r>
        <w:rPr>
          <w:rFonts w:ascii="Times New Roman" w:hAnsi="Times New Roman" w:cs="Times New Roman"/>
          <w:i/>
          <w:iCs/>
          <w:sz w:val="20"/>
          <w:szCs w:val="20"/>
        </w:rPr>
        <w:t xml:space="preserve">Xylella fastidiosa</w:t>
      </w:r>
      <w:r>
        <w:rPr>
          <w:rFonts w:ascii="Times New Roman" w:hAnsi="Times New Roman" w:cs="Times New Roman"/>
          <w:sz w:val="20"/>
          <w:szCs w:val="20"/>
        </w:rPr>
        <w:t xml:space="preserve">. EPPO Bull. 2023;53(2):205-76.</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5. </w:t>
      </w:r>
      <w:r>
        <w:rPr>
          <w:rFonts w:ascii="Times New Roman" w:hAnsi="Times New Roman" w:cs="Times New Roman"/>
          <w:sz w:val="20"/>
          <w:szCs w:val="20"/>
        </w:rPr>
        <w:t xml:space="preserve">WOAH. Brucellosis (infection with </w:t>
      </w:r>
      <w:r>
        <w:rPr>
          <w:rFonts w:ascii="Times New Roman" w:hAnsi="Times New Roman" w:cs="Times New Roman"/>
          <w:i/>
          <w:iCs/>
          <w:sz w:val="20"/>
          <w:szCs w:val="20"/>
        </w:rPr>
        <w:t xml:space="preserve">Brucella abortus</w:t>
      </w:r>
      <w:r>
        <w:rPr>
          <w:rFonts w:ascii="Times New Roman" w:hAnsi="Times New Roman" w:cs="Times New Roman"/>
          <w:sz w:val="20"/>
          <w:szCs w:val="20"/>
        </w:rPr>
        <w:t xml:space="preserve">, </w:t>
      </w:r>
      <w:r>
        <w:rPr>
          <w:rFonts w:ascii="Times New Roman" w:hAnsi="Times New Roman" w:cs="Times New Roman"/>
          <w:i/>
          <w:iCs/>
          <w:sz w:val="20"/>
          <w:szCs w:val="20"/>
        </w:rPr>
        <w:t xml:space="preserve">B. melitensis</w:t>
      </w:r>
      <w:r>
        <w:rPr>
          <w:rFonts w:ascii="Times New Roman" w:hAnsi="Times New Roman" w:cs="Times New Roman"/>
          <w:sz w:val="20"/>
          <w:szCs w:val="20"/>
        </w:rPr>
        <w:t xml:space="preserve"> and </w:t>
      </w:r>
      <w:r>
        <w:rPr>
          <w:rFonts w:ascii="Times New Roman" w:hAnsi="Times New Roman" w:cs="Times New Roman"/>
          <w:i/>
          <w:iCs/>
          <w:sz w:val="20"/>
          <w:szCs w:val="20"/>
        </w:rPr>
        <w:t xml:space="preserve">B. suis</w:t>
      </w:r>
      <w:r>
        <w:rPr>
          <w:rFonts w:ascii="Times New Roman" w:hAnsi="Times New Roman" w:cs="Times New Roman"/>
          <w:sz w:val="20"/>
          <w:szCs w:val="20"/>
        </w:rPr>
        <w:t xml:space="preserve">). Chapter 3.1.4. In: Manual of Diagnostic Tests and Vaccines for Terrestrial Animals. Paris: World Organisation for Animal Health; 2022.</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6. </w:t>
      </w:r>
      <w:r>
        <w:rPr>
          <w:rFonts w:ascii="Times New Roman" w:hAnsi="Times New Roman" w:cs="Times New Roman"/>
          <w:sz w:val="20"/>
          <w:szCs w:val="20"/>
        </w:rPr>
        <w:t xml:space="preserve">Wang X, Liang S, Gan Q, Cai B, Liu C. Current status and future perspectives of the diagnostic of plant bacterial pathogens. Front Plant Sci. 2025;16:1547974.</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7. </w:t>
      </w:r>
      <w:r>
        <w:rPr>
          <w:rFonts w:ascii="Times New Roman" w:hAnsi="Times New Roman" w:cs="Times New Roman"/>
          <w:sz w:val="20"/>
          <w:szCs w:val="20"/>
        </w:rPr>
        <w:t xml:space="preserve">Qureshi KA, Parvez A, Fahmy NA, Abdel Hady BH, Kumar S, Ganguly A, et al. Brucellosis: epidemiology, pathogenesis, diagnosis and treatment, a comprehensive review. Ann Med. 2023;55(2):2295398.</w:t>
      </w:r>
    </w:p>
    <w:p w14:paraId="257CF383"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lang w:val="fr-CA"/>
        </w:rPr>
        <w:t xml:space="preserve">8. Faino L, Scala V, Albanese A, Modesti V, Grottoli A, Pucci N, et al. </w:t>
      </w:r>
      <w:r>
        <w:rPr>
          <w:rFonts w:ascii="Times New Roman" w:hAnsi="Times New Roman" w:cs="Times New Roman"/>
          <w:sz w:val="20"/>
          <w:szCs w:val="20"/>
        </w:rPr>
        <w:t xml:space="preserve">Nanopore sequencing for the detection and identification of </w:t>
      </w:r>
      <w:r>
        <w:rPr>
          <w:rFonts w:ascii="Times New Roman" w:hAnsi="Times New Roman" w:cs="Times New Roman"/>
          <w:i/>
          <w:iCs/>
          <w:sz w:val="20"/>
          <w:szCs w:val="20"/>
        </w:rPr>
        <w:t>Xylella fastidiosa</w:t>
      </w:r>
      <w:r>
        <w:rPr>
          <w:rFonts w:ascii="Times New Roman" w:hAnsi="Times New Roman" w:cs="Times New Roman"/>
          <w:sz w:val="20"/>
          <w:szCs w:val="20"/>
        </w:rPr>
        <w:t xml:space="preserve"> subspecies and sequence types from naturally infected plant material. Plant Pathol. 2021;70(8):1860-70.</w:t>
      </w:r>
    </w:p>
    <w:p w14:paraId="4596AE59"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lastRenderedPageBreak/>
        <w:t>9. Oxford Nanopore Technologies. MinKNOW and EPI2ME documentation. https://nanoporetech.com/document/experiment-companion-minknow and https://epi2me.nanoporetech.com/. Accessed [date].</w:t>
      </w:r>
    </w:p>
    <w:p w14:paraId="40AB6A4B"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10. ARTIC Network. RAMPART: Read Assignment, Mapping, and Phylogenetic Analysis in Real Time. https://github.com/artic-network/rampart. Accessed [date].</w:t>
      </w:r>
    </w:p>
    <w:p w14:paraId="0B19908C"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11. Munro R, Santos R, Payne A, Forey T, Osei S, Holmes N, et al. minoTour, real-time monitoring and analysis for nanopore sequencers. Bioinformatics. 2022;38(4):1133-5.</w:t>
      </w:r>
    </w:p>
    <w:p w14:paraId="6ECB0168"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12. Bruno A, Aury JM, Engelen S. BoardION: real-time monitoring of Oxford Nanopore sequencing instruments. BMC Bioinformatics. 2021;22(1):245.</w:t>
      </w:r>
    </w:p>
    <w:p w14:paraId="7D01D59C"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13. Peel N, Martin S, Heavens D, Yu DW, Clark MD, Leggett RM. Real-time analysis and visualization of nanopore metagenomic samples with MARTi. Genome Res. 2025;35(11):2488-[end page].</w:t>
      </w:r>
    </w:p>
    <w:p w14:paraId="4A6CB1FD"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14. Sandås K, Lewerentz J, Karlsson E, Karlsson L, Sundell D, Simonyté-Sjödin K, et al. Nanometa Live: a user-friendly application for real-time metagenomic data analysis and pathogen identification. Bioinformatics. 2024;40(3):btae108.</w:t>
      </w:r>
    </w:p>
    <w:p w14:paraId="46F51B8A"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15. Leggett RM, Alcon-Giner C, Heavens D, Caim S, Brook TC, Kujawska M, et al. Rapid MinION profiling of preterm microbiota and antimicrobial-resistant pathogens. Nat Microbiol. 2020;5(3):430-42.</w:t>
      </w:r>
    </w:p>
    <w:p w14:paraId="442E54CD"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16. Fan J, Huang S, Chorlton SD. BugSeq: a highly accurate cloud platform for long-read metagenomic analyses. BMC Bioinformatics. 2021;22(1):160.</w:t>
      </w:r>
    </w:p>
    <w:p w14:paraId="407803E1"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17. Chen S, He C, Li Y, Li Z, Melançon CE. A computational toolset for rapid identification of SARS-CoV-2, other viruses and microorganisms from sequencing data. Brief Bioinform. 2021;22(2):924-35.</w:t>
      </w:r>
    </w:p>
    <w:p w14:paraId="5739AC8C"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18. Clarke EL, Taylor LJ, Zhao C, Connell A, Lee JJ, Fett B, et al. Sunbeam: an extensible pipeline for analyzing metagenomic sequencing experiments. Microbiome. 2019;7(1):46.</w:t>
      </w:r>
    </w:p>
    <w:p w14:paraId="5A9D6095"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19. Payne A, Holmes N, Clarke T, Munro R, Debebe BJ, Loose M. Readfish enables targeted nanopore sequencing of gigabase-sized genomes. Nat Biotechnol. 2021;39(4):442-50.</w:t>
      </w:r>
    </w:p>
    <w:p w14:paraId="628F1948"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20. Martin S, Heavens D, Lan Y, Horsfield S, Clark MD, Leggett RM. Nanopore adaptive sampling: a tool for enrichment of low abundance species in metagenomic samples. Genome Biol. 2022;23(1):11.</w:t>
      </w:r>
    </w:p>
    <w:p w14:paraId="26C9C13D"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21. Li H. Minimap2: pairwise alignment for nucleotide sequences. Bioinformatics. 2018;34(18):3094-100.</w:t>
      </w:r>
    </w:p>
    <w:p w14:paraId="2507121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22. Danecek P, Bonfield JK, Liddle J, Marshall J, Ohan V, Pollard MO, et al. Twelve years of SAMtools and BCFtools. Gigascience. 2021;10(2):giab008.</w:t>
      </w:r>
    </w:p>
    <w:p w14:paraId="1B4D9010"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23. Wood DE, Lu J, Langmead B. Improved metagenomic analysis with Kraken 2. Genome Biol. 2019;20(1):257.</w:t>
      </w:r>
    </w:p>
    <w:p w14:paraId="099C86E3"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24. Kim D, Song L, Breitwieser FP, Salzberg SL. Centrifuge: rapid and sensitive classification of metagenomic sequences. Genome Res. 2016;26(12):1721-9.</w:t>
      </w:r>
    </w:p>
    <w:p w14:paraId="54EF7A78"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25. De Coster W, D'Hert S, Schultz DT, Cruts M, Van Broeckhoven C. NanoPack: visualizing and processing long-read sequencing data. Bioinformatics. 2018;34(15):2666-9.</w:t>
      </w:r>
    </w:p>
    <w:p w14:paraId="023A3CCB"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26. Leger A, Leonardi T. pycoQC, interactive quality control for Oxford Nanopore Sequencing. J Open Source Softw. 2019;4(34):1236.</w:t>
      </w:r>
    </w:p>
    <w:p w14:paraId="0F3ADA24"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27. Wilson EB. Probable inference, the law of succession, and statistical inference. J Am Stat Assoc. 1927;22(158):209-12.</w:t>
      </w:r>
    </w:p>
    <w:p w14:paraId="5FCF58DE"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28. Cohen J. A coefficient of agreement for nominal scales. Educ Psychol Meas. 1960;20(1):37-46.</w:t>
      </w:r>
    </w:p>
    <w:p w14:paraId="42D355DA"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29. Harper SJ, Ward LI, Clover GRG. Development of LAMP and real-time PCR methods for the rapid detection of </w:t>
      </w:r>
      <w:r>
        <w:rPr>
          <w:rFonts w:ascii="Times New Roman" w:hAnsi="Times New Roman" w:cs="Times New Roman"/>
          <w:i/>
          <w:iCs/>
          <w:sz w:val="20"/>
          <w:szCs w:val="20"/>
        </w:rPr>
        <w:t>Xylella fastidiosa</w:t>
      </w:r>
      <w:r>
        <w:rPr>
          <w:rFonts w:ascii="Times New Roman" w:hAnsi="Times New Roman" w:cs="Times New Roman"/>
          <w:sz w:val="20"/>
          <w:szCs w:val="20"/>
        </w:rPr>
        <w:t xml:space="preserve"> for quarantine and field applications. Phytopathology. 2010;100(12):1282-8.</w:t>
      </w:r>
    </w:p>
    <w:p w14:paraId="30911990"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lastRenderedPageBreak/>
        <w:t xml:space="preserve">30. Sicard A, Zeilinger AR, Vanhove M, Schartel TE, Beal DJ, Daugherty MP, et al. </w:t>
      </w:r>
      <w:r>
        <w:rPr>
          <w:rFonts w:ascii="Times New Roman" w:hAnsi="Times New Roman" w:cs="Times New Roman"/>
          <w:i/>
          <w:iCs/>
          <w:sz w:val="20"/>
          <w:szCs w:val="20"/>
        </w:rPr>
        <w:t>Xylella fastidiosa</w:t>
      </w:r>
      <w:r>
        <w:rPr>
          <w:rFonts w:ascii="Times New Roman" w:hAnsi="Times New Roman" w:cs="Times New Roman"/>
          <w:sz w:val="20"/>
          <w:szCs w:val="20"/>
        </w:rPr>
        <w:t>: insights into an emerging plant pathogen. Annu Rev Phytopathol. 2018;56:181-202.</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31. </w:t>
      </w:r>
      <w:r>
        <w:rPr>
          <w:rFonts w:ascii="Times New Roman" w:hAnsi="Times New Roman" w:cs="Times New Roman"/>
          <w:sz w:val="20"/>
          <w:szCs w:val="20"/>
        </w:rPr>
        <w:t xml:space="preserve">Johnson MA, Liu H, Bush E, Sharma P, Yang S, Mazloom R, et al. Investigating plant disease outbreaks with long-read metagenomics: sensitive detection and highly resolved phylogenetic reconstruction applied to </w:t>
      </w:r>
      <w:r>
        <w:rPr>
          <w:rFonts w:ascii="Times New Roman" w:hAnsi="Times New Roman" w:cs="Times New Roman"/>
          <w:i/>
          <w:iCs/>
          <w:sz w:val="20"/>
          <w:szCs w:val="20"/>
        </w:rPr>
        <w:t xml:space="preserve">Xylella fastidiosa</w:t>
      </w:r>
      <w:r>
        <w:rPr>
          <w:rFonts w:ascii="Times New Roman" w:hAnsi="Times New Roman" w:cs="Times New Roman"/>
          <w:sz w:val="20"/>
          <w:szCs w:val="20"/>
        </w:rPr>
        <w:t xml:space="preserve">. Microb Genom. 2022;8(5):000822.</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32. </w:t>
      </w:r>
      <w:r>
        <w:rPr>
          <w:rFonts w:ascii="Times New Roman" w:hAnsi="Times New Roman" w:cs="Times New Roman"/>
          <w:sz w:val="20"/>
          <w:szCs w:val="20"/>
        </w:rPr>
        <w:t xml:space="preserve">Xue T, Zhang B, Wang Z, Ma Y, Shen Q, Ding J, et al. Rapid metagenomic detection of </w:t>
      </w:r>
      <w:r>
        <w:rPr>
          <w:rFonts w:ascii="Times New Roman" w:hAnsi="Times New Roman" w:cs="Times New Roman"/>
          <w:i/>
          <w:iCs/>
          <w:sz w:val="20"/>
          <w:szCs w:val="20"/>
        </w:rPr>
        <w:t xml:space="preserve">Brucella abortus</w:t>
      </w:r>
      <w:r>
        <w:rPr>
          <w:rFonts w:ascii="Times New Roman" w:hAnsi="Times New Roman" w:cs="Times New Roman"/>
          <w:sz w:val="20"/>
          <w:szCs w:val="20"/>
        </w:rPr>
        <w:t xml:space="preserve"> during a two-case bovine abortion investigation in Inner Mongolia, China. Vet Sci. 2026;13(6):541.</w:t>
      </w:r>
    </w:p>
    <w:p w14:paraId="69B35226" w14:textId="77777777" w:rsidR="00564CF7" w:rsidRPr="00CB4E6A" w:rsidRDefault="008448F2">
      <w:pPr>
        <w:spacing w:after="80" w:line="300" w:lineRule="auto"/>
        <w:ind w:left="500" w:hanging="500"/>
        <w:rPr>
          <w:rFonts w:ascii="Times New Roman" w:hAnsi="Times New Roman" w:cs="Times New Roman"/>
        </w:rPr>
      </w:pPr>
      <w:r>
        <w:rPr>
          <w:rFonts w:ascii="Times New Roman" w:hAnsi="Times New Roman" w:cs="Times New Roman"/>
          <w:sz w:val="20"/>
          <w:szCs w:val="20"/>
        </w:rPr>
        <w:t xml:space="preserve">33. </w:t>
      </w:r>
      <w:r>
        <w:rPr>
          <w:rFonts w:ascii="Times New Roman" w:hAnsi="Times New Roman" w:cs="Times New Roman"/>
          <w:sz w:val="20"/>
          <w:szCs w:val="20"/>
        </w:rPr>
        <w:t xml:space="preserve">Yang L, Lin Y, Li P, et al. A comprehensive benchmarking of adaptive sampling tools for nanopore sequencing. Genome Biol. 2025;26:281.</w:t>
      </w:r>
    </w:p>
    <w:p w14:paraId="4091692E" w14:textId="77777777" w:rsidR="00564CF7" w:rsidRPr="00CB4E6A" w:rsidRDefault="008448F2">
      <w:pPr>
        <w:spacing w:after="80" w:line="300" w:lineRule="auto"/>
        <w:ind w:left="500" w:hanging="500"/>
        <w:rPr>
          <w:rFonts w:ascii="Times New Roman" w:hAnsi="Times New Roman" w:cs="Times New Roman"/>
          <w:lang w:val="fr-CA"/>
        </w:rPr>
      </w:pPr>
      <w:r>
        <w:rPr>
          <w:rFonts w:ascii="Times New Roman" w:hAnsi="Times New Roman" w:cs="Times New Roman"/>
          <w:sz w:val="20"/>
          <w:szCs w:val="20"/>
        </w:rPr>
        <w:t xml:space="preserve">34. Probert WS, Schrader KN, Khuong NY, Bystrom SL, Graves MH. Real-time multiplex PCR assay for detection of </w:t>
      </w:r>
      <w:r>
        <w:rPr>
          <w:rFonts w:ascii="Times New Roman" w:hAnsi="Times New Roman" w:cs="Times New Roman"/>
          <w:i/>
          <w:iCs/>
          <w:sz w:val="20"/>
          <w:szCs w:val="20"/>
        </w:rPr>
        <w:t>Brucella spp.</w:t>
      </w:r>
      <w:r>
        <w:rPr>
          <w:rFonts w:ascii="Times New Roman" w:hAnsi="Times New Roman" w:cs="Times New Roman"/>
          <w:sz w:val="20"/>
          <w:szCs w:val="20"/>
        </w:rPr>
        <w:t xml:space="preserve">, </w:t>
      </w:r>
      <w:r>
        <w:rPr>
          <w:rFonts w:ascii="Times New Roman" w:hAnsi="Times New Roman" w:cs="Times New Roman"/>
          <w:i/>
          <w:iCs/>
          <w:sz w:val="20"/>
          <w:szCs w:val="20"/>
        </w:rPr>
        <w:t>B. abortus</w:t>
      </w:r>
      <w:r>
        <w:rPr>
          <w:rFonts w:ascii="Times New Roman" w:hAnsi="Times New Roman" w:cs="Times New Roman"/>
          <w:sz w:val="20"/>
          <w:szCs w:val="20"/>
        </w:rPr>
        <w:t xml:space="preserve">, and </w:t>
      </w:r>
      <w:r>
        <w:rPr>
          <w:rFonts w:ascii="Times New Roman" w:hAnsi="Times New Roman" w:cs="Times New Roman"/>
          <w:i/>
          <w:iCs/>
          <w:sz w:val="20"/>
          <w:szCs w:val="20"/>
        </w:rPr>
        <w:t>B. melitensis</w:t>
      </w:r>
      <w:r>
        <w:rPr>
          <w:rFonts w:ascii="Times New Roman" w:hAnsi="Times New Roman" w:cs="Times New Roman"/>
          <w:sz w:val="20"/>
          <w:szCs w:val="20"/>
        </w:rPr>
        <w:t xml:space="preserve">. </w:t>
      </w:r>
      <w:r>
        <w:rPr>
          <w:rFonts w:ascii="Times New Roman" w:hAnsi="Times New Roman" w:cs="Times New Roman"/>
          <w:sz w:val="20"/>
          <w:szCs w:val="20"/>
          <w:lang w:val="fr-CA"/>
        </w:rPr>
        <w:t>J Clin Microbiol. 2004;42(3):1290-3.</w:t>
      </w:r>
    </w:p>
    <w:p w14:paraId="76E37388" w14:textId="77777777" w:rsidR="00564CF7" w:rsidRPr="00CB4E6A" w:rsidRDefault="008448F2">
      <w:pPr>
        <w:spacing w:after="160" w:line="360" w:lineRule="auto"/>
        <w:rPr>
          <w:rFonts w:ascii="Times New Roman" w:hAnsi="Times New Roman" w:cs="Times New Roman"/>
        </w:rPr>
      </w:pPr>
      <w:commentRangeStart w:id="16"/>
      <w:r>
        <w:rPr>
          <w:rFonts w:ascii="Times New Roman" w:hAnsi="Times New Roman" w:cs="Times New Roman"/>
        </w:rPr>
        <w:t>Reference list.</w:t>
      </w:r>
      <w:commentRangeEnd w:id="16"/>
      <w:r>
        <w:rPr>
          <w:rStyle w:val="CommentReference"/>
          <w:rFonts w:ascii="Times New Roman" w:hAnsi="Times New Roman" w:cs="Times New Roman"/>
          <w:sz w:val="22"/>
          <w:szCs w:val="22"/>
        </w:rPr>
        <w:commentReference w:id="16"/>
      </w:r>
    </w:p>
    <w:p w14:paraId="0ED42C5C" w14:textId="77777777" w:rsidR="00564CF7" w:rsidRPr="00CB4E6A" w:rsidRDefault="008448F2">
      <w:pPr>
        <w:rPr>
          <w:rFonts w:ascii="Times New Roman" w:hAnsi="Times New Roman" w:cs="Times New Roman"/>
        </w:rPr>
      </w:pPr>
      <w:r>
        <w:rPr>
          <w:rFonts w:ascii="Times New Roman" w:hAnsi="Times New Roman" w:cs="Times New Roman"/>
        </w:rPr>
        <w:br w:type="page"/>
      </w:r>
    </w:p>
    <w:p w14:paraId="7CB673F3"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lastRenderedPageBreak/>
        <w:t>Figure legends</w:t>
      </w:r>
    </w:p>
    <w:p w14:paraId="7E8B29C2"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b/>
          <w:bCs/>
        </w:rPr>
        <w:t>Figure 1. Architecture of nanoCAS.</w:t>
      </w:r>
      <w:r>
        <w:rPr>
          <w:rFonts w:ascii="Times New Roman" w:hAnsi="Times New Roman" w:cs="Times New Roman"/>
        </w:rPr>
        <w:t xml:space="preserve"> Basecalled reads and the sequencing summary written by MinKNOW, or by the built-in simulator, are picked up by a directory watcher. Each batch of reads is passed to the configured classifier plug-in and the summary is passed to the run-health rules. Target metrics, feature metrics and run-health conditions are evaluated after every batch, and each alert is logged once, shown in the web interface and delivered through the configured notification channels. Laboratory results entered by the user are compared with the sequencing result within the same project.</w:t>
      </w:r>
    </w:p>
    <w:p w14:paraId="3BCDFAAD"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b/>
          <w:bCs/>
        </w:rPr>
        <w:t>Figure 2. The nanoCAS interface, shown on simulated runs.</w:t>
      </w:r>
      <w:r>
        <w:rPr>
          <w:rFonts w:ascii="Times New Roman" w:hAnsi="Times New Roman" w:cs="Times New Roman"/>
        </w:rPr>
        <w:t xml:space="preserve"> (a) Coverage tab with the current metrics per target, the thresholds that were reached and the coverage-over-time plot with the threshold line. (b) Run-health tab for a simulated failing flow cell, with the summary statistics, quality and length distributions and pore activity that feed the run-health rules. (c) Alert history and the configured target and run-health rules. (d) Laboratory-result view comparing the sequencing result with a recorded qPCR result and the relationship between read yield and Ct. </w:t>
      </w:r>
      <w:commentRangeStart w:id="17"/>
      <w:r>
        <w:rPr>
          <w:rFonts w:ascii="Times New Roman" w:hAnsi="Times New Roman" w:cs="Times New Roman"/>
        </w:rPr>
        <w:t>All panels were captured from demo projects created without a sequencer.</w:t>
      </w:r>
      <w:commentRangeEnd w:id="17"/>
      <w:r>
        <w:rPr>
          <w:rStyle w:val="CommentReference"/>
          <w:rFonts w:ascii="Times New Roman" w:hAnsi="Times New Roman" w:cs="Times New Roman"/>
          <w:sz w:val="22"/>
          <w:szCs w:val="22"/>
        </w:rPr>
        <w:commentReference w:id="17"/>
      </w:r>
    </w:p>
    <w:p w14:paraId="68169AC8" w14:textId="77777777" w:rsidR="00564CF7" w:rsidRPr="00CB4E6A" w:rsidRDefault="008448F2">
      <w:pPr>
        <w:spacing w:after="160" w:line="360" w:lineRule="auto"/>
        <w:rPr>
          <w:rFonts w:ascii="Times New Roman" w:hAnsi="Times New Roman" w:cs="Times New Roman"/>
        </w:rPr>
      </w:pPr>
      <w:commentRangeStart w:id="18"/>
      <w:r>
        <w:rPr>
          <w:rFonts w:ascii="Times New Roman" w:hAnsi="Times New Roman" w:cs="Times New Roman"/>
          <w:b/>
          <w:bCs/>
        </w:rPr>
        <w:t xml:space="preserve">Figure 3. Case study 1: </w:t>
      </w:r>
      <w:r>
        <w:rPr>
          <w:rFonts w:ascii="Times New Roman" w:hAnsi="Times New Roman" w:cs="Times New Roman"/>
          <w:b/>
          <w:bCs/>
          <w:i/>
          <w:iCs/>
        </w:rPr>
        <w:t>Xylella fastidiosa</w:t>
      </w:r>
      <w:r>
        <w:rPr>
          <w:rFonts w:ascii="Times New Roman" w:hAnsi="Times New Roman" w:cs="Times New Roman"/>
          <w:b/>
          <w:bCs/>
        </w:rPr>
        <w:t xml:space="preserve"> in naturally infected plant material.</w:t>
      </w:r>
      <w:r>
        <w:rPr>
          <w:rFonts w:ascii="Times New Roman" w:hAnsi="Times New Roman" w:cs="Times New Roman"/>
        </w:rPr>
        <w:t xml:space="preserve"> (a) Time from the first processed batch to the first nanoCAS alert against the qPCR Ct of each sample. Samples with no alert are shown at the top of the axis. (b) log10 reads per million assigned to </w:t>
      </w:r>
      <w:r>
        <w:rPr>
          <w:rFonts w:ascii="Times New Roman" w:hAnsi="Times New Roman" w:cs="Times New Roman"/>
          <w:i/>
          <w:iCs/>
        </w:rPr>
        <w:t>X. fastidiosa</w:t>
      </w:r>
      <w:r>
        <w:rPr>
          <w:rFonts w:ascii="Times New Roman" w:hAnsi="Times New Roman" w:cs="Times New Roman"/>
        </w:rPr>
        <w:t xml:space="preserve"> against Ct with the least-squares fit and its 95% confidence band. (c) Breadth of coverage of the </w:t>
      </w:r>
      <w:r>
        <w:rPr>
          <w:rFonts w:ascii="Times New Roman" w:hAnsi="Times New Roman" w:cs="Times New Roman"/>
          <w:i/>
          <w:iCs/>
        </w:rPr>
        <w:t>X. fastidiosa</w:t>
      </w:r>
      <w:r>
        <w:rPr>
          <w:rFonts w:ascii="Times New Roman" w:hAnsi="Times New Roman" w:cs="Times New Roman"/>
        </w:rPr>
        <w:t xml:space="preserve"> genome at the end of the run against Ct.</w:t>
      </w:r>
      <w:commentRangeEnd w:id="18"/>
      <w:r>
        <w:rPr>
          <w:rStyle w:val="CommentReference"/>
          <w:rFonts w:ascii="Times New Roman" w:hAnsi="Times New Roman" w:cs="Times New Roman"/>
          <w:sz w:val="22"/>
          <w:szCs w:val="22"/>
        </w:rPr>
        <w:commentReference w:id="18"/>
      </w:r>
    </w:p>
    <w:p w14:paraId="463CE5FD" w14:textId="77777777" w:rsidR="00564CF7" w:rsidRPr="00CB4E6A" w:rsidRDefault="008448F2">
      <w:pPr>
        <w:spacing w:after="160" w:line="360" w:lineRule="auto"/>
        <w:rPr>
          <w:rFonts w:ascii="Times New Roman" w:hAnsi="Times New Roman" w:cs="Times New Roman"/>
        </w:rPr>
      </w:pPr>
      <w:commentRangeStart w:id="19"/>
      <w:r>
        <w:rPr>
          <w:rFonts w:ascii="Times New Roman" w:hAnsi="Times New Roman" w:cs="Times New Roman"/>
          <w:b/>
          <w:bCs/>
        </w:rPr>
        <w:t xml:space="preserve">Figure 4. Case study 2: </w:t>
      </w:r>
      <w:r>
        <w:rPr>
          <w:rFonts w:ascii="Times New Roman" w:hAnsi="Times New Roman" w:cs="Times New Roman"/>
          <w:b/>
          <w:bCs/>
          <w:i/>
          <w:iCs/>
        </w:rPr>
        <w:t>Brucella abortus</w:t>
      </w:r>
      <w:r>
        <w:rPr>
          <w:rFonts w:ascii="Times New Roman" w:hAnsi="Times New Roman" w:cs="Times New Roman"/>
          <w:b/>
          <w:bCs/>
        </w:rPr>
        <w:t xml:space="preserve"> spiked into a bovine background and sequenced with adaptive sampling.</w:t>
      </w:r>
      <w:r>
        <w:rPr>
          <w:rFonts w:ascii="Times New Roman" w:hAnsi="Times New Roman" w:cs="Times New Roman"/>
        </w:rPr>
        <w:t xml:space="preserve"> (a) </w:t>
      </w:r>
      <w:r>
        <w:rPr>
          <w:rFonts w:ascii="Times New Roman" w:hAnsi="Times New Roman" w:cs="Times New Roman"/>
          <w:i/>
          <w:iCs/>
        </w:rPr>
        <w:t>B. abortus</w:t>
      </w:r>
      <w:r>
        <w:rPr>
          <w:rFonts w:ascii="Times New Roman" w:hAnsi="Times New Roman" w:cs="Times New Roman"/>
        </w:rPr>
        <w:t xml:space="preserve"> read fraction over run time for each spike level, with the point at which adaptive sampling was enabled marked. (b) Time to first nanoCAS alert against spike level on a logarithmic axis. (c) Active channels over the three-day run with the pore-decline alert and its recovery marked.</w:t>
      </w:r>
      <w:commentRangeEnd w:id="19"/>
      <w:r>
        <w:rPr>
          <w:rStyle w:val="CommentReference"/>
          <w:rFonts w:ascii="Times New Roman" w:hAnsi="Times New Roman" w:cs="Times New Roman"/>
          <w:sz w:val="22"/>
          <w:szCs w:val="22"/>
        </w:rPr>
        <w:commentReference w:id="19"/>
      </w:r>
    </w:p>
    <w:p w14:paraId="294FF400" w14:textId="77777777" w:rsidR="00564CF7" w:rsidRPr="00CB4E6A" w:rsidRDefault="008448F2">
      <w:pPr>
        <w:rPr>
          <w:rFonts w:ascii="Times New Roman" w:hAnsi="Times New Roman" w:cs="Times New Roman"/>
        </w:rPr>
      </w:pPr>
      <w:r>
        <w:rPr>
          <w:rFonts w:ascii="Times New Roman" w:hAnsi="Times New Roman" w:cs="Times New Roman"/>
        </w:rPr>
        <w:br w:type="page"/>
      </w:r>
    </w:p>
    <w:p w14:paraId="7B507CB6"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b/>
          <w:bCs/>
        </w:rPr>
        <w:lastRenderedPageBreak/>
        <w:t>Figure 1</w:t>
      </w:r>
    </w:p>
    <w:p w14:paraId="59CD54B7" w14:textId="77777777" w:rsidR="00564CF7" w:rsidRPr="00CB4E6A" w:rsidRDefault="008448F2">
      <w:pPr>
        <w:spacing w:after="120"/>
        <w:jc w:val="center"/>
        <w:rPr>
          <w:rFonts w:ascii="Times New Roman" w:hAnsi="Times New Roman" w:cs="Times New Roman"/>
        </w:rPr>
      </w:pPr>
      <w:r>
        <w:rPr>
          <w:rFonts w:ascii="Times New Roman" w:hAnsi="Times New Roman" w:cs="Times New Roman"/>
          <w:noProof/>
        </w:rPr>
        <w:drawing>
          <wp:inline distT="0" distB="0" distL="0" distR="0" wp14:anchorId="5F0A6A35" wp14:editId="2D995F01">
            <wp:extent cx="5943600" cy="307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076575"/>
                    </a:xfrm>
                    <a:prstGeom prst="rect">
                      <a:avLst/>
                    </a:prstGeom>
                  </pic:spPr>
                </pic:pic>
              </a:graphicData>
            </a:graphic>
          </wp:inline>
        </w:drawing>
      </w:r>
    </w:p>
    <w:p w14:paraId="3537E166" w14:textId="77777777" w:rsidR="00564CF7" w:rsidRPr="00CB4E6A" w:rsidRDefault="008448F2">
      <w:pPr>
        <w:rPr>
          <w:rFonts w:ascii="Times New Roman" w:hAnsi="Times New Roman" w:cs="Times New Roman"/>
        </w:rPr>
      </w:pPr>
      <w:r>
        <w:rPr>
          <w:rFonts w:ascii="Times New Roman" w:hAnsi="Times New Roman" w:cs="Times New Roman"/>
        </w:rPr>
        <w:br w:type="page"/>
      </w:r>
    </w:p>
    <w:p w14:paraId="3BCED5A1"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b/>
          <w:bCs/>
        </w:rPr>
        <w:lastRenderedPageBreak/>
        <w:t>Figure 2</w:t>
      </w:r>
    </w:p>
    <w:p w14:paraId="08E65796" w14:textId="77777777" w:rsidR="00564CF7" w:rsidRPr="00CB4E6A" w:rsidRDefault="008448F2">
      <w:pPr>
        <w:spacing w:after="120"/>
        <w:jc w:val="center"/>
        <w:rPr>
          <w:rFonts w:ascii="Times New Roman" w:hAnsi="Times New Roman" w:cs="Times New Roman"/>
        </w:rPr>
      </w:pPr>
      <w:r>
        <w:rPr>
          <w:rFonts w:ascii="Times New Roman" w:hAnsi="Times New Roman" w:cs="Times New Roman"/>
          <w:noProof/>
        </w:rPr>
        <w:drawing>
          <wp:inline distT="0" distB="0" distL="0" distR="0" wp14:anchorId="6FDE647B" wp14:editId="41C1A896">
            <wp:extent cx="5943600" cy="3905250"/>
            <wp:effectExtent l="0" t="0" r="0" b="0"/>
            <wp:docPr id="2146617431" name="Picture 2146617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905250"/>
                    </a:xfrm>
                    <a:prstGeom prst="rect">
                      <a:avLst/>
                    </a:prstGeom>
                  </pic:spPr>
                </pic:pic>
              </a:graphicData>
            </a:graphic>
          </wp:inline>
        </w:drawing>
      </w:r>
    </w:p>
    <w:p w14:paraId="07BABDA8" w14:textId="77777777" w:rsidR="00564CF7" w:rsidRPr="00CB4E6A" w:rsidRDefault="008448F2">
      <w:pPr>
        <w:rPr>
          <w:rFonts w:ascii="Times New Roman" w:hAnsi="Times New Roman" w:cs="Times New Roman"/>
        </w:rPr>
      </w:pPr>
      <w:r>
        <w:rPr>
          <w:rFonts w:ascii="Times New Roman" w:hAnsi="Times New Roman" w:cs="Times New Roman"/>
        </w:rPr>
        <w:br w:type="page"/>
      </w:r>
    </w:p>
    <w:p w14:paraId="220A974C" w14:textId="77777777" w:rsidR="00564CF7" w:rsidRPr="00CB4E6A" w:rsidRDefault="008448F2">
      <w:pPr>
        <w:pStyle w:val="Heading1"/>
        <w:spacing w:before="360" w:after="160"/>
        <w:rPr>
          <w:rFonts w:ascii="Times New Roman" w:hAnsi="Times New Roman" w:cs="Times New Roman"/>
        </w:rPr>
      </w:pPr>
      <w:r>
        <w:rPr>
          <w:rFonts w:ascii="Times New Roman" w:hAnsi="Times New Roman" w:cs="Times New Roman"/>
          <w:b/>
          <w:bCs/>
          <w:color w:val="000000"/>
          <w:sz w:val="28"/>
          <w:szCs w:val="28"/>
        </w:rPr>
        <w:lastRenderedPageBreak/>
        <w:t>Tables</w:t>
      </w:r>
    </w:p>
    <w:p w14:paraId="0B5AFA1B"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b/>
          <w:bCs/>
        </w:rPr>
        <w:t>Table 1. Real-time nanopore analysis tools and the functions that nanoCAS adds.</w:t>
      </w:r>
      <w:r>
        <w:rPr>
          <w:rFonts w:ascii="Times New Roman" w:hAnsi="Times New Roman" w:cs="Times New Roman"/>
        </w:rPr>
        <w:t xml:space="preserve"> Yes or no indicates whether the function is present in the published version of each tool. </w:t>
      </w:r>
      <w:commentRangeStart w:id="20"/>
      <w:r>
        <w:rPr>
          <w:rFonts w:ascii="Times New Roman" w:hAnsi="Times New Roman" w:cs="Times New Roman"/>
        </w:rPr>
        <w:t>Please verify each cell against the current documentation of each tool before submission, since several of them are actively developed.</w:t>
      </w:r>
      <w:commentRangeEnd w:id="20"/>
      <w:r>
        <w:rPr>
          <w:rStyle w:val="CommentReference"/>
          <w:rFonts w:ascii="Times New Roman" w:hAnsi="Times New Roman" w:cs="Times New Roman"/>
          <w:sz w:val="22"/>
          <w:szCs w:val="22"/>
        </w:rPr>
        <w:commentReference w:id="2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9"/>
        <w:gridCol w:w="999"/>
        <w:gridCol w:w="1896"/>
        <w:gridCol w:w="1399"/>
        <w:gridCol w:w="1398"/>
        <w:gridCol w:w="1199"/>
        <w:gridCol w:w="970"/>
      </w:tblGrid>
      <w:tr w:rsidR="00564CF7" w:rsidRPr="00CB4E6A" w14:paraId="50F9A0B4" w14:textId="77777777">
        <w:tblPrEx>
          <w:tblCellMar>
            <w:top w:w="0" w:type="dxa"/>
            <w:bottom w:w="0" w:type="dxa"/>
          </w:tblCellMar>
        </w:tblPrEx>
        <w:trPr>
          <w:tblHeader/>
        </w:trPr>
        <w:tc>
          <w:tcPr>
            <w:tcW w:w="15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3C3999D4"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Tool</w:t>
            </w:r>
          </w:p>
        </w:tc>
        <w:tc>
          <w:tcPr>
            <w:tcW w:w="10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8CF2074"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Real-time analysis</w:t>
            </w:r>
          </w:p>
        </w:tc>
        <w:tc>
          <w:tcPr>
            <w:tcW w:w="19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D1CABBB"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User-defined threshold alerts with notification</w:t>
            </w:r>
          </w:p>
        </w:tc>
        <w:tc>
          <w:tcPr>
            <w:tcW w:w="14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1FF4D125"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Instrument-health rules</w:t>
            </w:r>
          </w:p>
        </w:tc>
        <w:tc>
          <w:tcPr>
            <w:tcW w:w="14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E08325D"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Classifier can be swapped</w:t>
            </w:r>
          </w:p>
        </w:tc>
        <w:tc>
          <w:tcPr>
            <w:tcW w:w="12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6B80DCEB"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Records reference test result</w:t>
            </w:r>
          </w:p>
        </w:tc>
        <w:tc>
          <w:tcPr>
            <w:tcW w:w="96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49A819FB"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Runs without a sequencer</w:t>
            </w:r>
          </w:p>
        </w:tc>
      </w:tr>
      <w:tr w:rsidR="00564CF7" w:rsidRPr="00CB4E6A" w14:paraId="155EA467"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396F029"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MinKNOW live alignment [9]</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0881569"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FAA1FAF"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C8E3B70"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 (plots only)</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78B20BC"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F73BF77"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684F2AC"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2DBF6F2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D5B6D1"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EPI2ME wf-metagenomics [9]</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3D360FF"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F3CCDDB"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AB245B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42A552E"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Kraken2 or minimap2</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712804E"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BD10BD3"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7CCD971B"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418DCC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RAMPART [10]</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8DB7AF0"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7083A8E"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1BB2C9C"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4AB1A0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312C268"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1B8E248"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3FD0F5A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62AD46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minoTour [11]</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4244FE8"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01A704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E-mail on ARTIC coverage milestones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152AE2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Metrics shown, no rules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BEF33BC"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2A05DA1"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D34DB6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0312F94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E6DB4BB"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BoardION [12]</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BB3D54"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72C9FB9"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5F85EB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Metrics shown, no rules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4574D08"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Not applicable</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432F39C"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B8A15B"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5EFBF2D7"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9F2BF44"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MARTi [13]</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0A04156"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EF76276"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3893ECE"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33B3AE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Several built in</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2508AF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6F0CD2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0AACCDE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2A0047E"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Nanometa Live [14]</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FD8F5D8"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15C2F6B"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Highlights listed pathogens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894057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1A1BDA1"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4F4B3CF"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A302BC"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4F4A2104"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264B898"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NanoOK RT [15]</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D0A5B3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5AF997"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A260C2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0ADA03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FE7583C"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930C6DF"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r>
      <w:tr w:rsidR="00564CF7" w:rsidRPr="00CB4E6A" w14:paraId="57555BD8"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9E185A5"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BugSeq [16]</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BD0FA10"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 (after run)</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B15F999"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5154ED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D7EED2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95D5AA4"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D6B457B"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Not applicable</w:t>
            </w:r>
          </w:p>
        </w:tc>
      </w:tr>
      <w:tr w:rsidR="00564CF7" w:rsidRPr="00CB4E6A" w14:paraId="2488189C"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0B15759"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nanoCAS (this work)</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E7097B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0786181"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 depth, breadth, reads, fraction, GFF features. Delivered by e-mail, SMS, desktop, MinKNOW</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5416F0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 seven rules with hysteresis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A4D9450"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 minimap2, Kraken2, Centrifuge, user plug-ins</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D3F6956"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 qPCR Ct, agreement, regression</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4B8E723"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Yes: built-in simulator</w:t>
            </w:r>
          </w:p>
        </w:tc>
      </w:tr>
    </w:tbl>
    <w:p w14:paraId="1424EBEC" w14:textId="77777777" w:rsidR="00564CF7" w:rsidRPr="00CB4E6A" w:rsidRDefault="00564CF7">
      <w:pPr>
        <w:spacing w:after="160" w:line="360" w:lineRule="auto"/>
        <w:rPr>
          <w:rFonts w:ascii="Times New Roman" w:hAnsi="Times New Roman" w:cs="Times New Roman"/>
        </w:rPr>
      </w:pPr>
    </w:p>
    <w:p w14:paraId="677B68A4" w14:textId="77777777" w:rsidR="00564CF7" w:rsidRPr="00CB4E6A" w:rsidRDefault="008448F2">
      <w:pPr>
        <w:spacing w:after="160" w:line="360" w:lineRule="auto"/>
        <w:rPr>
          <w:rFonts w:ascii="Times New Roman" w:hAnsi="Times New Roman" w:cs="Times New Roman"/>
        </w:rPr>
      </w:pPr>
      <w:r>
        <w:rPr>
          <w:rFonts w:ascii="Times New Roman" w:hAnsi="Times New Roman" w:cs="Times New Roman"/>
          <w:b/>
          <w:bCs/>
        </w:rPr>
        <w:t>Table 2. Run-health rules evaluated by nanoCAS.</w:t>
      </w:r>
      <w:r>
        <w:rPr>
          <w:rFonts w:ascii="Times New Roman" w:hAnsi="Times New Roman" w:cs="Times New Roman"/>
        </w:rPr>
        <w:t xml:space="preserve"> All thresholds are configurable per project. A rule fires after its condition has held for two consecutive evaluations (default interval 30 s) and logs a recovery entry when it clears.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560"/>
        <w:gridCol w:w="2000"/>
      </w:tblGrid>
      <w:tr w:rsidR="00564CF7" w:rsidRPr="00CB4E6A" w14:paraId="5A8BAC97" w14:textId="77777777">
        <w:tblPrEx>
          <w:tblCellMar>
            <w:top w:w="0" w:type="dxa"/>
            <w:bottom w:w="0" w:type="dxa"/>
          </w:tblCellMar>
        </w:tblPrEx>
        <w:trPr>
          <w:tblHeader/>
        </w:trPr>
        <w:tc>
          <w:tcPr>
            <w:tcW w:w="18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46A465B"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Rule</w:t>
            </w:r>
          </w:p>
        </w:tc>
        <w:tc>
          <w:tcPr>
            <w:tcW w:w="556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7C19BE50"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Fires when</w:t>
            </w:r>
          </w:p>
        </w:tc>
        <w:tc>
          <w:tcPr>
            <w:tcW w:w="20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2A6F82E" w14:textId="77777777" w:rsidR="00564CF7" w:rsidRPr="00CB4E6A" w:rsidRDefault="008448F2">
            <w:pPr>
              <w:spacing w:line="260" w:lineRule="auto"/>
              <w:rPr>
                <w:rFonts w:ascii="Times New Roman" w:hAnsi="Times New Roman" w:cs="Times New Roman"/>
              </w:rPr>
            </w:pPr>
            <w:r>
              <w:rPr>
                <w:rFonts w:ascii="Times New Roman" w:hAnsi="Times New Roman" w:cs="Times New Roman"/>
                <w:b/>
                <w:bCs/>
                <w:sz w:val="18"/>
                <w:szCs w:val="18"/>
              </w:rPr>
              <w:t>Default</w:t>
            </w:r>
          </w:p>
        </w:tc>
      </w:tr>
      <w:tr w:rsidR="00564CF7" w:rsidRPr="00CB4E6A" w14:paraId="5E8B109B"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B68F95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Run not started</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5318ED0"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 data file and no summary rows have appeared since monitoring started, unless MinKNOW reports that the position is still preparing</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9409B1B"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15 min</w:t>
            </w:r>
          </w:p>
        </w:tc>
      </w:tr>
      <w:tr w:rsidR="00564CF7" w:rsidRPr="00CB4E6A" w14:paraId="55B46BBC"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808F42F"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Data stalled</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A8C7BCD"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No new data file or summary rows for the stall timeout after data has been seen</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76414F"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30 min</w:t>
            </w:r>
          </w:p>
        </w:tc>
      </w:tr>
      <w:tr w:rsidR="00564CF7" w:rsidRPr="00CB4E6A" w14:paraId="792D2C10"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595E4B1"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Low median Q</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2730229"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Median mean Q-score of the most recent reads is below the floor</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126D10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Q 9 over 2,000 reads</w:t>
            </w:r>
          </w:p>
        </w:tc>
      </w:tr>
      <w:tr w:rsidR="00564CF7" w:rsidRPr="00CB4E6A" w14:paraId="6FF2C308"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5006935"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Pore decline</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BD0F8C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Channels producing reads in the last 10 min fall below a fraction of the run peak</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E50B63"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50% of peak</w:t>
            </w:r>
          </w:p>
        </w:tc>
      </w:tr>
      <w:tr w:rsidR="00564CF7" w:rsidRPr="00CB4E6A" w14:paraId="29BFC69A"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F3103A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lastRenderedPageBreak/>
              <w:t>Low active channels</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666710B"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Recently active channels are below a fraction of the flow-cell channel count</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30B7622"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10% of flow cell</w:t>
            </w:r>
          </w:p>
        </w:tc>
      </w:tr>
      <w:tr w:rsidR="00564CF7" w:rsidRPr="00CB4E6A" w14:paraId="48E54E78"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D32CA07"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Low pass rate</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07D3E57"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Fraction of recent reads passing the quality filter is below the floor</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FCD7A9A"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50%</w:t>
            </w:r>
          </w:p>
        </w:tc>
      </w:tr>
      <w:tr w:rsidR="00564CF7" w:rsidRPr="00CB4E6A" w14:paraId="28EC251F"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0003A59"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Short reads</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3CB1943"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Median read length of the recent window is below the floor (off by default)</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94EA44" w14:textId="77777777" w:rsidR="00564CF7" w:rsidRPr="00CB4E6A" w:rsidRDefault="008448F2">
            <w:pPr>
              <w:spacing w:line="260" w:lineRule="auto"/>
              <w:rPr>
                <w:rFonts w:ascii="Times New Roman" w:hAnsi="Times New Roman" w:cs="Times New Roman"/>
              </w:rPr>
            </w:pPr>
            <w:r>
              <w:rPr>
                <w:rFonts w:ascii="Times New Roman" w:hAnsi="Times New Roman" w:cs="Times New Roman"/>
                <w:sz w:val="18"/>
                <w:szCs w:val="18"/>
              </w:rPr>
              <w:t>off</w:t>
            </w:r>
          </w:p>
        </w:tc>
      </w:tr>
    </w:tbl>
    <w:p w14:paraId="0658D7C1" w14:textId="77777777" w:rsidR="00564CF7" w:rsidRPr="00CB4E6A" w:rsidRDefault="00564CF7">
      <w:pPr>
        <w:spacing w:after="160" w:line="360" w:lineRule="auto"/>
        <w:rPr>
          <w:rFonts w:ascii="Times New Roman" w:hAnsi="Times New Roman" w:cs="Times New Roman"/>
        </w:rPr>
      </w:pPr>
    </w:p>
    <w:p w14:paraId="1959B127" w14:textId="77777777" w:rsidR="00564CF7" w:rsidRPr="00CB4E6A" w:rsidRDefault="008448F2">
      <w:pPr>
        <w:spacing w:after="160" w:line="360" w:lineRule="auto"/>
        <w:rPr>
          <w:rFonts w:ascii="Times New Roman" w:hAnsi="Times New Roman" w:cs="Times New Roman"/>
        </w:rPr>
      </w:pPr>
      <w:commentRangeStart w:id="21"/>
      <w:r>
        <w:rPr>
          <w:rFonts w:ascii="Times New Roman" w:hAnsi="Times New Roman" w:cs="Times New Roman"/>
          <w:b/>
          <w:bCs/>
        </w:rPr>
        <w:t>Table 3. Case study 1: samples, qPCR results and nanoCAS results.</w:t>
      </w:r>
      <w:r>
        <w:rPr>
          <w:rFonts w:ascii="Times New Roman" w:hAnsi="Times New Roman" w:cs="Times New Roman"/>
        </w:rPr>
        <w:t xml:space="preserve"> One row per sample: sample identifier, host and tissue, qPCR Ct, estimated genome copies per reaction, total reads in the run, reads assigned to </w:t>
      </w:r>
      <w:r>
        <w:rPr>
          <w:rFonts w:ascii="Times New Roman" w:hAnsi="Times New Roman" w:cs="Times New Roman"/>
          <w:i/>
          <w:iCs/>
        </w:rPr>
        <w:t>X. fastidiosa</w:t>
      </w:r>
      <w:r>
        <w:rPr>
          <w:rFonts w:ascii="Times New Roman" w:hAnsi="Times New Roman" w:cs="Times New Roman"/>
        </w:rPr>
        <w:t>, reads per million, final depth, final breadth, time to first alert, and whether the sequencing and qPCR results agree.</w:t>
      </w:r>
      <w:commentRangeEnd w:id="21"/>
      <w:r>
        <w:rPr>
          <w:rStyle w:val="CommentReference"/>
          <w:rFonts w:ascii="Times New Roman" w:hAnsi="Times New Roman" w:cs="Times New Roman"/>
          <w:sz w:val="22"/>
          <w:szCs w:val="22"/>
        </w:rPr>
        <w:commentReference w:id="21"/>
      </w:r>
    </w:p>
    <w:p w14:paraId="20EDD4D3" w14:textId="77777777" w:rsidR="00564CF7" w:rsidRPr="00CB4E6A" w:rsidRDefault="008448F2">
      <w:pPr>
        <w:spacing w:after="160" w:line="360" w:lineRule="auto"/>
        <w:rPr>
          <w:rFonts w:ascii="Times New Roman" w:hAnsi="Times New Roman" w:cs="Times New Roman"/>
        </w:rPr>
      </w:pPr>
      <w:commentRangeStart w:id="22"/>
      <w:r>
        <w:rPr>
          <w:rFonts w:ascii="Times New Roman" w:hAnsi="Times New Roman" w:cs="Times New Roman"/>
          <w:b/>
          <w:bCs/>
        </w:rPr>
        <w:t>Table 4. Case study 2: spike levels, enrichment and nanoCAS results.</w:t>
      </w:r>
      <w:r>
        <w:rPr>
          <w:rFonts w:ascii="Times New Roman" w:hAnsi="Times New Roman" w:cs="Times New Roman"/>
        </w:rPr>
        <w:t xml:space="preserve"> One row per spike level: input of </w:t>
      </w:r>
      <w:r>
        <w:rPr>
          <w:rFonts w:ascii="Times New Roman" w:hAnsi="Times New Roman" w:cs="Times New Roman"/>
          <w:i/>
          <w:iCs/>
        </w:rPr>
        <w:t>B. abortus</w:t>
      </w:r>
      <w:r>
        <w:rPr>
          <w:rFonts w:ascii="Times New Roman" w:hAnsi="Times New Roman" w:cs="Times New Roman"/>
        </w:rPr>
        <w:t xml:space="preserve"> DNA, baseline read fraction in the first 30 minutes, read fraction after adaptive sampling was enabled, enrichment factor, time to first alert, final depth and breadth, and run-health alerts raised during the run.</w:t>
      </w:r>
      <w:commentRangeEnd w:id="22"/>
      <w:r>
        <w:rPr>
          <w:rStyle w:val="CommentReference"/>
          <w:rFonts w:ascii="Times New Roman" w:hAnsi="Times New Roman" w:cs="Times New Roman"/>
          <w:sz w:val="22"/>
          <w:szCs w:val="22"/>
        </w:rPr>
        <w:commentReference w:id="22"/>
      </w:r>
    </w:p>
    <w:sectPr w:rsidR="00564CF7" w:rsidRPr="00CB4E6A">
      <w:headerReference w:type="even" r:id="rId12"/>
      <w:headerReference w:type="default" r:id="rId13"/>
      <w:footerReference w:type="default" r:id="rId14"/>
      <w:headerReference w:type="first" r:id="rId15"/>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raft notes" w:date="2026-09-25T02:42:00Z" w:initials="DN">
    <w:p w14:paraId="3D6D5D88" w14:textId="77777777" w:rsidR="00564CF7" w:rsidRDefault="00CB4E6A">
      <w:r>
        <w:rPr>
          <w:rStyle w:val="CommentReference"/>
        </w:rPr>
        <w:annotationRef/>
      </w:r>
      <w:r w:rsidR="008448F2">
        <w:rPr>
          <w:sz w:val="20"/>
          <w:szCs w:val="20"/>
        </w:rPr>
        <w:t>Title. Your draft used "Web-platform for nanopore-based point-of-care diagnostics". I have led with what the software does (classify, alert, monitor) because BMC software titles work best when the tool name is followed by its function. Two alternatives if you prefer to keep the diagnostics angle: "nanoCAS: real-time alerting for nanopore-based pathogen diagnostics" or "nanoCAS: turning a nanopore sequencing run into a monitored diagnostic test".</w:t>
      </w:r>
    </w:p>
  </w:comment>
  <w:comment w:id="1" w:author="Draft notes" w:date="2026-09-25T02:42:00Z" w:initials="DN">
    <w:p w14:paraId="27A9F87C" w14:textId="77777777" w:rsidR="00564CF7" w:rsidRDefault="00CB4E6A">
      <w:r>
        <w:rPr>
          <w:rStyle w:val="CommentReference"/>
        </w:rPr>
        <w:annotationRef/>
      </w:r>
      <w:r w:rsidR="008448F2">
        <w:rPr>
          <w:sz w:val="20"/>
          <w:szCs w:val="20"/>
        </w:rPr>
        <w:t>Please confirm affiliations. T.S. is listed under AAFC in your draft but uses a usask.ca address, so a dual affiliation (1,2) may be more accurate. Add ORCID iDs for all authors if available: BMC asks for them at submission.</w:t>
      </w:r>
    </w:p>
  </w:comment>
  <w:comment w:id="2" w:author="Draft notes" w:date="2026-09-25T02:42:00Z" w:initials="DN">
    <w:p w14:paraId="3EAE6ADD" w14:textId="77777777" w:rsidR="00564CF7" w:rsidRDefault="00CB4E6A">
      <w:r>
        <w:rPr>
          <w:rStyle w:val="CommentReference"/>
        </w:rPr>
        <w:annotationRef/>
      </w:r>
      <w:r w:rsidR="008448F2">
        <w:rPr>
          <w:sz w:val="20"/>
          <w:szCs w:val="20"/>
        </w:rPr>
        <w:t>Placeholder for the headline numbers. Once the case-study analyses are done, replace with one or two concrete sentences: number of samples, correlation between Ct and log10 reads per million, median time to alert, lowest dilution detected. Keep the whole abstract under 350 words.</w:t>
      </w:r>
    </w:p>
  </w:comment>
  <w:comment w:id="3" w:author="Draft notes" w:date="2026-09-25T02:42:00Z" w:initials="DN">
    <w:p w14:paraId="44467481" w14:textId="77777777" w:rsidR="00564CF7" w:rsidRDefault="00CB4E6A">
      <w:r>
        <w:rPr>
          <w:rStyle w:val="CommentReference"/>
        </w:rPr>
        <w:annotationRef/>
      </w:r>
      <w:r w:rsidR="008448F2">
        <w:rPr>
          <w:sz w:val="20"/>
          <w:szCs w:val="20"/>
        </w:rPr>
        <w:t>Check this description against the code in server/app/main/utils/stats.py and lab_results.py before submission so the manuscript states exactly how the Ct limit of detection is estimated.</w:t>
      </w:r>
    </w:p>
  </w:comment>
  <w:comment w:id="4" w:author="Draft notes" w:date="2026-09-25T02:42:00Z" w:initials="DN">
    <w:p w14:paraId="5DF058FF" w14:textId="77777777" w:rsidR="00564CF7" w:rsidRDefault="00CB4E6A">
      <w:r>
        <w:rPr>
          <w:rStyle w:val="CommentReference"/>
        </w:rPr>
        <w:annotationRef/>
      </w:r>
      <w:r w:rsidR="008448F2">
        <w:rPr>
          <w:sz w:val="20"/>
          <w:szCs w:val="20"/>
        </w:rPr>
        <w:t>Tim: please fill in the sample origin, number of samples (the draft has an action item on this), extraction method, qPCR instrument, standard curve details, library kit, flow cell, run length and basecalling model. Also state whether samples were multiplexed with barcodes; if so, nanoCAS was run on each barcode directory separately.</w:t>
      </w:r>
    </w:p>
  </w:comment>
  <w:comment w:id="5" w:author="Draft notes" w:date="2026-09-25T02:42:00Z" w:initials="DN">
    <w:p w14:paraId="68930A32" w14:textId="77777777" w:rsidR="00564CF7" w:rsidRDefault="00CB4E6A">
      <w:r>
        <w:rPr>
          <w:rStyle w:val="CommentReference"/>
        </w:rPr>
        <w:annotationRef/>
      </w:r>
      <w:r w:rsidR="008448F2">
        <w:rPr>
          <w:sz w:val="20"/>
          <w:szCs w:val="20"/>
        </w:rPr>
        <w:t>State the exact reference sequences and thresholds used. I suggest keeping the same thresholds for every sample so that time to alert is comparable across the Ct range, and reporting a sensitivity analysis over a few threshold values in a supplementary table.</w:t>
      </w:r>
    </w:p>
  </w:comment>
  <w:comment w:id="6" w:author="Draft notes" w:date="2026-09-25T02:42:00Z" w:initials="DN">
    <w:p w14:paraId="6BFB1F04" w14:textId="77777777" w:rsidR="00564CF7" w:rsidRDefault="00CB4E6A">
      <w:r>
        <w:rPr>
          <w:rStyle w:val="CommentReference"/>
        </w:rPr>
        <w:annotationRef/>
      </w:r>
      <w:r w:rsidR="008448F2">
        <w:rPr>
          <w:sz w:val="20"/>
          <w:szCs w:val="20"/>
        </w:rPr>
        <w:t>Please fill in the strain, the background sample type ("bull samples" in your notes), the number and range of spike levels, the kit and flow cell, and how the spike levels were separated (one flow cell per level, or barcodes on one flow cell). If barcodes were used with adaptive sampling on one flow cell, say so explicitly because the enrichment then competes across levels.</w:t>
      </w:r>
    </w:p>
  </w:comment>
  <w:comment w:id="7" w:author="Draft notes" w:date="2026-09-25T02:42:00Z" w:initials="DN">
    <w:p w14:paraId="1BE1CA27" w14:textId="77777777" w:rsidR="00564CF7" w:rsidRDefault="00CB4E6A">
      <w:r>
        <w:rPr>
          <w:rStyle w:val="CommentReference"/>
        </w:rPr>
        <w:annotationRef/>
      </w:r>
      <w:r w:rsidR="008448F2">
        <w:rPr>
          <w:sz w:val="20"/>
          <w:szCs w:val="20"/>
        </w:rPr>
        <w:t>Your notes mention the ASMR R package (github.com/coadunate/asmr) for adaptive-sampling analysis. If it was used to compute enrichment, describe it here and cite it. Otherwise the ratio of read fractions that nanoCAS records is sufficient and needs no extra tool.</w:t>
      </w:r>
    </w:p>
  </w:comment>
  <w:comment w:id="8" w:author="Draft notes" w:date="2026-09-25T02:42:00Z" w:initials="DN">
    <w:p w14:paraId="4014EAA6" w14:textId="77777777" w:rsidR="00564CF7" w:rsidRDefault="00CB4E6A">
      <w:r>
        <w:rPr>
          <w:rStyle w:val="CommentReference"/>
        </w:rPr>
        <w:annotationRef/>
      </w:r>
      <w:r w:rsidR="008448F2">
        <w:rPr>
          <w:sz w:val="20"/>
          <w:szCs w:val="20"/>
        </w:rPr>
        <w:t>If you also produced figures in R, cite R and the packages used and deposit the scripts with the data.</w:t>
      </w:r>
    </w:p>
  </w:comment>
  <w:comment w:id="9" w:author="Draft notes" w:date="2026-09-25T02:42:00Z" w:initials="DN">
    <w:p w14:paraId="7D7AA9C8" w14:textId="77777777" w:rsidR="00564CF7" w:rsidRDefault="00CB4E6A">
      <w:r>
        <w:rPr>
          <w:rStyle w:val="CommentReference"/>
        </w:rPr>
        <w:annotationRef/>
      </w:r>
      <w:r w:rsidR="008448F2">
        <w:rPr>
          <w:sz w:val="20"/>
          <w:szCs w:val="20"/>
        </w:rPr>
        <w:t>Results placeholder. Fig. 3a should show time to first alert against Ct, one point per sample, with undetected samples marked at the top of the axis.</w:t>
      </w:r>
    </w:p>
  </w:comment>
  <w:comment w:id="10" w:author="Draft notes" w:date="2026-09-25T02:42:00Z" w:initials="DN">
    <w:p w14:paraId="65D068CC" w14:textId="77777777" w:rsidR="00564CF7" w:rsidRDefault="00CB4E6A">
      <w:r>
        <w:rPr>
          <w:rStyle w:val="CommentReference"/>
        </w:rPr>
        <w:annotationRef/>
      </w:r>
      <w:r w:rsidR="008448F2">
        <w:rPr>
          <w:sz w:val="20"/>
          <w:szCs w:val="20"/>
        </w:rPr>
        <w:t>Your draft asks whether depth or breadth is the better metric for this correlation. This paragraph proposes an answer that follows from how the metrics are defined: read count and read fraction are proportional to pathogen genome copies over the whole range, breadth saturates. Confirm with the data and adjust the wording. If you want a single recommendation for a "standard", read fraction with a fixed threshold is the most defensible because it is independent of run yield.</w:t>
      </w:r>
    </w:p>
  </w:comment>
  <w:comment w:id="11" w:author="Draft notes" w:date="2026-09-25T02:42:00Z" w:initials="DN">
    <w:p w14:paraId="07513FCA" w14:textId="77777777" w:rsidR="00564CF7" w:rsidRDefault="00CB4E6A">
      <w:r>
        <w:rPr>
          <w:rStyle w:val="CommentReference"/>
        </w:rPr>
        <w:annotationRef/>
      </w:r>
      <w:r w:rsidR="008448F2">
        <w:rPr>
          <w:sz w:val="20"/>
          <w:szCs w:val="20"/>
        </w:rPr>
        <w:t>Adjust once the numbers are in. If some samples were only detected late or not at all, say so plainly and relate it to the Ct limit reported by Faino et al. for direct sequencing.</w:t>
      </w:r>
    </w:p>
  </w:comment>
  <w:comment w:id="12" w:author="Draft notes" w:date="2026-09-25T02:42:00Z" w:initials="DN">
    <w:p w14:paraId="5308EE84" w14:textId="77777777" w:rsidR="00564CF7" w:rsidRDefault="00CB4E6A">
      <w:r>
        <w:rPr>
          <w:rStyle w:val="CommentReference"/>
        </w:rPr>
        <w:annotationRef/>
      </w:r>
      <w:r w:rsidR="008448F2">
        <w:rPr>
          <w:sz w:val="20"/>
          <w:szCs w:val="20"/>
        </w:rPr>
        <w:t>Results placeholder. Fig. 4a: read fraction over time for each level with the 30-minute mark indicated. Fig. 4b: time to alert against spike level on a log axis. Table 4: per level, baseline fraction, post-AS fraction, enrichment factor, time to alert, final depth and breadth.</w:t>
      </w:r>
    </w:p>
  </w:comment>
  <w:comment w:id="13" w:author="Draft notes" w:date="2026-09-25T02:42:00Z" w:initials="DN">
    <w:p w14:paraId="18B31865" w14:textId="77777777" w:rsidR="00564CF7" w:rsidRDefault="00CB4E6A">
      <w:r>
        <w:rPr>
          <w:rStyle w:val="CommentReference"/>
        </w:rPr>
        <w:annotationRef/>
      </w:r>
      <w:r w:rsidR="008448F2">
        <w:rPr>
          <w:sz w:val="20"/>
          <w:szCs w:val="20"/>
        </w:rPr>
        <w:t>Only keep the IS711 / bcsp31 sentence if a feature rule was actually configured on those loci. If it was not, either run it on the replayed data (nanoCAS can replay a completed run from its fastq_pass directory) or delete the sentence. The Poisson statement follows from the poisson_detection_probability function in stats.py; report the fitted relationship if you want to keep it.</w:t>
      </w:r>
    </w:p>
  </w:comment>
  <w:comment w:id="14" w:author="Draft notes" w:date="2026-09-25T02:42:00Z" w:initials="DN">
    <w:p w14:paraId="29BB9763" w14:textId="77777777" w:rsidR="00564CF7" w:rsidRDefault="00CB4E6A">
      <w:r>
        <w:rPr>
          <w:rStyle w:val="CommentReference"/>
        </w:rPr>
        <w:annotationRef/>
      </w:r>
      <w:r w:rsidR="008448F2">
        <w:rPr>
          <w:sz w:val="20"/>
          <w:szCs w:val="20"/>
        </w:rPr>
        <w:t>Placeholder. If there was nothing notable in the run-health log, say so in one sentence: it is still useful to report that the monitor ran for three days with no false alarms.</w:t>
      </w:r>
    </w:p>
  </w:comment>
  <w:comment w:id="15" w:author="Draft notes" w:date="2026-09-25T02:42:00Z" w:initials="DN">
    <w:p w14:paraId="11C52C41" w14:textId="77777777" w:rsidR="00564CF7" w:rsidRDefault="00CB4E6A">
      <w:r>
        <w:rPr>
          <w:rStyle w:val="CommentReference"/>
        </w:rPr>
        <w:annotationRef/>
      </w:r>
      <w:r w:rsidR="008448F2">
        <w:rPr>
          <w:sz w:val="20"/>
          <w:szCs w:val="20"/>
        </w:rPr>
        <w:t>Create a Zenodo release of the repository at submission so that the software has a citable DOI, and deposit reads plus the nanoCAS project directories. BMC requires this statement, and reviewers of software papers usually test the tool on the deposited data.</w:t>
      </w:r>
    </w:p>
  </w:comment>
  <w:comment w:id="16" w:author="Draft notes" w:date="2026-09-25T02:42:00Z" w:initials="DN">
    <w:p w14:paraId="43D7A06C" w14:textId="77777777" w:rsidR="00564CF7" w:rsidRDefault="00CB4E6A">
      <w:r>
        <w:rPr>
          <w:rStyle w:val="CommentReference"/>
        </w:rPr>
        <w:annotationRef/>
      </w:r>
      <w:r w:rsidR="008448F2">
        <w:rPr>
          <w:sz w:val="20"/>
          <w:szCs w:val="20"/>
        </w:rPr>
        <w:t>All references were assembled from the published record but must be verified against the sources before submission, in particular author lists beyond the sixth author, page ranges (MARTi end page is missing) and access dates for the two web references. Vancouver style with numbering in order of first citation, as BMC requires. Unused keys in the generator: none.</w:t>
      </w:r>
    </w:p>
  </w:comment>
  <w:comment w:id="17" w:author="Draft notes" w:date="2026-09-25T02:42:00Z" w:initials="DN">
    <w:p w14:paraId="4232324A" w14:textId="77777777" w:rsidR="00564CF7" w:rsidRDefault="00CB4E6A">
      <w:r>
        <w:rPr>
          <w:rStyle w:val="CommentReference"/>
        </w:rPr>
        <w:annotationRef/>
      </w:r>
      <w:r w:rsidR="008448F2">
        <w:rPr>
          <w:sz w:val="20"/>
          <w:szCs w:val="20"/>
        </w:rPr>
        <w:t>Replace with screenshots from the real case studies if you prefer; the simulated ones are included so the draft is complete.</w:t>
      </w:r>
    </w:p>
  </w:comment>
  <w:comment w:id="18" w:author="Draft notes" w:date="2026-09-25T02:42:00Z" w:initials="DN">
    <w:p w14:paraId="1AC01FAB" w14:textId="77777777" w:rsidR="00564CF7" w:rsidRDefault="00CB4E6A">
      <w:r>
        <w:rPr>
          <w:rStyle w:val="CommentReference"/>
        </w:rPr>
        <w:annotationRef/>
      </w:r>
      <w:r w:rsidR="008448F2">
        <w:rPr>
          <w:sz w:val="20"/>
          <w:szCs w:val="20"/>
        </w:rPr>
        <w:t>Figure to be produced from the case-study data. nanoCAS exports the coverage time series (coverage.csv) and the alert log (alerts.jsonl) per project; the read-yield versus Ct plot in the Lab results tab can also be exported directly.</w:t>
      </w:r>
    </w:p>
  </w:comment>
  <w:comment w:id="19" w:author="Draft notes" w:date="2026-09-25T02:42:00Z" w:initials="DN">
    <w:p w14:paraId="578BB458" w14:textId="77777777" w:rsidR="00564CF7" w:rsidRDefault="00CB4E6A">
      <w:r>
        <w:rPr>
          <w:rStyle w:val="CommentReference"/>
        </w:rPr>
        <w:annotationRef/>
      </w:r>
      <w:r w:rsidR="008448F2">
        <w:rPr>
          <w:sz w:val="20"/>
          <w:szCs w:val="20"/>
        </w:rPr>
        <w:t>Figure to be produced from the case-study data.</w:t>
      </w:r>
    </w:p>
  </w:comment>
  <w:comment w:id="20" w:author="Draft notes" w:date="2026-09-25T02:42:00Z" w:initials="DN">
    <w:p w14:paraId="259269EA" w14:textId="77777777" w:rsidR="00564CF7" w:rsidRDefault="00CB4E6A">
      <w:r>
        <w:rPr>
          <w:rStyle w:val="CommentReference"/>
        </w:rPr>
        <w:annotationRef/>
      </w:r>
      <w:r w:rsidR="008448F2">
        <w:rPr>
          <w:sz w:val="20"/>
          <w:szCs w:val="20"/>
        </w:rPr>
        <w:t>Verify the table.</w:t>
      </w:r>
    </w:p>
  </w:comment>
  <w:comment w:id="21" w:author="Draft notes" w:date="2026-09-25T02:42:00Z" w:initials="DN">
    <w:p w14:paraId="7CF5F698" w14:textId="77777777" w:rsidR="00564CF7" w:rsidRDefault="00CB4E6A">
      <w:r>
        <w:rPr>
          <w:rStyle w:val="CommentReference"/>
        </w:rPr>
        <w:annotationRef/>
      </w:r>
      <w:r w:rsidR="008448F2">
        <w:rPr>
          <w:sz w:val="20"/>
          <w:szCs w:val="20"/>
        </w:rPr>
        <w:t>Table to be produced from the case-study data. The Lab results tab and the across-runs view in nanoCAS provide most of these columns.</w:t>
      </w:r>
    </w:p>
  </w:comment>
  <w:comment w:id="22" w:author="Draft notes" w:date="2026-09-25T02:42:00Z" w:initials="DN">
    <w:p w14:paraId="03021517" w14:textId="77777777" w:rsidR="00564CF7" w:rsidRDefault="00CB4E6A">
      <w:r>
        <w:rPr>
          <w:rStyle w:val="CommentReference"/>
        </w:rPr>
        <w:annotationRef/>
      </w:r>
      <w:r w:rsidR="008448F2">
        <w:rPr>
          <w:sz w:val="20"/>
          <w:szCs w:val="20"/>
        </w:rPr>
        <w:t>Table to be produced from the case-study data.</w:t>
      </w:r>
    </w:p>
  </w:comment>
  <w:comment w:id="23" w:author="Draft notes" w:date="2026-09-25T13:17:15Z" w:initials="DN">
    <w:p w14:paraId="770FB5BD" w14:textId="77777777">
      <w:r>
        <w:rPr>
          <w:rStyle w:val="CommentReference"/>
        </w:rPr>
        <w:annotationRef/>
      </w:r>
      <w:r>
        <w:rPr>
          <w:color w:val="000000"/>
          <w:sz w:val="20"/>
          <w:szCs w:val="20"/>
        </w:rPr>
        <w:t xml:space="preserve">Rewritten. The previous version cited the 2010 Xylella and 2004 Brucella qPCR papers as evidence that targeted amplification is still the routine method, which they cannot show. The claim now rests on the current diagnostic standards (EPPO PM 7/24 (5), 2023; WOAH Terrestrial Manual chapter 3.1.4, 2022) and two recent reviews (2025 plant bacterial diagnostics; 2024 brucellosis). Harper 2010 is kept only where it is the assay actually used in case study 1, and Probert 2004 only as the source of the IS711 target. Olsen and Palmer 2014 was removed.</w:t>
      </w:r>
    </w:p>
  </w:comment>
  <w:comment w:id="24" w:author="Draft notes" w:date="2026-09-25T13:17:15Z" w:initials="DN">
    <w:p w14:paraId="4FE288EE" w14:textId="77777777">
      <w:r>
        <w:rPr>
          <w:rStyle w:val="CommentReference"/>
        </w:rPr>
        <w:annotationRef/>
      </w:r>
      <w:r>
        <w:rPr>
          <w:color w:val="000000"/>
          <w:sz w:val="20"/>
          <w:szCs w:val="20"/>
        </w:rPr>
        <w:t xml:space="preserve">Reference list renumbered in order of first citation after the changes. Seven references were added (3, 4, 5, 6, 7, 31, 32, 33) and one removed. Please verify the new ones: for refs 3 and 33 I could only confirm the first three authors, so the author lists need completing to six names before et al.; ref 4 is the EPPO Bulletin standard (2023;53:205-276); ref 5 is the WOAH chapter, 2022 version; ref 32 is a 2026 article, check that the volume and article number are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6D5D88" w15:done="0"/>
  <w15:commentEx w15:paraId="27A9F87C" w15:done="0"/>
  <w15:commentEx w15:paraId="3EAE6ADD" w15:done="0"/>
  <w15:commentEx w15:paraId="44467481" w15:done="0"/>
  <w15:commentEx w15:paraId="5DF058FF" w15:done="0"/>
  <w15:commentEx w15:paraId="68930A32" w15:done="0"/>
  <w15:commentEx w15:paraId="6BFB1F04" w15:done="0"/>
  <w15:commentEx w15:paraId="1BE1CA27" w15:done="0"/>
  <w15:commentEx w15:paraId="4014EAA6" w15:done="0"/>
  <w15:commentEx w15:paraId="7D7AA9C8" w15:done="0"/>
  <w15:commentEx w15:paraId="65D068CC" w15:done="0"/>
  <w15:commentEx w15:paraId="07513FCA" w15:done="0"/>
  <w15:commentEx w15:paraId="5308EE84" w15:done="0"/>
  <w15:commentEx w15:paraId="18B31865" w15:done="0"/>
  <w15:commentEx w15:paraId="29BB9763" w15:done="0"/>
  <w15:commentEx w15:paraId="11C52C41" w15:done="0"/>
  <w15:commentEx w15:paraId="43D7A06C" w15:done="0"/>
  <w15:commentEx w15:paraId="4232324A" w15:done="0"/>
  <w15:commentEx w15:paraId="1AC01FAB" w15:done="0"/>
  <w15:commentEx w15:paraId="578BB458" w15:done="0"/>
  <w15:commentEx w15:paraId="259269EA" w15:done="0"/>
  <w15:commentEx w15:paraId="7CF5F698" w15:done="0"/>
  <w15:commentEx w15:paraId="03021517" w15:done="0"/>
  <w15:commentEx w15:paraId="770FB5BD" w15:done="0"/>
  <w15:commentEx w15:paraId="4FE288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8F6DAB0" w16cex:dateUtc="2026-09-25T13:17:15Z"/>
  <w16cex:commentExtensible w16cex:durableId="5DB93CD8" w16cex:dateUtc="2026-09-25T13:17:1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6D5D88" w16cid:durableId="54782452"/>
  <w16cid:commentId w16cid:paraId="27A9F87C" w16cid:durableId="79DB89E8"/>
  <w16cid:commentId w16cid:paraId="3EAE6ADD" w16cid:durableId="522C700C"/>
  <w16cid:commentId w16cid:paraId="44467481" w16cid:durableId="79461440"/>
  <w16cid:commentId w16cid:paraId="5DF058FF" w16cid:durableId="03E18D15"/>
  <w16cid:commentId w16cid:paraId="68930A32" w16cid:durableId="75C3DEA2"/>
  <w16cid:commentId w16cid:paraId="6BFB1F04" w16cid:durableId="70A767D4"/>
  <w16cid:commentId w16cid:paraId="1BE1CA27" w16cid:durableId="62BD231E"/>
  <w16cid:commentId w16cid:paraId="4014EAA6" w16cid:durableId="0EC7EAAB"/>
  <w16cid:commentId w16cid:paraId="7D7AA9C8" w16cid:durableId="07282B85"/>
  <w16cid:commentId w16cid:paraId="65D068CC" w16cid:durableId="5D3AE6B3"/>
  <w16cid:commentId w16cid:paraId="07513FCA" w16cid:durableId="6913973F"/>
  <w16cid:commentId w16cid:paraId="5308EE84" w16cid:durableId="2E7B26F2"/>
  <w16cid:commentId w16cid:paraId="18B31865" w16cid:durableId="5EF8471B"/>
  <w16cid:commentId w16cid:paraId="29BB9763" w16cid:durableId="335741DC"/>
  <w16cid:commentId w16cid:paraId="11C52C41" w16cid:durableId="64CE546C"/>
  <w16cid:commentId w16cid:paraId="43D7A06C" w16cid:durableId="3D8AF65E"/>
  <w16cid:commentId w16cid:paraId="4232324A" w16cid:durableId="34D9B5C6"/>
  <w16cid:commentId w16cid:paraId="1AC01FAB" w16cid:durableId="67B9AE79"/>
  <w16cid:commentId w16cid:paraId="578BB458" w16cid:durableId="4546F549"/>
  <w16cid:commentId w16cid:paraId="259269EA" w16cid:durableId="37DBB38E"/>
  <w16cid:commentId w16cid:paraId="7CF5F698" w16cid:durableId="088F5627"/>
  <w16cid:commentId w16cid:paraId="03021517" w16cid:durableId="647AE87D"/>
  <w16cid:commentId w16cid:paraId="770FB5BD" w16cid:durableId="38F6DAB0"/>
  <w16cid:commentId w16cid:paraId="4FE288EE" w16cid:durableId="5DB93C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78B28" w14:textId="77777777" w:rsidR="008448F2" w:rsidRDefault="008448F2">
      <w:r>
        <w:separator/>
      </w:r>
    </w:p>
  </w:endnote>
  <w:endnote w:type="continuationSeparator" w:id="0">
    <w:p w14:paraId="0750247A" w14:textId="77777777" w:rsidR="008448F2" w:rsidRDefault="008448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A9D4" w14:textId="77777777" w:rsidR="00564CF7" w:rsidRDefault="008448F2">
    <w:pPr>
      <w:jc w:val="center"/>
    </w:pPr>
    <w:r>
      <w:rPr>
        <w:sz w:val="18"/>
        <w:szCs w:val="18"/>
      </w:rPr>
      <w:fldChar w:fldCharType="begin"/>
    </w:r>
    <w:r>
      <w:rPr>
        <w:sz w:val="18"/>
        <w:szCs w:val="18"/>
      </w:rPr>
      <w:instrText>PAGE</w:instrText>
    </w:r>
    <w:r>
      <w:rPr>
        <w:sz w:val="18"/>
        <w:szCs w:val="18"/>
      </w:rPr>
      <w:fldChar w:fldCharType="separate"/>
    </w:r>
    <w:r w:rsidR="00CB4E6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34B63" w14:textId="77777777" w:rsidR="008448F2" w:rsidRDefault="008448F2">
      <w:r>
        <w:separator/>
      </w:r>
    </w:p>
  </w:footnote>
  <w:footnote w:type="continuationSeparator" w:id="0">
    <w:p w14:paraId="6D03AD3B" w14:textId="77777777" w:rsidR="008448F2" w:rsidRDefault="008448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F1018" w14:textId="4B30E717" w:rsidR="00CB4E6A" w:rsidRDefault="00CB4E6A">
    <w:pPr>
      <w:pStyle w:val="Header"/>
    </w:pPr>
    <w:r>
      <w:rPr>
        <w:noProof/>
      </w:rPr>
      <mc:AlternateContent>
        <mc:Choice Requires="wps">
          <w:drawing>
            <wp:anchor distT="0" distB="0" distL="0" distR="0" simplePos="0" relativeHeight="251659264" behindDoc="0" locked="0" layoutInCell="1" allowOverlap="1" wp14:anchorId="2E1E2C55" wp14:editId="4506FA74">
              <wp:simplePos x="635" y="635"/>
              <wp:positionH relativeFrom="page">
                <wp:align>right</wp:align>
              </wp:positionH>
              <wp:positionV relativeFrom="page">
                <wp:align>top</wp:align>
              </wp:positionV>
              <wp:extent cx="2032635" cy="376555"/>
              <wp:effectExtent l="0" t="0" r="0" b="4445"/>
              <wp:wrapNone/>
              <wp:docPr id="502873238"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2635" cy="376555"/>
                      </a:xfrm>
                      <a:prstGeom prst="rect">
                        <a:avLst/>
                      </a:prstGeom>
                      <a:noFill/>
                      <a:ln>
                        <a:noFill/>
                      </a:ln>
                    </wps:spPr>
                    <wps:txbx>
                      <w:txbxContent>
                        <w:p w14:paraId="4FDFF22D" w14:textId="5D5A8003"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1E2C55" id="_x0000_t202" coordsize="21600,21600" o:spt="202" path="m,l,21600r21600,l21600,xe">
              <v:stroke joinstyle="miter"/>
              <v:path gradientshapeok="t" o:connecttype="rect"/>
            </v:shapetype>
            <v:shape id="Text Box 2" o:spid="_x0000_s1026" type="#_x0000_t202" alt="Unclassified | Non classifié" style="position:absolute;margin-left:120.05pt;margin-top:0;width:160.05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" filled="f" stroked="f">
              <v:fill o:detectmouseclick="t"/>
              <v:textbox style="mso-fit-shape-to-text:t" inset="0,15pt,20pt,0">
                <w:txbxContent>
                  <w:p w14:paraId="4FDFF22D" w14:textId="5D5A8003"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0F95C" w14:textId="51F91C79" w:rsidR="00CB4E6A" w:rsidRDefault="00CB4E6A">
    <w:pPr>
      <w:pStyle w:val="Header"/>
    </w:pPr>
    <w:r>
      <w:rPr>
        <w:noProof/>
      </w:rPr>
      <mc:AlternateContent>
        <mc:Choice Requires="wps">
          <w:drawing>
            <wp:anchor distT="0" distB="0" distL="0" distR="0" simplePos="0" relativeHeight="251660288" behindDoc="0" locked="0" layoutInCell="1" allowOverlap="1" wp14:anchorId="5CC63C53" wp14:editId="6BC58530">
              <wp:simplePos x="914400" y="450574"/>
              <wp:positionH relativeFrom="page">
                <wp:align>right</wp:align>
              </wp:positionH>
              <wp:positionV relativeFrom="page">
                <wp:align>top</wp:align>
              </wp:positionV>
              <wp:extent cx="2032635" cy="376555"/>
              <wp:effectExtent l="0" t="0" r="0" b="4445"/>
              <wp:wrapNone/>
              <wp:docPr id="70445892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2635" cy="376555"/>
                      </a:xfrm>
                      <a:prstGeom prst="rect">
                        <a:avLst/>
                      </a:prstGeom>
                      <a:noFill/>
                      <a:ln>
                        <a:noFill/>
                      </a:ln>
                    </wps:spPr>
                    <wps:txbx>
                      <w:txbxContent>
                        <w:p w14:paraId="59F53A24" w14:textId="2FC4635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CC63C53" id="_x0000_t202" coordsize="21600,21600" o:spt="202" path="m,l,21600r21600,l21600,xe">
              <v:stroke joinstyle="miter"/>
              <v:path gradientshapeok="t" o:connecttype="rect"/>
            </v:shapetype>
            <v:shape id="Text Box 3" o:spid="_x0000_s1027" type="#_x0000_t202" alt="Unclassified | Non classifié" style="position:absolute;margin-left:120.05pt;margin-top:0;width:160.05pt;height:29.6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" filled="f" stroked="f">
              <v:fill o:detectmouseclick="t"/>
              <v:textbox style="mso-fit-shape-to-text:t" inset="0,15pt,20pt,0">
                <w:txbxContent>
                  <w:p w14:paraId="59F53A24" w14:textId="2FC4635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D66FB" w14:textId="137FBD0E" w:rsidR="00CB4E6A" w:rsidRDefault="00CB4E6A">
    <w:pPr>
      <w:pStyle w:val="Header"/>
    </w:pPr>
    <w:r>
      <w:rPr>
        <w:noProof/>
      </w:rPr>
      <mc:AlternateContent>
        <mc:Choice Requires="wps">
          <w:drawing>
            <wp:anchor distT="0" distB="0" distL="0" distR="0" simplePos="0" relativeHeight="251658240" behindDoc="0" locked="0" layoutInCell="1" allowOverlap="1" wp14:anchorId="26848719" wp14:editId="7A4ADE9C">
              <wp:simplePos x="635" y="635"/>
              <wp:positionH relativeFrom="page">
                <wp:align>right</wp:align>
              </wp:positionH>
              <wp:positionV relativeFrom="page">
                <wp:align>top</wp:align>
              </wp:positionV>
              <wp:extent cx="2032635" cy="376555"/>
              <wp:effectExtent l="0" t="0" r="0" b="4445"/>
              <wp:wrapNone/>
              <wp:docPr id="1164957392"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2635" cy="376555"/>
                      </a:xfrm>
                      <a:prstGeom prst="rect">
                        <a:avLst/>
                      </a:prstGeom>
                      <a:noFill/>
                      <a:ln>
                        <a:noFill/>
                      </a:ln>
                    </wps:spPr>
                    <wps:txbx>
                      <w:txbxContent>
                        <w:p w14:paraId="3C0D56DC" w14:textId="66CA159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6848719" id="_x0000_t202" coordsize="21600,21600" o:spt="202" path="m,l,21600r21600,l21600,xe">
              <v:stroke joinstyle="miter"/>
              <v:path gradientshapeok="t" o:connecttype="rect"/>
            </v:shapetype>
            <v:shape id="Text Box 1" o:spid="_x0000_s1028" type="#_x0000_t202" alt="Unclassified | Non classifié" style="position:absolute;margin-left:120.05pt;margin-top:0;width:160.05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" filled="f" stroked="f">
              <v:fill o:detectmouseclick="t"/>
              <v:textbox style="mso-fit-shape-to-text:t" inset="0,15pt,20pt,0">
                <w:txbxContent>
                  <w:p w14:paraId="3C0D56DC" w14:textId="66CA159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5449A"/>
    <w:multiLevelType w:val="hybridMultilevel"/>
    <w:tmpl w:val="0E203614"/>
    <w:lvl w:ilvl="0" w:tplc="EB8C1288">
      <w:start w:val="1"/>
      <w:numFmt w:val="decimal"/>
      <w:lvlText w:val="%1."/>
      <w:lvlJc w:val="left"/>
      <w:pPr>
        <w:ind w:left="500" w:hanging="400"/>
      </w:pPr>
    </w:lvl>
    <w:lvl w:ilvl="1" w:tplc="6BECD30A">
      <w:numFmt w:val="decimal"/>
      <w:lvlText w:val=""/>
      <w:lvlJc w:val="left"/>
    </w:lvl>
    <w:lvl w:ilvl="2" w:tplc="C3C85380">
      <w:numFmt w:val="decimal"/>
      <w:lvlText w:val=""/>
      <w:lvlJc w:val="left"/>
    </w:lvl>
    <w:lvl w:ilvl="3" w:tplc="C40A5070">
      <w:numFmt w:val="decimal"/>
      <w:lvlText w:val=""/>
      <w:lvlJc w:val="left"/>
    </w:lvl>
    <w:lvl w:ilvl="4" w:tplc="6BCA910C">
      <w:numFmt w:val="decimal"/>
      <w:lvlText w:val=""/>
      <w:lvlJc w:val="left"/>
    </w:lvl>
    <w:lvl w:ilvl="5" w:tplc="19E01574">
      <w:numFmt w:val="decimal"/>
      <w:lvlText w:val=""/>
      <w:lvlJc w:val="left"/>
    </w:lvl>
    <w:lvl w:ilvl="6" w:tplc="635AD856">
      <w:numFmt w:val="decimal"/>
      <w:lvlText w:val=""/>
      <w:lvlJc w:val="left"/>
    </w:lvl>
    <w:lvl w:ilvl="7" w:tplc="ED7C3D36">
      <w:numFmt w:val="decimal"/>
      <w:lvlText w:val=""/>
      <w:lvlJc w:val="left"/>
    </w:lvl>
    <w:lvl w:ilvl="8" w:tplc="AE045400">
      <w:numFmt w:val="decimal"/>
      <w:lvlText w:val=""/>
      <w:lvlJc w:val="left"/>
    </w:lvl>
  </w:abstractNum>
  <w:abstractNum w:abstractNumId="1" w15:restartNumberingAfterBreak="0">
    <w:nsid w:val="494E67C4"/>
    <w:multiLevelType w:val="hybridMultilevel"/>
    <w:tmpl w:val="4874FF58"/>
    <w:lvl w:ilvl="0" w:tplc="89667CAE">
      <w:start w:val="1"/>
      <w:numFmt w:val="bullet"/>
      <w:lvlText w:val="•"/>
      <w:lvlJc w:val="left"/>
      <w:pPr>
        <w:ind w:left="500" w:hanging="300"/>
      </w:pPr>
    </w:lvl>
    <w:lvl w:ilvl="1" w:tplc="ACF4BAD0">
      <w:numFmt w:val="decimal"/>
      <w:lvlText w:val=""/>
      <w:lvlJc w:val="left"/>
    </w:lvl>
    <w:lvl w:ilvl="2" w:tplc="32AC5668">
      <w:numFmt w:val="decimal"/>
      <w:lvlText w:val=""/>
      <w:lvlJc w:val="left"/>
    </w:lvl>
    <w:lvl w:ilvl="3" w:tplc="6A88492C">
      <w:numFmt w:val="decimal"/>
      <w:lvlText w:val=""/>
      <w:lvlJc w:val="left"/>
    </w:lvl>
    <w:lvl w:ilvl="4" w:tplc="96667426">
      <w:numFmt w:val="decimal"/>
      <w:lvlText w:val=""/>
      <w:lvlJc w:val="left"/>
    </w:lvl>
    <w:lvl w:ilvl="5" w:tplc="6302A1A0">
      <w:numFmt w:val="decimal"/>
      <w:lvlText w:val=""/>
      <w:lvlJc w:val="left"/>
    </w:lvl>
    <w:lvl w:ilvl="6" w:tplc="E4843D5E">
      <w:numFmt w:val="decimal"/>
      <w:lvlText w:val=""/>
      <w:lvlJc w:val="left"/>
    </w:lvl>
    <w:lvl w:ilvl="7" w:tplc="D1AE9724">
      <w:numFmt w:val="decimal"/>
      <w:lvlText w:val=""/>
      <w:lvlJc w:val="left"/>
    </w:lvl>
    <w:lvl w:ilvl="8" w:tplc="AAA650F8">
      <w:numFmt w:val="decimal"/>
      <w:lvlText w:val=""/>
      <w:lvlJc w:val="left"/>
    </w:lvl>
  </w:abstractNum>
  <w:abstractNum w:abstractNumId="2" w15:restartNumberingAfterBreak="0">
    <w:nsid w:val="66AD5263"/>
    <w:multiLevelType w:val="hybridMultilevel"/>
    <w:tmpl w:val="CAE07C40"/>
    <w:lvl w:ilvl="0" w:tplc="0CE2B5E0">
      <w:start w:val="1"/>
      <w:numFmt w:val="bullet"/>
      <w:lvlText w:val="●"/>
      <w:lvlJc w:val="left"/>
      <w:pPr>
        <w:ind w:left="720" w:hanging="360"/>
      </w:pPr>
    </w:lvl>
    <w:lvl w:ilvl="1" w:tplc="CC022856">
      <w:start w:val="1"/>
      <w:numFmt w:val="bullet"/>
      <w:lvlText w:val="○"/>
      <w:lvlJc w:val="left"/>
      <w:pPr>
        <w:ind w:left="1440" w:hanging="360"/>
      </w:pPr>
    </w:lvl>
    <w:lvl w:ilvl="2" w:tplc="B5C0F914">
      <w:start w:val="1"/>
      <w:numFmt w:val="bullet"/>
      <w:lvlText w:val="■"/>
      <w:lvlJc w:val="left"/>
      <w:pPr>
        <w:ind w:left="2160" w:hanging="360"/>
      </w:pPr>
    </w:lvl>
    <w:lvl w:ilvl="3" w:tplc="409649A2">
      <w:start w:val="1"/>
      <w:numFmt w:val="bullet"/>
      <w:lvlText w:val="●"/>
      <w:lvlJc w:val="left"/>
      <w:pPr>
        <w:ind w:left="2880" w:hanging="360"/>
      </w:pPr>
    </w:lvl>
    <w:lvl w:ilvl="4" w:tplc="48B25F5E">
      <w:start w:val="1"/>
      <w:numFmt w:val="bullet"/>
      <w:lvlText w:val="○"/>
      <w:lvlJc w:val="left"/>
      <w:pPr>
        <w:ind w:left="3600" w:hanging="360"/>
      </w:pPr>
    </w:lvl>
    <w:lvl w:ilvl="5" w:tplc="04BAB834">
      <w:start w:val="1"/>
      <w:numFmt w:val="bullet"/>
      <w:lvlText w:val="■"/>
      <w:lvlJc w:val="left"/>
      <w:pPr>
        <w:ind w:left="4320" w:hanging="360"/>
      </w:pPr>
    </w:lvl>
    <w:lvl w:ilvl="6" w:tplc="12C46EB6">
      <w:start w:val="1"/>
      <w:numFmt w:val="bullet"/>
      <w:lvlText w:val="●"/>
      <w:lvlJc w:val="left"/>
      <w:pPr>
        <w:ind w:left="5040" w:hanging="360"/>
      </w:pPr>
    </w:lvl>
    <w:lvl w:ilvl="7" w:tplc="9CE0ADEA">
      <w:start w:val="1"/>
      <w:numFmt w:val="bullet"/>
      <w:lvlText w:val="●"/>
      <w:lvlJc w:val="left"/>
      <w:pPr>
        <w:ind w:left="5760" w:hanging="360"/>
      </w:pPr>
    </w:lvl>
    <w:lvl w:ilvl="8" w:tplc="9BE8A9E2">
      <w:start w:val="1"/>
      <w:numFmt w:val="bullet"/>
      <w:lvlText w:val="●"/>
      <w:lvlJc w:val="left"/>
      <w:pPr>
        <w:ind w:left="6480" w:hanging="360"/>
      </w:pPr>
    </w:lvl>
  </w:abstractNum>
  <w:num w:numId="1" w16cid:durableId="752703809">
    <w:abstractNumId w:val="2"/>
    <w:lvlOverride w:ilvl="0">
      <w:startOverride w:val="1"/>
    </w:lvlOverride>
  </w:num>
  <w:num w:numId="2" w16cid:durableId="19308933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CF7"/>
    <w:rsid w:val="002E3745"/>
    <w:rsid w:val="00564CF7"/>
    <w:rsid w:val="0072324C"/>
    <w:rsid w:val="008448F2"/>
    <w:rsid w:val="00B23367"/>
    <w:rsid w:val="00CB4E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66FDB"/>
  <w15:docId w15:val="{C91FD2D0-1961-4D9C-B505-A605FC59A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CB4E6A"/>
    <w:pPr>
      <w:tabs>
        <w:tab w:val="center" w:pos="4680"/>
        <w:tab w:val="right" w:pos="9360"/>
      </w:tabs>
    </w:pPr>
  </w:style>
  <w:style w:type="character" w:customStyle="1" w:styleId="HeaderChar">
    <w:name w:val="Header Char"/>
    <w:basedOn w:val="DefaultParagraphFont"/>
    <w:link w:val="Header"/>
    <w:uiPriority w:val="99"/>
    <w:rsid w:val="00CB4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 Id="rId1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19</Pages>
  <Words>5872</Words>
  <Characters>33475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nanoCAS manuscript draft</vt:lpstr>
    </vt:vector>
  </TitlesOfParts>
  <Company/>
  <LinksUpToDate>false</LinksUpToDate>
  <CharactersWithSpaces>39269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nanoCAS manuscript draft</dc:title>
  <dc:creator>nanoCAS authors</dc:creator>
  <cp:lastModifiedBy>Soomro, Tayab (AAFC/AAC)</cp:lastModifiedBy>
  <cp:revision>2</cp:revision>
  <dcterms:created xsi:type="dcterms:W3CDTF">2026-09-25T02:42:00Z</dcterms:created>
  <dcterms:modified xsi:type="dcterms:W3CDTF">2026-09-25T13:09:00Z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456fd6d0,1df93c96,29fd30b1</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baad8967-3ba6-4b00-a759-20a8ca19a393_Enabled">
    <vt:lpwstr>true</vt:lpwstr>
  </property>
  <property fmtid="{D5CDD505-2E9C-101B-9397-08002B2CF9AE}" pid="6" name="MSIP_Label_baad8967-3ba6-4b00-a759-20a8ca19a393_SetDate">
    <vt:lpwstr>2026-09-25T12:44:29Z</vt:lpwstr>
  </property>
  <property fmtid="{D5CDD505-2E9C-101B-9397-08002B2CF9AE}" pid="7" name="MSIP_Label_baad8967-3ba6-4b00-a759-20a8ca19a393_Method">
    <vt:lpwstr>Privileged</vt:lpwstr>
  </property>
  <property fmtid="{D5CDD505-2E9C-101B-9397-08002B2CF9AE}" pid="8" name="MSIP_Label_baad8967-3ba6-4b00-a759-20a8ca19a393_Name">
    <vt:lpwstr>UNCLASSIFIED</vt:lpwstr>
  </property>
  <property fmtid="{D5CDD505-2E9C-101B-9397-08002B2CF9AE}" pid="9" name="MSIP_Label_baad8967-3ba6-4b00-a759-20a8ca19a393_SiteId">
    <vt:lpwstr>9da98bb1-1857-4cc3-8751-9a49e35d24cd</vt:lpwstr>
  </property>
  <property fmtid="{D5CDD505-2E9C-101B-9397-08002B2CF9AE}" pid="10" name="MSIP_Label_baad8967-3ba6-4b00-a759-20a8ca19a393_ActionId">
    <vt:lpwstr>ca75c17e-c01e-453e-9021-f7a28ab610ed</vt:lpwstr>
  </property>
  <property fmtid="{D5CDD505-2E9C-101B-9397-08002B2CF9AE}" pid="11" name="MSIP_Label_baad8967-3ba6-4b00-a759-20a8ca19a393_ContentBits">
    <vt:lpwstr>1</vt:lpwstr>
  </property>
  <property fmtid="{D5CDD505-2E9C-101B-9397-08002B2CF9AE}" pid="12" name="MSIP_Label_baad8967-3ba6-4b00-a759-20a8ca19a393_Tag">
    <vt:lpwstr>10, 0, 1, 1</vt:lpwstr>
  </property>
</Properties>
</file>