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7A7" w:rsidRDefault="00F20BF2">
      <w:pPr>
        <w:spacing w:after="80" w:line="276" w:lineRule="auto"/>
        <w:jc w:val="center"/>
      </w:pPr>
      <w:r>
        <w:t>УДК 004.415.2</w:t>
      </w:r>
    </w:p>
    <w:p w:rsidR="000177A7" w:rsidRDefault="00F20BF2">
      <w:pPr>
        <w:spacing w:before="160" w:after="160"/>
        <w:jc w:val="center"/>
      </w:pPr>
      <w:r>
        <w:rPr>
          <w:b/>
          <w:bCs/>
          <w:sz w:val="28"/>
          <w:szCs w:val="28"/>
        </w:rPr>
        <w:t>МОДЕЛЬНО-ОРИЕНТИРОВАННЫЙ СИНТЕЗ ШАБЛОНОВ ПОЛЬЗОВАТЕЛЬСКИХ ИНТЕРФЕЙСОВ НА ОСНОВЕ СТРУКТУРИРОВАННЫХ ТРЕБОВАНИЙ: АРХИТЕКТУРА, АЛГОРИТМЫ И ЭКСПЕРИМЕНТАЛЬНАЯ ОЦЕНКА</w:t>
      </w:r>
    </w:p>
    <w:p w:rsidR="000177A7" w:rsidRDefault="00F20BF2">
      <w:pPr>
        <w:spacing w:after="80" w:line="276" w:lineRule="auto"/>
        <w:ind w:firstLine="397"/>
        <w:jc w:val="both"/>
      </w:pPr>
      <w:r>
        <w:rPr>
          <w:b/>
          <w:bCs/>
        </w:rPr>
        <w:t xml:space="preserve">Аннотация. </w:t>
      </w:r>
      <w:r>
        <w:t>Формирование первичного макета пользовательского интерфейса остаётся узким местом ранних стадий жизненного цикла цифровых продуктов: между структурированной спецификацией требований и её визуальным воплощением сохраняется технологический разрыв, преодолева</w:t>
      </w:r>
      <w:r>
        <w:t>емый преимущественно ручным трудом. В работе исследуется задача автоматизированного синтеза интерфейсных шаблонов по вектору проектных условий, формируемому интеллектуальной системой сбора требований. Предложен модельно-ориентированный подход, в котором ге</w:t>
      </w:r>
      <w:r>
        <w:t>нерация выполняется не в пиксельном пространстве, а непосредственно в пространстве типизированных структур интерфейса посредством параметрической композиции: семантические грамматики типов продуктов, отраслевые банки контента и детерминированный раскладчик</w:t>
      </w:r>
      <w:r>
        <w:t xml:space="preserve"> преобразуют вектор условий в граф раскладки с последующим экспортом в форматы JSON, HTML и SVG. Экспериментальная оценка на полной матрице из 369 конфигураций входного вектора показала: соблюдение всех входных ограничений подтверждено 3075 автоматическими</w:t>
      </w:r>
      <w:r>
        <w:t xml:space="preserve"> проверками (100 %); из 157 079 пар одноуровневых элементов ни одна не имеет непреднамеренного перекрытия; полный цикл генерации и экспорта занимает в среднем 2,24 </w:t>
      </w:r>
      <w:proofErr w:type="spellStart"/>
      <w:r>
        <w:t>мс</w:t>
      </w:r>
      <w:proofErr w:type="spellEnd"/>
      <w:r>
        <w:t xml:space="preserve"> на стандартном настольном оборудовании без GPU; при фиксированном зерне результат воспрои</w:t>
      </w:r>
      <w:r>
        <w:t xml:space="preserve">зводится </w:t>
      </w:r>
      <w:proofErr w:type="spellStart"/>
      <w:r>
        <w:t>побайтово</w:t>
      </w:r>
      <w:proofErr w:type="spellEnd"/>
      <w:r>
        <w:t xml:space="preserve">. Научная новизна состоит в конструктивном механизме гарантирования проектных ограничений, встроенном в процесс композиции, а также в архитектуре с подставляемым генеративным ядром, допускающей эволюционный переход к </w:t>
      </w:r>
      <w:proofErr w:type="spellStart"/>
      <w:r>
        <w:t>нейросетевой</w:t>
      </w:r>
      <w:proofErr w:type="spellEnd"/>
      <w:r>
        <w:t xml:space="preserve"> условной</w:t>
      </w:r>
      <w:r>
        <w:t xml:space="preserve"> генерации с использованием </w:t>
      </w:r>
      <w:proofErr w:type="spellStart"/>
      <w:r>
        <w:t>валидатора</w:t>
      </w:r>
      <w:proofErr w:type="spellEnd"/>
      <w:r>
        <w:t xml:space="preserve"> ограничений как источника обучающего сигнала.</w:t>
      </w:r>
    </w:p>
    <w:p w:rsidR="000177A7" w:rsidRDefault="00F20BF2">
      <w:pPr>
        <w:spacing w:after="80" w:line="276" w:lineRule="auto"/>
        <w:ind w:firstLine="397"/>
        <w:jc w:val="both"/>
      </w:pPr>
      <w:r>
        <w:rPr>
          <w:b/>
          <w:bCs/>
        </w:rPr>
        <w:t xml:space="preserve">Ключевые слова: </w:t>
      </w:r>
      <w:r>
        <w:t xml:space="preserve">автоматизированное проектирование интерфейсов; синтез макетов; параметрическая композиция; структурная генерация; вектор условий; граф раскладки; </w:t>
      </w:r>
      <w:proofErr w:type="spellStart"/>
      <w:r>
        <w:t>валидация</w:t>
      </w:r>
      <w:proofErr w:type="spellEnd"/>
      <w:r>
        <w:t xml:space="preserve"> ограничений; детерминированные алгоритмы; </w:t>
      </w:r>
      <w:proofErr w:type="spellStart"/>
      <w:r>
        <w:t>воспроизводимость</w:t>
      </w:r>
      <w:proofErr w:type="spellEnd"/>
      <w:r>
        <w:t xml:space="preserve">; дизайн-системы; доступность (WCAG); </w:t>
      </w:r>
      <w:proofErr w:type="spellStart"/>
      <w:r>
        <w:t>генеративно</w:t>
      </w:r>
      <w:proofErr w:type="spellEnd"/>
      <w:r>
        <w:t>-состязательные сети; диффузионные модели; интеллектуальные системы сбора требований; модельно-ориентированный подход.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1. Введение</w:t>
      </w:r>
    </w:p>
    <w:p w:rsidR="000177A7" w:rsidRDefault="00F20BF2">
      <w:pPr>
        <w:spacing w:after="80" w:line="276" w:lineRule="auto"/>
        <w:ind w:firstLine="397"/>
        <w:jc w:val="both"/>
      </w:pPr>
      <w:r>
        <w:t>Ранние стадии жи</w:t>
      </w:r>
      <w:r>
        <w:t>зненного цикла цифрового продукта характеризуются высокой ценой архитектурных решений: дефекты, заложенные на этапе предварительного проектирования, многократно дорожают по мере продвижения к реализации. Первичный макет интерфейса выполняет в этом процессе</w:t>
      </w:r>
      <w:r>
        <w:t xml:space="preserve"> несколько функций одновременно — служит средством коммуникации между заказчиком, дизайнером и разработчиком, инструментом ранней </w:t>
      </w:r>
      <w:proofErr w:type="spellStart"/>
      <w:r>
        <w:t>валидации</w:t>
      </w:r>
      <w:proofErr w:type="spellEnd"/>
      <w:r>
        <w:t xml:space="preserve"> концепции и опорой для последующей детальной проработки. Вместе с тем его создание традиционно остаётся ручной опера</w:t>
      </w:r>
      <w:r>
        <w:t>цией, требующей привлечения специалиста по UX/UI-дизайну даже тогда, когда состав требований уже формализован.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Для индивидуальных разработчиков и малых команд отсутствие штатного дизайнера превращает этап </w:t>
      </w:r>
      <w:proofErr w:type="spellStart"/>
      <w:r>
        <w:t>эскизирования</w:t>
      </w:r>
      <w:proofErr w:type="spellEnd"/>
      <w:r>
        <w:t xml:space="preserve"> в источник простоев: спецификация гот</w:t>
      </w:r>
      <w:r>
        <w:t xml:space="preserve">ова, технологический стек выбран, однако визуального представления продукта нет. Накопленные за последнее </w:t>
      </w:r>
      <w:r>
        <w:lastRenderedPageBreak/>
        <w:t xml:space="preserve">десятилетие корпуса размеченных интерфейсов — свыше 70 тысяч экранов мобильных приложений в RICO [1], сотни тысяч размеченных страниц в </w:t>
      </w:r>
      <w:proofErr w:type="spellStart"/>
      <w:r>
        <w:t>PubLayNet</w:t>
      </w:r>
      <w:proofErr w:type="spellEnd"/>
      <w:r>
        <w:t xml:space="preserve"> [2] </w:t>
      </w:r>
      <w:r>
        <w:t xml:space="preserve">— создали предпосылки для автоматизации этого этапа средствами машинного обучения. </w:t>
      </w:r>
      <w:proofErr w:type="spellStart"/>
      <w:r>
        <w:t>Генеративно</w:t>
      </w:r>
      <w:proofErr w:type="spellEnd"/>
      <w:r>
        <w:t xml:space="preserve">-состязательные сети [3, 4] и диффузионные вероятностные модели [5, 6] продемонстрировали способность порождать правдоподобные графические композиции по заданным </w:t>
      </w:r>
      <w:r>
        <w:t>условиям.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Однако прямой перенос </w:t>
      </w:r>
      <w:proofErr w:type="spellStart"/>
      <w:r>
        <w:t>нейросетевых</w:t>
      </w:r>
      <w:proofErr w:type="spellEnd"/>
      <w:r>
        <w:t xml:space="preserve"> методов в задачу первичного макетирования наталкивается на три препятствия. Во-первых, вероятностная природа генерации несовместима с требованием гарантированного соблюдения проектных ограничений: наличие запрош</w:t>
      </w:r>
      <w:r>
        <w:t xml:space="preserve">енной боковой навигации или тёмной темы в выходе вероятностной модели не гарантируется. Во-вторых, пошаговый </w:t>
      </w:r>
      <w:proofErr w:type="spellStart"/>
      <w:r>
        <w:t>инференс</w:t>
      </w:r>
      <w:proofErr w:type="spellEnd"/>
      <w:r>
        <w:t xml:space="preserve"> диффузионных моделей требует специализированной GPU-инфраструктуры, отсутствующей в типичном настольном сценарии. В-третьих, генерация в п</w:t>
      </w:r>
      <w:r>
        <w:t xml:space="preserve">иксельном пространстве вынуждает решать обратную задачу восстановления структуры, сопровождающуюся накоплением ошибок </w:t>
      </w:r>
      <w:proofErr w:type="spellStart"/>
      <w:r>
        <w:t>детекции</w:t>
      </w:r>
      <w:proofErr w:type="spellEnd"/>
      <w:r>
        <w:t xml:space="preserve"> [7].</w:t>
      </w:r>
    </w:p>
    <w:p w:rsidR="000177A7" w:rsidRDefault="00F20BF2">
      <w:pPr>
        <w:spacing w:after="80" w:line="276" w:lineRule="auto"/>
        <w:ind w:firstLine="397"/>
        <w:jc w:val="both"/>
      </w:pPr>
      <w:r>
        <w:t>В настоящей работе исследуется альтернатива: детерминированная параметрическая композиция непосредственно в пространстве стр</w:t>
      </w:r>
      <w:r>
        <w:t xml:space="preserve">уктур интерфейса. Такой подход сознательно сужает пространство возможных выходов до явно заложенных паттернов, получая взамен конструктивные гарантии соблюдения ограничений, полную </w:t>
      </w:r>
      <w:proofErr w:type="spellStart"/>
      <w:r>
        <w:t>воспроизводимость</w:t>
      </w:r>
      <w:proofErr w:type="spellEnd"/>
      <w:r>
        <w:t xml:space="preserve"> и латентность, пригодную для интерактивного применения бе</w:t>
      </w:r>
      <w:r>
        <w:t>з специализированного оборудования.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2. Постановка исследовательской задачи</w:t>
      </w:r>
    </w:p>
    <w:p w:rsidR="000177A7" w:rsidRDefault="00F20BF2">
      <w:pPr>
        <w:spacing w:after="80" w:line="276" w:lineRule="auto"/>
        <w:ind w:firstLine="397"/>
        <w:jc w:val="both"/>
      </w:pPr>
      <w:r>
        <w:t>Объектом исследования является процесс автоматизированного формирования первичного интерфейсного макета в составе интеллектуальной системы сбора требований к цифровым продуктам (веб</w:t>
      </w:r>
      <w:r>
        <w:t>-сайтам и настольным приложениям). Система анкетирует пользователя по тематическим блокам, охватывающим общие характеристики продукта и дизайн-параметры интерфейса; ответы используются для подбора технологического стека и — в рамках предлагаемого решения —</w:t>
      </w:r>
      <w:r>
        <w:t xml:space="preserve"> для синтеза визуального макета без каких-либо дополнительных действий пользователя.</w:t>
      </w:r>
    </w:p>
    <w:p w:rsidR="000177A7" w:rsidRDefault="00F20BF2">
      <w:pPr>
        <w:spacing w:after="80" w:line="276" w:lineRule="auto"/>
        <w:ind w:firstLine="397"/>
        <w:jc w:val="both"/>
      </w:pPr>
      <w:r>
        <w:t>Сформулируем исследовательские вопросы:</w:t>
      </w:r>
    </w:p>
    <w:p w:rsidR="000177A7" w:rsidRDefault="00F20BF2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RQ1: возможно ли построить семантически целостный и геометрически корректный макет интерфейса из структурированного набора проектны</w:t>
      </w:r>
      <w:r>
        <w:t xml:space="preserve">х параметров без </w:t>
      </w:r>
      <w:proofErr w:type="spellStart"/>
      <w:r>
        <w:t>нейросетевого</w:t>
      </w:r>
      <w:proofErr w:type="spellEnd"/>
      <w:r>
        <w:t xml:space="preserve"> синтеза;</w:t>
      </w:r>
    </w:p>
    <w:p w:rsidR="000177A7" w:rsidRDefault="00F20BF2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RQ2: какая архитектура обеспечивает гарантированное, а не вероятностное соблюдение проектных ограничений;</w:t>
      </w:r>
    </w:p>
    <w:p w:rsidR="000177A7" w:rsidRDefault="00F20BF2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RQ3: какой комплекс метрик адекватен оценке автоматически сгенерированного макета в роли первичного эскиза;</w:t>
      </w:r>
    </w:p>
    <w:p w:rsidR="000177A7" w:rsidRDefault="00F20BF2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RQ</w:t>
      </w:r>
      <w:r>
        <w:t xml:space="preserve">4: каковы количественные преимущества и принципиальные уступки параметрического подхода в сравнении с </w:t>
      </w:r>
      <w:proofErr w:type="spellStart"/>
      <w:r>
        <w:t>нейросетевым</w:t>
      </w:r>
      <w:proofErr w:type="spellEnd"/>
      <w:r>
        <w:t>.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Проверке подлежат следующие гипотезы. H1: встраивание ограничений в процесс композиции (а не в постобработку) обеспечивает их стопроцентное </w:t>
      </w:r>
      <w:r>
        <w:t xml:space="preserve">выполнение. H2: детерминированность алгоритма гарантирует побайтовую </w:t>
      </w:r>
      <w:proofErr w:type="spellStart"/>
      <w:r>
        <w:t>воспроизводимость</w:t>
      </w:r>
      <w:proofErr w:type="spellEnd"/>
      <w:r>
        <w:t xml:space="preserve"> результата при фиксированных входах. H3: вычислительная сложность параметрического синтеза допускает интерактивное применение на CPU общего назначения. H4: модульная арх</w:t>
      </w:r>
      <w:r>
        <w:t xml:space="preserve">итектура позволяет </w:t>
      </w:r>
      <w:r>
        <w:lastRenderedPageBreak/>
        <w:t xml:space="preserve">в дальнейшем заменить параметрическое ядро </w:t>
      </w:r>
      <w:proofErr w:type="spellStart"/>
      <w:r>
        <w:t>нейросетевым</w:t>
      </w:r>
      <w:proofErr w:type="spellEnd"/>
      <w:r>
        <w:t xml:space="preserve"> без перестройки конвейера, используя действующий </w:t>
      </w:r>
      <w:proofErr w:type="spellStart"/>
      <w:r>
        <w:t>валидатор</w:t>
      </w:r>
      <w:proofErr w:type="spellEnd"/>
      <w:r>
        <w:t xml:space="preserve"> ограничений как источник обучающего сигнала.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3. Анализ существующих подходов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3.1. Корпуса данных пользовательских интерфей</w:t>
      </w:r>
      <w:r>
        <w:rPr>
          <w:b/>
          <w:bCs/>
          <w:i/>
          <w:iCs/>
          <w:color w:val="000000"/>
          <w:sz w:val="24"/>
          <w:szCs w:val="24"/>
        </w:rPr>
        <w:t>сов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Инфраструктурную основу </w:t>
      </w:r>
      <w:proofErr w:type="spellStart"/>
      <w:r>
        <w:t>нейросетевой</w:t>
      </w:r>
      <w:proofErr w:type="spellEnd"/>
      <w:r>
        <w:t xml:space="preserve"> генерации макетов составляют открытые корпуса. RICO объединяет скриншоты, иерархии UI-деревьев и трассы взаимодействий мобильных приложений </w:t>
      </w:r>
      <w:proofErr w:type="spellStart"/>
      <w:r>
        <w:t>Android</w:t>
      </w:r>
      <w:proofErr w:type="spellEnd"/>
      <w:r>
        <w:t>, поддерживая задачи поиска по дизайну и синтеза раскладок [1]. Прои</w:t>
      </w:r>
      <w:r>
        <w:t xml:space="preserve">зводный корпус CLAY демонстрирует характерную проблему: автоматически собранная разметка зашумлена, и её очистка потребовала отдельного конвейера переразметки [8]. </w:t>
      </w:r>
      <w:proofErr w:type="spellStart"/>
      <w:r>
        <w:t>PubLayNet</w:t>
      </w:r>
      <w:proofErr w:type="spellEnd"/>
      <w:r>
        <w:t xml:space="preserve"> покрывает смежную область анализа макетов документов, предоставляя сотни тысяч стр</w:t>
      </w:r>
      <w:r>
        <w:t>аниц с разметкой структурных элементов [2]. Общий вывод из анализа корпусов: качество обучающего сигнала для генеративных моделей интерфейсов ограничено шумом исходной разметки, что мотивирует поиск источников чистых синтетических данных.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 xml:space="preserve">3.2.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Генеративно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>-</w:t>
      </w:r>
      <w:r>
        <w:rPr>
          <w:b/>
          <w:bCs/>
          <w:i/>
          <w:iCs/>
          <w:color w:val="000000"/>
          <w:sz w:val="24"/>
          <w:szCs w:val="24"/>
        </w:rPr>
        <w:t>состязательные и диффузионные модели раскладок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Условные GAN подают вектор условий на вход генератора и дискриминатора одновременно [3], что позволяет управлять атрибутами синтезируемой композиции; </w:t>
      </w:r>
      <w:proofErr w:type="spellStart"/>
      <w:r>
        <w:t>LayoutGAN</w:t>
      </w:r>
      <w:proofErr w:type="spellEnd"/>
      <w:r>
        <w:t xml:space="preserve"> распространил состязательную схему на прямую гене</w:t>
      </w:r>
      <w:r>
        <w:t xml:space="preserve">рацию наборов геометрических примитивов [4]. Диффузионные модели, вытеснившие GAN в генерации изображений [5], адаптированы к раскладкам в архитектуре </w:t>
      </w:r>
      <w:proofErr w:type="spellStart"/>
      <w:r>
        <w:t>LayoutDM</w:t>
      </w:r>
      <w:proofErr w:type="spellEnd"/>
      <w:r>
        <w:t xml:space="preserve">: </w:t>
      </w:r>
      <w:proofErr w:type="spellStart"/>
      <w:r>
        <w:t>трансформерное</w:t>
      </w:r>
      <w:proofErr w:type="spellEnd"/>
      <w:r>
        <w:t xml:space="preserve"> ядро в дискретном пространстве состояний превосходит состязательные аналоги по к</w:t>
      </w:r>
      <w:r>
        <w:t>ачеству и разнообразию структур при большей стабильности обучения [6]. Активно исследуется интеграция пользовательских ограничений в диффузионный процесс, однако ограничения в этих работах выступают мягкими условиями, влияющими на распределение, а не жёстк</w:t>
      </w:r>
      <w:r>
        <w:t>ими инвариантами выхода.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3.3. Критический анализ</w:t>
      </w:r>
    </w:p>
    <w:p w:rsidR="000177A7" w:rsidRDefault="00F20BF2">
      <w:pPr>
        <w:spacing w:after="80" w:line="276" w:lineRule="auto"/>
        <w:ind w:firstLine="397"/>
        <w:jc w:val="both"/>
      </w:pPr>
      <w:r>
        <w:t>Применительно к задаче первичного макетирования по структурированным требованиям существующие решения обнаруживают систематические пробелы. Они оптимизируют визуальное или геометрическое правдоподобие, но не оперируют прикладными атрибутами продукта: отрас</w:t>
      </w:r>
      <w:r>
        <w:t xml:space="preserve">левой спецификой, </w:t>
      </w:r>
      <w:proofErr w:type="spellStart"/>
      <w:r>
        <w:t>гайдлайнами</w:t>
      </w:r>
      <w:proofErr w:type="spellEnd"/>
      <w:r>
        <w:t xml:space="preserve"> дизайн-систем, стандартами доступности WCAG [9], логикой навигации. Вероятностный характер генерации не позволяет гарантировать наличие запрошенных компонентов. Наконец, вычислительная стоимость </w:t>
      </w:r>
      <w:proofErr w:type="spellStart"/>
      <w:r>
        <w:t>инференса</w:t>
      </w:r>
      <w:proofErr w:type="spellEnd"/>
      <w:r>
        <w:t xml:space="preserve"> диффузионных моделей </w:t>
      </w:r>
      <w:r>
        <w:t>избыточна для сценария «заполнил анкету — увидел эскиз» на офисном компьютере. Сопоставление подходов приведено в табл. 1.</w:t>
      </w:r>
    </w:p>
    <w:p w:rsidR="000177A7" w:rsidRDefault="00F20BF2">
      <w:pPr>
        <w:spacing w:before="160" w:after="60"/>
        <w:jc w:val="center"/>
      </w:pPr>
      <w:r>
        <w:rPr>
          <w:i/>
          <w:iCs/>
          <w:sz w:val="20"/>
          <w:szCs w:val="20"/>
        </w:rPr>
        <w:t>Таблица 1. Сопоставление подходов к генерации интерфейсных макетов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2166"/>
        <w:gridCol w:w="2347"/>
        <w:gridCol w:w="2347"/>
      </w:tblGrid>
      <w:tr w:rsidR="00017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Условные GAN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Диффузионные модели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Параметрическая композиция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Соблюдение ограничений</w:t>
            </w:r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вероятностное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вероятностное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конструктивно гарантированное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Детерминированность</w:t>
            </w:r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полная (по зерну)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 xml:space="preserve">Латентность </w:t>
            </w:r>
            <w:proofErr w:type="spellStart"/>
            <w:r>
              <w:rPr>
                <w:sz w:val="20"/>
                <w:szCs w:val="20"/>
              </w:rPr>
              <w:t>инференса</w:t>
            </w:r>
            <w:proofErr w:type="spellEnd"/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 xml:space="preserve">десятки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 xml:space="preserve"> (GPU)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 xml:space="preserve">сотни–тысячи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 xml:space="preserve"> (GPU)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 xml:space="preserve">единицы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  <w:r>
              <w:rPr>
                <w:sz w:val="20"/>
                <w:szCs w:val="20"/>
              </w:rPr>
              <w:t xml:space="preserve"> (CPU)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lastRenderedPageBreak/>
              <w:t>Пространство выходов</w:t>
            </w:r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непрерывное, широкое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непрерывное, широкое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дискретное, заложенное явно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Интерпретируемость решения</w:t>
            </w:r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 xml:space="preserve">полная </w:t>
            </w:r>
            <w:proofErr w:type="spellStart"/>
            <w:r>
              <w:rPr>
                <w:sz w:val="20"/>
                <w:szCs w:val="20"/>
              </w:rPr>
              <w:t>трассируемость</w:t>
            </w:r>
            <w:proofErr w:type="spellEnd"/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Расширение на новые паттерны</w:t>
            </w:r>
          </w:p>
        </w:tc>
        <w:tc>
          <w:tcPr>
            <w:tcW w:w="21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дообучение</w:t>
            </w:r>
            <w:proofErr w:type="spellEnd"/>
            <w:r>
              <w:rPr>
                <w:sz w:val="20"/>
                <w:szCs w:val="20"/>
              </w:rPr>
              <w:t xml:space="preserve"> на данных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дообучение</w:t>
            </w:r>
            <w:proofErr w:type="spellEnd"/>
            <w:r>
              <w:rPr>
                <w:sz w:val="20"/>
                <w:szCs w:val="20"/>
              </w:rPr>
              <w:t xml:space="preserve"> на данных</w:t>
            </w:r>
          </w:p>
        </w:tc>
        <w:tc>
          <w:tcPr>
            <w:tcW w:w="23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ручное пополнение грамматик</w:t>
            </w:r>
          </w:p>
        </w:tc>
      </w:tr>
    </w:tbl>
    <w:p w:rsidR="000177A7" w:rsidRDefault="000177A7">
      <w:pPr>
        <w:spacing w:after="160"/>
      </w:pP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4. Методология исследования</w:t>
      </w:r>
    </w:p>
    <w:p w:rsidR="000177A7" w:rsidRDefault="00F20BF2">
      <w:pPr>
        <w:spacing w:after="80" w:line="276" w:lineRule="auto"/>
        <w:ind w:firstLine="397"/>
        <w:jc w:val="both"/>
      </w:pPr>
      <w:r>
        <w:t>Методологической основой работы служит модельно-ориентированный подход: интерфейс рассматривается не как изображение, а как модель — типизированный граф структур, из которого визуальные представления выводятся детерминированными</w:t>
      </w:r>
      <w:r>
        <w:t xml:space="preserve"> преобразованиями. Правомерность параметрической аппроксимации пространства макетов опирается на два наблюдения. Во-первых, коммерческие интерфейсы внутри одного класса продуктов структурно регулярны: </w:t>
      </w:r>
      <w:proofErr w:type="spellStart"/>
      <w:r>
        <w:t>лендинги</w:t>
      </w:r>
      <w:proofErr w:type="spellEnd"/>
      <w:r>
        <w:t>, интернет-магазины и новостные порталы воспрои</w:t>
      </w:r>
      <w:r>
        <w:t>зводят устойчивые композиционные схемы. Во-вторых, входное пространство само по себе конечно и дискретно — анкета порождает ограниченное множество комбинаций параметров, для которых правила композиции могут быть заданы явно.</w:t>
      </w:r>
    </w:p>
    <w:p w:rsidR="000177A7" w:rsidRDefault="00F20BF2">
      <w:pPr>
        <w:spacing w:after="80" w:line="276" w:lineRule="auto"/>
        <w:ind w:firstLine="397"/>
        <w:jc w:val="both"/>
      </w:pPr>
      <w:r>
        <w:t>Принципиальное методологическое</w:t>
      </w:r>
      <w:r>
        <w:t xml:space="preserve"> решение — перенос проверки ограничений из постобработки в конструирование. Требование пользователя материализуется как обязательный шаг композиции: запрошенная боковая навигация означает создание соответствующего контейнера, запрошенная тёмная тема — вычи</w:t>
      </w:r>
      <w:r>
        <w:t>сление второй палитры, требование доступности — усиление контраста и генерацию фокус-стилей. Нарушение ограничения при такой организации возможно только как программный дефект, обнаруживаемый тестами, но не как вероятностный исход генерации.</w:t>
      </w:r>
    </w:p>
    <w:p w:rsidR="000177A7" w:rsidRDefault="00F20BF2">
      <w:pPr>
        <w:spacing w:after="80" w:line="276" w:lineRule="auto"/>
        <w:ind w:firstLine="397"/>
        <w:jc w:val="both"/>
      </w:pPr>
      <w:r>
        <w:t>Компромисс меж</w:t>
      </w:r>
      <w:r>
        <w:t xml:space="preserve">ду детерминизмом и разнообразием разрешается управляемой </w:t>
      </w:r>
      <w:proofErr w:type="spellStart"/>
      <w:r>
        <w:t>стохастикой</w:t>
      </w:r>
      <w:proofErr w:type="spellEnd"/>
      <w:r>
        <w:t>: единственным источником вариации является зерно детерминированного генератора псевдослучайных чисел, воздействующее на выбор композиционных вариантов и перестановки однородного контента.</w:t>
      </w:r>
      <w:r>
        <w:t xml:space="preserve"> Фиксация зерна воспроизводит макет </w:t>
      </w:r>
      <w:proofErr w:type="spellStart"/>
      <w:r>
        <w:t>побайтово</w:t>
      </w:r>
      <w:proofErr w:type="spellEnd"/>
      <w:r>
        <w:t>; перебор зёрен даёт пользователю серию альтернатив в пределах заложенных степеней свободы.</w:t>
      </w:r>
    </w:p>
    <w:p w:rsidR="000177A7" w:rsidRDefault="00F20BF2">
      <w:pPr>
        <w:spacing w:after="80" w:line="276" w:lineRule="auto"/>
        <w:ind w:firstLine="397"/>
        <w:jc w:val="both"/>
      </w:pPr>
      <w:r>
        <w:t>Проверка гипотез организована следующим образом: H1 верифицируется набором автоматических проверок соответствия на полн</w:t>
      </w:r>
      <w:r>
        <w:t xml:space="preserve">ой матрице конфигураций; H2 — побайтовым сравнением повторных </w:t>
      </w:r>
      <w:proofErr w:type="spellStart"/>
      <w:r>
        <w:t>сериализаций</w:t>
      </w:r>
      <w:proofErr w:type="spellEnd"/>
      <w:r>
        <w:t>; H3 — микросекундным хронометражем этапов конвейера; H4 — архитектурным анализом интерфейсов между компонентами.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5. Архитектура модуля генерации</w:t>
      </w:r>
    </w:p>
    <w:p w:rsidR="000177A7" w:rsidRDefault="00F20BF2">
      <w:pPr>
        <w:spacing w:after="80" w:line="276" w:lineRule="auto"/>
        <w:ind w:firstLine="397"/>
        <w:jc w:val="both"/>
      </w:pPr>
      <w:r>
        <w:t>Модуль организован как трёхфазный конвейер с явными границами данных между фазами (рис. 1): подготовка данных преобразует ответы анкеты в вектор условий; генеративное ядро синтезирует граф раскладки; фаза экспорта порождает выходные представления и интегри</w:t>
      </w:r>
      <w:r>
        <w:t xml:space="preserve">рует результат в экран системы. Композитор спроектирован как подставляемый компонент: контракт «вектор условий на входе — граф раскладки на выходе» не фиксирует </w:t>
      </w:r>
      <w:r>
        <w:lastRenderedPageBreak/>
        <w:t xml:space="preserve">способ синтеза, что закладывает возможность замены параметрического ядра </w:t>
      </w:r>
      <w:proofErr w:type="spellStart"/>
      <w:r>
        <w:t>нейросетевым</w:t>
      </w:r>
      <w:proofErr w:type="spellEnd"/>
      <w:r>
        <w:t xml:space="preserve"> (штрихово</w:t>
      </w:r>
      <w:r>
        <w:t>й контур на схеме).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2790907" cy="36226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11309" t="3881" r="2420" b="7044"/>
                    <a:stretch/>
                  </pic:blipFill>
                  <pic:spPr bwMode="auto">
                    <a:xfrm>
                      <a:off x="0" y="0"/>
                      <a:ext cx="2796576" cy="3629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1. Схема данных модуля генерации интерфейсных шаблонов (обозначения по ГОСТ 19.701-90)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Вектор условий агрегирует одиннадцать групп параметров: тип продукта, отрасль, стилистику, схему навигации, объём страниц, режим тёмной темы, интенсивность </w:t>
      </w:r>
      <w:proofErr w:type="spellStart"/>
      <w:r>
        <w:t>анимаций</w:t>
      </w:r>
      <w:proofErr w:type="spellEnd"/>
      <w:r>
        <w:t>, уровень требований доступности, использование готовой UI-библиотеки и целевую дизайн-систе</w:t>
      </w:r>
      <w:r>
        <w:t xml:space="preserve">му. Категориальные ответы разворачиваются в параметры генерации через таблицы соответствия (рис. 2): отрасль определяет базовую палитру из утверждённого каталога и банк текстового наполнения (заголовки, услуги, товарные позиции); стилистика — модификаторы </w:t>
      </w:r>
      <w:r>
        <w:t xml:space="preserve">насыщенности и контрастности, радиусы </w:t>
      </w:r>
      <w:proofErr w:type="spellStart"/>
      <w:r>
        <w:t>скругления</w:t>
      </w:r>
      <w:proofErr w:type="spellEnd"/>
      <w:r>
        <w:t xml:space="preserve"> и плотность вёрстки; требования доступности — минимальные уровни контраста и обязательность фокус-состояний.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3999506" cy="2727919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3770" b="8826"/>
                    <a:stretch/>
                  </pic:blipFill>
                  <pic:spPr bwMode="auto">
                    <a:xfrm>
                      <a:off x="0" y="0"/>
                      <a:ext cx="4005096" cy="2731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2. Формирование вектора условий из ответов анкеты (обозначения по ГОСТ 19.701-90)</w:t>
      </w:r>
    </w:p>
    <w:p w:rsidR="000177A7" w:rsidRDefault="00F20BF2">
      <w:pPr>
        <w:spacing w:after="80" w:line="276" w:lineRule="auto"/>
        <w:ind w:firstLine="397"/>
        <w:jc w:val="both"/>
      </w:pPr>
      <w:r>
        <w:lastRenderedPageBreak/>
        <w:t>Существен</w:t>
      </w:r>
      <w:r>
        <w:t xml:space="preserve">ное отличие от систем класса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>-UI состоит в отсутствии отдельного дизайн-задания: пользователь отвечает на вопросы, необходимые системе для подбора технологического стека, а синтез макета встроен в этот же процесс как побочный, но самостоятельно ценн</w:t>
      </w:r>
      <w:r>
        <w:t>ый результат.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6. Алгоритмическое обеспечение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6.1. Синтез в пространстве структур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Генеративное ядро работает непосредственно в пространстве типизированных структур, минуя пиксельную стадию и тем самым исключая обратную задачу </w:t>
      </w:r>
      <w:proofErr w:type="spellStart"/>
      <w:r>
        <w:t>image-to-structure</w:t>
      </w:r>
      <w:proofErr w:type="spellEnd"/>
      <w:r>
        <w:t xml:space="preserve"> с её накопле</w:t>
      </w:r>
      <w:r>
        <w:t xml:space="preserve">нием ошибок </w:t>
      </w:r>
      <w:proofErr w:type="spellStart"/>
      <w:r>
        <w:t>детекции</w:t>
      </w:r>
      <w:proofErr w:type="spellEnd"/>
      <w:r>
        <w:t xml:space="preserve"> [7]. По типу продукта выбирается семантическая грамматика — упорядоченный набор смысловых секций (для веб-сайта: навигация, герой-блок, витрины контента, ценовые таблицы, подвал; для настольного приложения: заголовочная панель, командн</w:t>
      </w:r>
      <w:r>
        <w:t xml:space="preserve">ые области, рабочее пространство, строка состояния). Секции </w:t>
      </w:r>
      <w:proofErr w:type="spellStart"/>
      <w:r>
        <w:t>параметризуются</w:t>
      </w:r>
      <w:proofErr w:type="spellEnd"/>
      <w:r>
        <w:t xml:space="preserve"> вектором условий и банками контента, после чего курсорный раскладчик вычисляет абсолютные координаты, размеры и вложенность каждого элемента на холсте фиксированной ширины (1200 пи</w:t>
      </w:r>
      <w:r>
        <w:t>кселей для веб-макета, 1200×800 — для десктопного). Общая логика алгоритма, включая ветвление по требованию тёмной темы, приведена на рис. 3.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2918129" cy="395809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1032" t="2445" r="3684" b="11297"/>
                    <a:stretch/>
                  </pic:blipFill>
                  <pic:spPr bwMode="auto">
                    <a:xfrm>
                      <a:off x="0" y="0"/>
                      <a:ext cx="2921113" cy="3962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3. Схема алгоритма генерации интерфейсного шаблона (обозначения по ГОСТ 19.701-90)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6.2. Граф раскладки</w:t>
      </w:r>
    </w:p>
    <w:p w:rsidR="000177A7" w:rsidRDefault="00F20BF2">
      <w:pPr>
        <w:spacing w:after="80" w:line="276" w:lineRule="auto"/>
        <w:ind w:firstLine="397"/>
        <w:jc w:val="both"/>
      </w:pPr>
      <w:r>
        <w:t>Резу</w:t>
      </w:r>
      <w:r>
        <w:t>льтатом синтеза является граф раскладки — дерево узлов с типами (контейнер, текст, изображение, кнопка, чип, разделитель), абсолютной геометрией и атрибутами оформления. Фрагмент графа реальной конфигурации показан на рис. 4: секции верхнего уровня агрегир</w:t>
      </w:r>
      <w:r>
        <w:t xml:space="preserve">уют дочерние элементы, каждый узел несёт координаты и размеры, достаточные для </w:t>
      </w:r>
      <w:r>
        <w:lastRenderedPageBreak/>
        <w:t>точного воспроизведения макета любым потребителем формата. Средний граф насчитывает 70 узлов при глубине вложенности до двух уровней.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34000" cy="2114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4. Фрагмент графа раскладки для конф</w:t>
      </w:r>
      <w:r>
        <w:rPr>
          <w:i/>
          <w:iCs/>
          <w:sz w:val="20"/>
          <w:szCs w:val="20"/>
        </w:rPr>
        <w:t>игурации «</w:t>
      </w:r>
      <w:proofErr w:type="spellStart"/>
      <w:r>
        <w:rPr>
          <w:i/>
          <w:iCs/>
          <w:sz w:val="20"/>
          <w:szCs w:val="20"/>
        </w:rPr>
        <w:t>лендинг</w:t>
      </w:r>
      <w:proofErr w:type="spellEnd"/>
      <w:r>
        <w:rPr>
          <w:i/>
          <w:iCs/>
          <w:sz w:val="20"/>
          <w:szCs w:val="20"/>
        </w:rPr>
        <w:t xml:space="preserve"> · финансы · корпоративный стиль»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 xml:space="preserve">6.3.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Валидация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ограничений и экспорт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После синтеза граф проходит </w:t>
      </w:r>
      <w:proofErr w:type="spellStart"/>
      <w:r>
        <w:t>валидацию</w:t>
      </w:r>
      <w:proofErr w:type="spellEnd"/>
      <w:r>
        <w:t>: проверяются попадание элементов в границы холста, отсутствие непреднамеренных перекрытий одноуровневых элементов, соответствие со</w:t>
      </w:r>
      <w:r>
        <w:t>става секций типу продукта и материализация каждого запрошенного ограничения (тёмная палитра, контейнеры навигации, контрастные и фокус-требования доступности). Экспорт реализован в три формата: JSON переносит граф в графические редакторы и системы проекти</w:t>
      </w:r>
      <w:r>
        <w:t xml:space="preserve">рования; HTML разворачивает секции в автономную адаптивную страницу с палитрой и </w:t>
      </w:r>
      <w:proofErr w:type="spellStart"/>
      <w:r>
        <w:t>типографикой</w:t>
      </w:r>
      <w:proofErr w:type="spellEnd"/>
      <w:r>
        <w:t xml:space="preserve"> в CSS-переменных, медиа-запросом тёмной темы и фокус-стилями; для </w:t>
      </w:r>
      <w:proofErr w:type="spellStart"/>
      <w:r>
        <w:t>десктопных</w:t>
      </w:r>
      <w:proofErr w:type="spellEnd"/>
      <w:r>
        <w:t xml:space="preserve"> макетов формируется точный SVG-рендер. Соответствие структурного описания и визуально</w:t>
      </w:r>
      <w:r>
        <w:t>го представления иллюстрирует рис. 5.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33506" cy="3084802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5656" b="6569"/>
                    <a:stretch/>
                  </pic:blipFill>
                  <pic:spPr bwMode="auto">
                    <a:xfrm>
                      <a:off x="0" y="0"/>
                      <a:ext cx="5334000" cy="308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5. Пара «фрагмент JSON-описания — визуальное представление» для карточки товара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7. Экспериментальная программа</w:t>
      </w:r>
    </w:p>
    <w:p w:rsidR="000177A7" w:rsidRDefault="00F20BF2">
      <w:pPr>
        <w:spacing w:after="80" w:line="276" w:lineRule="auto"/>
        <w:ind w:firstLine="397"/>
        <w:jc w:val="both"/>
      </w:pPr>
      <w:r>
        <w:t>Оценка построена как полная факторизация входного пространства: вместо выборочных примеров модуль пр</w:t>
      </w:r>
      <w:r>
        <w:t xml:space="preserve">огнан на всех сочетаниях ключевых осей вариации (табл. 2). Матрица </w:t>
      </w:r>
      <w:r>
        <w:lastRenderedPageBreak/>
        <w:t xml:space="preserve">включает 189 веб-конфигураций (шесть типов сайтов × пять стилистик × три схемы навигации; одиннадцать отраслей × три режима тёмной темы × три уровня доступности) и 180 </w:t>
      </w:r>
      <w:proofErr w:type="spellStart"/>
      <w:r>
        <w:t>десктопных</w:t>
      </w:r>
      <w:proofErr w:type="spellEnd"/>
      <w:r>
        <w:t xml:space="preserve"> (четыре сх</w:t>
      </w:r>
      <w:r>
        <w:t>емы навигации × девять отраслей × пять дизайн-систем) — всего 369 конфигураций.</w:t>
      </w:r>
    </w:p>
    <w:p w:rsidR="000177A7" w:rsidRDefault="00F20BF2">
      <w:pPr>
        <w:spacing w:before="160" w:after="60"/>
        <w:jc w:val="center"/>
      </w:pPr>
      <w:r>
        <w:rPr>
          <w:i/>
          <w:iCs/>
          <w:sz w:val="20"/>
          <w:szCs w:val="20"/>
        </w:rPr>
        <w:t>Таблица 2. Матрица экспериментальных конфигураций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3"/>
        <w:gridCol w:w="2888"/>
        <w:gridCol w:w="1805"/>
      </w:tblGrid>
      <w:tr w:rsidR="00017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2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Оси вариации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Конфигураций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Веб: типы × стили × навигация</w:t>
            </w:r>
          </w:p>
        </w:tc>
        <w:tc>
          <w:tcPr>
            <w:tcW w:w="2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6 × 5 × 3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Веб: отрасли × тёмная тема × доступность</w:t>
            </w:r>
          </w:p>
        </w:tc>
        <w:tc>
          <w:tcPr>
            <w:tcW w:w="2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11 × 3 × 3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99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Десктоп: навигация × отрасли × дизайн-системы</w:t>
            </w:r>
          </w:p>
        </w:tc>
        <w:tc>
          <w:tcPr>
            <w:tcW w:w="2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4 × 9 × 5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2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369</w:t>
            </w:r>
          </w:p>
        </w:tc>
      </w:tr>
    </w:tbl>
    <w:p w:rsidR="000177A7" w:rsidRDefault="000177A7">
      <w:pPr>
        <w:spacing w:after="160"/>
      </w:pPr>
    </w:p>
    <w:p w:rsidR="000177A7" w:rsidRDefault="00F20BF2">
      <w:pPr>
        <w:spacing w:after="80" w:line="276" w:lineRule="auto"/>
        <w:ind w:firstLine="397"/>
        <w:jc w:val="both"/>
      </w:pPr>
      <w:r>
        <w:t>Метрики сгруппированы по пяти направлениям, каждое из которых отвечает на самостоятельный вопрос о пригодности модуля: латентность (пригоден ли модуль для интерактивн</w:t>
      </w:r>
      <w:r>
        <w:t xml:space="preserve">ого сценария), соблюдение ограничений (выполняется ли контракт с пользователем), геометрическая корректность (готов ли макет к просмотру без правок), структурные характеристики графа (сохраняется ли </w:t>
      </w:r>
      <w:proofErr w:type="spellStart"/>
      <w:r>
        <w:t>редактируемость</w:t>
      </w:r>
      <w:proofErr w:type="spellEnd"/>
      <w:r>
        <w:t xml:space="preserve"> результата) и вариативность с </w:t>
      </w:r>
      <w:proofErr w:type="spellStart"/>
      <w:r>
        <w:t>воспроизвод</w:t>
      </w:r>
      <w:r>
        <w:t>имостью</w:t>
      </w:r>
      <w:proofErr w:type="spellEnd"/>
      <w:r>
        <w:t xml:space="preserve"> (управляема ли </w:t>
      </w:r>
      <w:proofErr w:type="spellStart"/>
      <w:r>
        <w:t>стохастика</w:t>
      </w:r>
      <w:proofErr w:type="spellEnd"/>
      <w:r>
        <w:t>). Хронометраж выполнен средствами счётчика производительности с микросекундным разрешением на CPU общего назначения без GPU; функциональная корректность дополнительно закреплена пятнадцатью модульными тестами, а HTML-экспо</w:t>
      </w:r>
      <w:r>
        <w:t>рт верифицирован в браузере на шести контрольных конфигурациях.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8. Результаты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8.1. Латентность</w:t>
      </w:r>
    </w:p>
    <w:p w:rsidR="000177A7" w:rsidRDefault="00F20BF2">
      <w:pPr>
        <w:spacing w:before="160" w:after="60"/>
        <w:jc w:val="center"/>
      </w:pPr>
      <w:r>
        <w:rPr>
          <w:i/>
          <w:iCs/>
          <w:sz w:val="20"/>
          <w:szCs w:val="20"/>
        </w:rPr>
        <w:t xml:space="preserve">Таблица 3. Латентность этапов конвейера по 369 конфигурациям, </w:t>
      </w:r>
      <w:proofErr w:type="spellStart"/>
      <w:r>
        <w:rPr>
          <w:i/>
          <w:iCs/>
          <w:sz w:val="20"/>
          <w:szCs w:val="20"/>
        </w:rPr>
        <w:t>мс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1444"/>
        <w:gridCol w:w="1444"/>
        <w:gridCol w:w="1444"/>
        <w:gridCol w:w="1444"/>
      </w:tblGrid>
      <w:tr w:rsidR="00017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Среднее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Медиана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P95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Максимум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324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Генерация графа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0,68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0,69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0,91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1,29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324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Экспорт HTML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0,19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324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Сериализация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1,36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177A7">
        <w:tblPrEx>
          <w:tblCellMar>
            <w:top w:w="0" w:type="dxa"/>
            <w:bottom w:w="0" w:type="dxa"/>
          </w:tblCellMar>
        </w:tblPrEx>
        <w:tc>
          <w:tcPr>
            <w:tcW w:w="324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Полный цикл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2,24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2,31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2,66</w:t>
            </w:r>
          </w:p>
        </w:tc>
        <w:tc>
          <w:tcPr>
            <w:tcW w:w="14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177A7" w:rsidRDefault="00F20BF2">
            <w:pPr>
              <w:jc w:val="center"/>
            </w:pPr>
            <w:r>
              <w:rPr>
                <w:sz w:val="20"/>
                <w:szCs w:val="20"/>
              </w:rPr>
              <w:t>3,57</w:t>
            </w:r>
          </w:p>
        </w:tc>
      </w:tr>
    </w:tbl>
    <w:p w:rsidR="000177A7" w:rsidRDefault="000177A7">
      <w:pPr>
        <w:spacing w:after="160"/>
      </w:pPr>
    </w:p>
    <w:p w:rsidR="000177A7" w:rsidRDefault="00F20BF2">
      <w:pPr>
        <w:spacing w:after="80" w:line="276" w:lineRule="auto"/>
        <w:ind w:firstLine="397"/>
        <w:jc w:val="both"/>
      </w:pPr>
      <w:r>
        <w:t xml:space="preserve">Полный цикл «вектор условий — макет во всех форматах» занимает в среднем 2,24 </w:t>
      </w:r>
      <w:proofErr w:type="spellStart"/>
      <w:r>
        <w:t>мс</w:t>
      </w:r>
      <w:proofErr w:type="spellEnd"/>
      <w:r>
        <w:t xml:space="preserve"> при максимуме 3,57 </w:t>
      </w:r>
      <w:proofErr w:type="spellStart"/>
      <w:r>
        <w:t>мс</w:t>
      </w:r>
      <w:proofErr w:type="spellEnd"/>
      <w:r>
        <w:t xml:space="preserve"> (табл. 3, рис. 6). Распределение бимодально: </w:t>
      </w:r>
      <w:proofErr w:type="spellStart"/>
      <w:r>
        <w:t>десктопные</w:t>
      </w:r>
      <w:proofErr w:type="spellEnd"/>
      <w:r>
        <w:t xml:space="preserve"> конфигурации группируются в диапазоне 1,2–1,5 </w:t>
      </w:r>
      <w:proofErr w:type="spellStart"/>
      <w:r>
        <w:t>мс</w:t>
      </w:r>
      <w:proofErr w:type="spellEnd"/>
      <w:r>
        <w:t xml:space="preserve">, веб-конфигурации — 2,0–2,6 </w:t>
      </w:r>
      <w:proofErr w:type="spellStart"/>
      <w:r>
        <w:t>мс</w:t>
      </w:r>
      <w:proofErr w:type="spellEnd"/>
      <w:r>
        <w:t xml:space="preserve">, что объясняется </w:t>
      </w:r>
      <w:r>
        <w:t xml:space="preserve">большим числом секций веб-грамматик. Задержка на два-три порядка ниже характерной для диффузионного </w:t>
      </w:r>
      <w:proofErr w:type="spellStart"/>
      <w:r>
        <w:t>инференса</w:t>
      </w:r>
      <w:proofErr w:type="spellEnd"/>
      <w:r>
        <w:t xml:space="preserve"> и неразличима для пользователя: макет появляется одновременно с экраном результатов анкеты, что подтверждает гипотезу H3.</w:t>
      </w:r>
    </w:p>
    <w:p w:rsidR="000177A7" w:rsidRDefault="00F20BF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500438" cy="23145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294" cy="23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 xml:space="preserve">Рис. 6. Распределение </w:t>
      </w:r>
      <w:r>
        <w:rPr>
          <w:i/>
          <w:iCs/>
          <w:sz w:val="20"/>
          <w:szCs w:val="20"/>
        </w:rPr>
        <w:t>латентности полного цикла генерации по 369 конфигурациям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8.2. Соблюдение ограничений</w:t>
      </w:r>
    </w:p>
    <w:p w:rsidR="000177A7" w:rsidRDefault="00F20BF2">
      <w:pPr>
        <w:spacing w:after="80" w:line="276" w:lineRule="auto"/>
        <w:ind w:firstLine="397"/>
        <w:jc w:val="both"/>
      </w:pPr>
      <w:r>
        <w:t>На полной матрице выполнено 3075 автоматических проверок семи категорий — все успешны (рис. 7). Тёмная палитра присутствует строго в тех конфигурациях, где запрошена; конт</w:t>
      </w:r>
      <w:r>
        <w:t xml:space="preserve">ейнеры боковой навигации, ленты команд и строки вкладок появляются только при соответствующих ответах; при требовании WCAG усилен контраст текста и в HTML присутствуют фокус-стили; типизированные секции (товарная витрина, ценовые таблицы, новостные блоки) </w:t>
      </w:r>
      <w:r>
        <w:t>соответствуют типу продукта. Нулевое число отказов на факторизованном входном пространстве эмпирически подтверждает гипотезу H1: конструктивное встраивание ограничений исключает их нарушение.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405022" cy="193506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654" cy="19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7. Результаты автоматических проверок соблюдения ограниче</w:t>
      </w:r>
      <w:r>
        <w:rPr>
          <w:i/>
          <w:iCs/>
          <w:sz w:val="20"/>
          <w:szCs w:val="20"/>
        </w:rPr>
        <w:t>ний по категориям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8.3. Геометрическая корректность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Все 17 583 нетекстовых элемента сгенерированных графов находятся в границах холста (100 %). Из 157 079 пар одноуровневых элементов ни одна не имеет непреднамеренного перекрытия с </w:t>
      </w:r>
      <w:proofErr w:type="spellStart"/>
      <w:r>
        <w:t>IoU</w:t>
      </w:r>
      <w:proofErr w:type="spellEnd"/>
      <w:r>
        <w:t xml:space="preserve"> выше 0,02 (вложенность</w:t>
      </w:r>
      <w:r>
        <w:t xml:space="preserve"> контейнеров исключена из подсчёта). Ось выравнивания с соседним элементом секции разделяют 14 440 из 15 330 элементов (94,2 %); оставшиеся 5,8 % приходятся на намеренно свободно позиционированные элементы композиции (акцентные кнопки герой-блоков, плавающ</w:t>
      </w:r>
      <w:r>
        <w:t>ие подписи), что соответствует практике современной вёрстки, а не дефектам раскладчика.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 xml:space="preserve">8.4. Вариативность и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воспроизводимость</w:t>
      </w:r>
      <w:proofErr w:type="spellEnd"/>
    </w:p>
    <w:p w:rsidR="000177A7" w:rsidRDefault="00F20BF2">
      <w:pPr>
        <w:spacing w:after="80" w:line="276" w:lineRule="auto"/>
        <w:ind w:firstLine="397"/>
        <w:jc w:val="both"/>
      </w:pPr>
      <w:r>
        <w:t>Число уникальных структур на десять зёрен отражает заложенные степени свободы каждой грамматики (рис. 8): интернет-магазин, новос</w:t>
      </w:r>
      <w:r>
        <w:t xml:space="preserve">тной портал и блог дают десять </w:t>
      </w:r>
      <w:r>
        <w:lastRenderedPageBreak/>
        <w:t xml:space="preserve">различных структур за счёт перестановок однородного контента; </w:t>
      </w:r>
      <w:proofErr w:type="spellStart"/>
      <w:r>
        <w:t>лендинг</w:t>
      </w:r>
      <w:proofErr w:type="spellEnd"/>
      <w:r>
        <w:t xml:space="preserve"> и корпоративный сайт — две (выбор композиции герой-блока); </w:t>
      </w:r>
      <w:proofErr w:type="spellStart"/>
      <w:r>
        <w:t>SaaS</w:t>
      </w:r>
      <w:proofErr w:type="spellEnd"/>
      <w:r>
        <w:t xml:space="preserve">-шаблон с фиксированной композицией — одну. При фиксированном зерне </w:t>
      </w:r>
      <w:proofErr w:type="spellStart"/>
      <w:r>
        <w:t>сериализации</w:t>
      </w:r>
      <w:proofErr w:type="spellEnd"/>
      <w:r>
        <w:t xml:space="preserve"> совпадают </w:t>
      </w:r>
      <w:proofErr w:type="spellStart"/>
      <w:r>
        <w:t>п</w:t>
      </w:r>
      <w:r>
        <w:t>обайтово</w:t>
      </w:r>
      <w:proofErr w:type="spellEnd"/>
      <w:r>
        <w:t xml:space="preserve"> во всех повторных запусках, что подтверждает гипотезу H2 и делает результат пригодным для кэширования и регрессионного тестирования.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452730" cy="2099144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254" cy="21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8. Вариативность структур по типам продуктов (десять зёрен на тип)</w:t>
      </w:r>
    </w:p>
    <w:p w:rsidR="000177A7" w:rsidRDefault="00F20BF2">
      <w:pPr>
        <w:pStyle w:val="2"/>
        <w:spacing w:before="200" w:after="100"/>
      </w:pPr>
      <w:r>
        <w:rPr>
          <w:b/>
          <w:bCs/>
          <w:i/>
          <w:iCs/>
          <w:color w:val="000000"/>
          <w:sz w:val="24"/>
          <w:szCs w:val="24"/>
        </w:rPr>
        <w:t>8.5. Визуальная верификация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Примеры сгенерированных макетов приведены на рис. 9: шесть конфигураций покрывают оба класса продуктов, контрастные отрасли и стилистики, включая тёмную тему и различные дизайн-системы. </w:t>
      </w:r>
      <w:proofErr w:type="spellStart"/>
      <w:r>
        <w:t>Браузерная</w:t>
      </w:r>
      <w:proofErr w:type="spellEnd"/>
      <w:r>
        <w:t xml:space="preserve"> проверка HTML-экспорта подтвердила отсутствие горизонтально</w:t>
      </w:r>
      <w:r>
        <w:t>го переполнения, корректное применение отраслевых палитр и соответствие сеточных раскладок спецификации.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34000" cy="4171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 xml:space="preserve">Рис. 9. Примеры сгенерированных макетов: а–г — веб-конфигурации, д–е — </w:t>
      </w:r>
      <w:proofErr w:type="spellStart"/>
      <w:r>
        <w:rPr>
          <w:i/>
          <w:iCs/>
          <w:sz w:val="20"/>
          <w:szCs w:val="20"/>
        </w:rPr>
        <w:t>десктопные</w:t>
      </w:r>
      <w:proofErr w:type="spellEnd"/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lastRenderedPageBreak/>
        <w:t>9. Обсуждение</w:t>
      </w:r>
    </w:p>
    <w:p w:rsidR="000177A7" w:rsidRDefault="00F20BF2">
      <w:pPr>
        <w:spacing w:after="80" w:line="276" w:lineRule="auto"/>
        <w:ind w:firstLine="397"/>
        <w:jc w:val="both"/>
      </w:pPr>
      <w:r>
        <w:t>Полученные результаты дают прямые ответы на поставлен</w:t>
      </w:r>
      <w:r>
        <w:t>ные вопросы. Применительно к RQ1 продемонстрировано, что структурированного вектора условий достаточно для синтеза целостного макета: семантическая грамматика обеспечивает осмысленность состава секций, отраслевые банки — правдоподобие наполнения, раскладчи</w:t>
      </w:r>
      <w:r>
        <w:t>к — геометрическую корректность. Применительно к RQ2 ключевым архитектурным решением оказалось совмещение момента проверки ограничения с моментом его материализации: свойство выхода становится инвариантом алгоритма. Это качественно отличает предлагаемый ме</w:t>
      </w:r>
      <w:r>
        <w:t xml:space="preserve">ханизм от мягкого условия в функции потерь </w:t>
      </w:r>
      <w:proofErr w:type="spellStart"/>
      <w:r>
        <w:t>нейросетевой</w:t>
      </w:r>
      <w:proofErr w:type="spellEnd"/>
      <w:r>
        <w:t xml:space="preserve"> модели, выполняемого лишь в вероятностном смысле.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В отношении RQ4 сопоставление с </w:t>
      </w:r>
      <w:proofErr w:type="spellStart"/>
      <w:r>
        <w:t>нейросетевыми</w:t>
      </w:r>
      <w:proofErr w:type="spellEnd"/>
      <w:r>
        <w:t xml:space="preserve"> методами выявляет строгую дихотомию. Параметрическая композиция выигрывает по гарантиям (100 % против ве</w:t>
      </w:r>
      <w:r>
        <w:t xml:space="preserve">роятностных), латентности (единицы миллисекунд на CPU против сотен на GPU) и интерпретируемости (каждое решение трассируется к параметру и правилу), но проигрывает по широте пространства выходов: она порождает лишь заложенные паттерны, и </w:t>
      </w:r>
      <w:proofErr w:type="gramStart"/>
      <w:r>
        <w:t>низкая вариативнос</w:t>
      </w:r>
      <w:r>
        <w:t>ть</w:t>
      </w:r>
      <w:proofErr w:type="gramEnd"/>
      <w:r>
        <w:t xml:space="preserve"> </w:t>
      </w:r>
      <w:proofErr w:type="spellStart"/>
      <w:r>
        <w:t>SaaS</w:t>
      </w:r>
      <w:proofErr w:type="spellEnd"/>
      <w:r>
        <w:t xml:space="preserve">- и </w:t>
      </w:r>
      <w:proofErr w:type="spellStart"/>
      <w:r>
        <w:t>лендинг</w:t>
      </w:r>
      <w:proofErr w:type="spellEnd"/>
      <w:r>
        <w:t>-грамматик (одна-две структуры на десять зёрен) очерчивает эту границу эмпирически. Отсюда следует практический критерий выбора: для первичного эскиза по формализованным требованиям рационален детерминированный синтез; для расширения визу</w:t>
      </w:r>
      <w:r>
        <w:t xml:space="preserve">ального разнообразия на последующих стадиях — </w:t>
      </w:r>
      <w:proofErr w:type="spellStart"/>
      <w:r>
        <w:t>нейросетевой</w:t>
      </w:r>
      <w:proofErr w:type="spellEnd"/>
      <w:r>
        <w:t>.</w:t>
      </w:r>
    </w:p>
    <w:p w:rsidR="000177A7" w:rsidRDefault="00F20BF2">
      <w:pPr>
        <w:spacing w:after="80" w:line="276" w:lineRule="auto"/>
        <w:ind w:firstLine="397"/>
        <w:jc w:val="both"/>
      </w:pPr>
      <w:r>
        <w:t xml:space="preserve">Отдельного обсуждения заслуживает роль реализованного модуля в перспективной </w:t>
      </w:r>
      <w:proofErr w:type="spellStart"/>
      <w:r>
        <w:t>нейросетевой</w:t>
      </w:r>
      <w:proofErr w:type="spellEnd"/>
      <w:r>
        <w:t xml:space="preserve"> эволюции системы. Планируемое условное состязательное ядро (рис. 10) использует комбинированную функцию по</w:t>
      </w:r>
      <w:r>
        <w:t xml:space="preserve">терь L = </w:t>
      </w:r>
      <w:proofErr w:type="spellStart"/>
      <w:r>
        <w:t>L_adv</w:t>
      </w:r>
      <w:proofErr w:type="spellEnd"/>
      <w:r>
        <w:t xml:space="preserve"> + λ₁·</w:t>
      </w:r>
      <w:proofErr w:type="spellStart"/>
      <w:r>
        <w:t>L_perc</w:t>
      </w:r>
      <w:proofErr w:type="spellEnd"/>
      <w:r>
        <w:t xml:space="preserve"> + λ₂·</w:t>
      </w:r>
      <w:proofErr w:type="spellStart"/>
      <w:r>
        <w:t>L_constr</w:t>
      </w:r>
      <w:proofErr w:type="spellEnd"/>
      <w:r>
        <w:t xml:space="preserve">, где состязательное слагаемое отвечает за правдоподобие, перцептивное — за детализацию, а слагаемое ограничений штрафует расхождение сгенерированной структуры с вектором условий. Действующий </w:t>
      </w:r>
      <w:proofErr w:type="spellStart"/>
      <w:r>
        <w:t>валидатор</w:t>
      </w:r>
      <w:proofErr w:type="spellEnd"/>
      <w:r>
        <w:t xml:space="preserve"> ограничений пр</w:t>
      </w:r>
      <w:r>
        <w:t xml:space="preserve">и этом превращается из метрики в источник обучающего сигнала для </w:t>
      </w:r>
      <w:proofErr w:type="spellStart"/>
      <w:r>
        <w:t>L_constr</w:t>
      </w:r>
      <w:proofErr w:type="spellEnd"/>
      <w:r>
        <w:t>, а параметрический композитор — в неограниченный генератор чистых синтетических пар «вектор условий — эталонный граф», смешиваемых с размеченными экранами RICO/CLAY. Таким образом, д</w:t>
      </w:r>
      <w:r>
        <w:t xml:space="preserve">етерминированное ядро является не тупиковой альтернативой </w:t>
      </w:r>
      <w:proofErr w:type="spellStart"/>
      <w:r>
        <w:t>нейросетевому</w:t>
      </w:r>
      <w:proofErr w:type="spellEnd"/>
      <w:r>
        <w:t>, а его инфраструктурной предпосылкой.</w:t>
      </w:r>
    </w:p>
    <w:p w:rsidR="000177A7" w:rsidRDefault="00F20BF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500438" cy="28851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327" cy="28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A7" w:rsidRDefault="00F20BF2">
      <w:pPr>
        <w:spacing w:after="160"/>
        <w:jc w:val="center"/>
      </w:pPr>
      <w:r>
        <w:rPr>
          <w:i/>
          <w:iCs/>
          <w:sz w:val="20"/>
          <w:szCs w:val="20"/>
        </w:rPr>
        <w:t>Рис. 10. Схема обучения перспективного условного состязательного ядра (обозначения по ГОСТ 19.701-90)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lastRenderedPageBreak/>
        <w:t>10. Ограничения исследования</w:t>
      </w:r>
    </w:p>
    <w:p w:rsidR="000177A7" w:rsidRDefault="00F20BF2">
      <w:pPr>
        <w:spacing w:after="80" w:line="276" w:lineRule="auto"/>
        <w:ind w:firstLine="397"/>
        <w:jc w:val="both"/>
      </w:pPr>
      <w:r>
        <w:t>Ограничения работы разделяются на три группы. Ограничения подхода: пространство выходов замкнуто заложенными грамматиками; визуальная выразительность деталей уступает пиксельным диффузионным конвейерам, поэтому результат позиционируется как первичный эскиз</w:t>
      </w:r>
      <w:r>
        <w:t>, а не финальный дизайн; пополнение отраслевых каталогов и композиционных паттернов выполняется вручную. Ограничения экспериментальной программы: матрица факторизует ключевые, но не все оси анкеты; оценка ограничена объективными метриками — экспертная оцен</w:t>
      </w:r>
      <w:r>
        <w:t xml:space="preserve">ка дизайнерами и пользовательские исследования не проводились; сравнение с </w:t>
      </w:r>
      <w:proofErr w:type="spellStart"/>
      <w:r>
        <w:t>нейросетевыми</w:t>
      </w:r>
      <w:proofErr w:type="spellEnd"/>
      <w:r>
        <w:t xml:space="preserve"> методами опирается на опубликованные характеристики, а не на прямой прогон на общем стенде. Ограничения </w:t>
      </w:r>
      <w:proofErr w:type="spellStart"/>
      <w:r>
        <w:t>обобщаемости</w:t>
      </w:r>
      <w:proofErr w:type="spellEnd"/>
      <w:r>
        <w:t>: выводы получены для двух классов продуктов (веб-с</w:t>
      </w:r>
      <w:r>
        <w:t xml:space="preserve">айты, настольные приложения) и не переносятся автоматически на мобильные и </w:t>
      </w:r>
      <w:proofErr w:type="gramStart"/>
      <w:r>
        <w:t>кросс-платформенные</w:t>
      </w:r>
      <w:proofErr w:type="gramEnd"/>
      <w:r>
        <w:t xml:space="preserve"> интерфейсы.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11. Заключение</w:t>
      </w:r>
    </w:p>
    <w:p w:rsidR="000177A7" w:rsidRDefault="00F20BF2">
      <w:pPr>
        <w:spacing w:after="80" w:line="276" w:lineRule="auto"/>
        <w:ind w:firstLine="397"/>
        <w:jc w:val="both"/>
      </w:pPr>
      <w:r>
        <w:t>В работе поставлена и решена задача автоматизированного синтеза первичных интерфейсных шаблонов по структурированным требованиям, соби</w:t>
      </w:r>
      <w:r>
        <w:t>раемым интеллектуальной системой анкетирования. Предложен и реализован модельно-ориентированный подход с генерацией в пространстве типизированных структур; экспериментальная оценка на полной матрице из 369 конфигураций подтвердила все четыре гипотезы: конс</w:t>
      </w:r>
      <w:r>
        <w:t xml:space="preserve">труктивное соблюдение ограничений (3075 из 3075 проверок), побайтовую </w:t>
      </w:r>
      <w:proofErr w:type="spellStart"/>
      <w:r>
        <w:t>воспроизводимость</w:t>
      </w:r>
      <w:proofErr w:type="spellEnd"/>
      <w:r>
        <w:t xml:space="preserve"> по зерну, интерактивную латентность (2,24 </w:t>
      </w:r>
      <w:proofErr w:type="spellStart"/>
      <w:r>
        <w:t>мс</w:t>
      </w:r>
      <w:proofErr w:type="spellEnd"/>
      <w:r>
        <w:t xml:space="preserve"> полного цикла на CPU) и архитектурную готовность к замене ядра.</w:t>
      </w:r>
    </w:p>
    <w:p w:rsidR="000177A7" w:rsidRDefault="00F20BF2">
      <w:pPr>
        <w:spacing w:after="80" w:line="276" w:lineRule="auto"/>
        <w:ind w:firstLine="397"/>
        <w:jc w:val="both"/>
      </w:pPr>
      <w:r>
        <w:t>Научная новизна состоит в механизме конструктивного гаранти</w:t>
      </w:r>
      <w:r>
        <w:t>рования проектных ограничений, встроенном в композицию, в интеграции генерации макета в процесс сбора требований без отдельного дизайн-задания и в двойственной роли параметрического ядра как рабочего решения и генератора синтетического обучающего корпуса д</w:t>
      </w:r>
      <w:r>
        <w:t xml:space="preserve">ля перспективной </w:t>
      </w:r>
      <w:proofErr w:type="spellStart"/>
      <w:r>
        <w:t>нейросетевой</w:t>
      </w:r>
      <w:proofErr w:type="spellEnd"/>
      <w:r>
        <w:t xml:space="preserve"> модели. Практическая значимость определяется доступностью решения на массовом оборудовании: заказчик без штатного дизайнера получает корректный редактируемый эскиз немедленно по завершении анкеты, а экспорт в JSON и HTML сокра</w:t>
      </w:r>
      <w:r>
        <w:t>щает ручную вёрстку первого прототипа.</w:t>
      </w:r>
    </w:p>
    <w:p w:rsidR="000177A7" w:rsidRDefault="00F20BF2">
      <w:pPr>
        <w:spacing w:after="80" w:line="276" w:lineRule="auto"/>
        <w:ind w:firstLine="397"/>
        <w:jc w:val="both"/>
      </w:pPr>
      <w:r>
        <w:t>Направления дальнейших исследований: обучение условного состязательного ядра на смешанном корпусе с оценкой по FID, LPIPS и MS-SSIM; расширение грамматик на мобильные интерфейсы; экспертная и пользовательская оценка к</w:t>
      </w:r>
      <w:r>
        <w:t>ачества эскизов; механизм обратной связи, замыкающий цикл улучшения системы на данных о принятых и отклонённых макетах.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Список литературы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 xml:space="preserve">1. </w:t>
      </w:r>
      <w:proofErr w:type="spellStart"/>
      <w:r>
        <w:rPr>
          <w:sz w:val="20"/>
          <w:szCs w:val="20"/>
        </w:rPr>
        <w:t>Deka</w:t>
      </w:r>
      <w:proofErr w:type="spellEnd"/>
      <w:r>
        <w:rPr>
          <w:sz w:val="20"/>
          <w:szCs w:val="20"/>
        </w:rPr>
        <w:t xml:space="preserve"> B., </w:t>
      </w:r>
      <w:proofErr w:type="spellStart"/>
      <w:r>
        <w:rPr>
          <w:sz w:val="20"/>
          <w:szCs w:val="20"/>
        </w:rPr>
        <w:t>Huang</w:t>
      </w:r>
      <w:proofErr w:type="spellEnd"/>
      <w:r>
        <w:rPr>
          <w:sz w:val="20"/>
          <w:szCs w:val="20"/>
        </w:rPr>
        <w:t xml:space="preserve"> Z., </w:t>
      </w:r>
      <w:proofErr w:type="spellStart"/>
      <w:r>
        <w:rPr>
          <w:sz w:val="20"/>
          <w:szCs w:val="20"/>
        </w:rPr>
        <w:t>Franzen</w:t>
      </w:r>
      <w:proofErr w:type="spellEnd"/>
      <w:r>
        <w:rPr>
          <w:sz w:val="20"/>
          <w:szCs w:val="20"/>
        </w:rPr>
        <w:t xml:space="preserve"> C.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</w:t>
      </w:r>
      <w:proofErr w:type="spellEnd"/>
      <w:r>
        <w:rPr>
          <w:sz w:val="20"/>
          <w:szCs w:val="20"/>
        </w:rPr>
        <w:t xml:space="preserve">. </w:t>
      </w:r>
      <w:r w:rsidRPr="00973196">
        <w:rPr>
          <w:sz w:val="20"/>
          <w:szCs w:val="20"/>
          <w:lang w:val="en-US"/>
        </w:rPr>
        <w:t>Rico: A Mobile App Dataset for Building Data-Driven Design Applications // Pro</w:t>
      </w:r>
      <w:r w:rsidRPr="00973196">
        <w:rPr>
          <w:sz w:val="20"/>
          <w:szCs w:val="20"/>
          <w:lang w:val="en-US"/>
        </w:rPr>
        <w:t xml:space="preserve">c. 30th Annual ACM Symposium on User Interface Software and Technology (UIST). 2017. </w:t>
      </w:r>
      <w:r>
        <w:rPr>
          <w:sz w:val="20"/>
          <w:szCs w:val="20"/>
        </w:rPr>
        <w:t>P. 845–854.</w:t>
      </w:r>
    </w:p>
    <w:p w:rsidR="000177A7" w:rsidRDefault="00F20BF2">
      <w:pPr>
        <w:spacing w:after="60" w:line="276" w:lineRule="auto"/>
        <w:ind w:left="397" w:hanging="397"/>
        <w:jc w:val="both"/>
      </w:pPr>
      <w:r w:rsidRPr="00973196">
        <w:rPr>
          <w:sz w:val="20"/>
          <w:szCs w:val="20"/>
          <w:lang w:val="en-US"/>
        </w:rPr>
        <w:t xml:space="preserve">2. </w:t>
      </w:r>
      <w:proofErr w:type="spellStart"/>
      <w:r w:rsidRPr="00973196">
        <w:rPr>
          <w:sz w:val="20"/>
          <w:szCs w:val="20"/>
          <w:lang w:val="en-US"/>
        </w:rPr>
        <w:t>Zhong</w:t>
      </w:r>
      <w:proofErr w:type="spellEnd"/>
      <w:r w:rsidRPr="00973196">
        <w:rPr>
          <w:sz w:val="20"/>
          <w:szCs w:val="20"/>
          <w:lang w:val="en-US"/>
        </w:rPr>
        <w:t xml:space="preserve"> X., Tang J., </w:t>
      </w:r>
      <w:proofErr w:type="spellStart"/>
      <w:r w:rsidRPr="00973196">
        <w:rPr>
          <w:sz w:val="20"/>
          <w:szCs w:val="20"/>
          <w:lang w:val="en-US"/>
        </w:rPr>
        <w:t>Jimeno</w:t>
      </w:r>
      <w:proofErr w:type="spellEnd"/>
      <w:r w:rsidRPr="00973196">
        <w:rPr>
          <w:sz w:val="20"/>
          <w:szCs w:val="20"/>
          <w:lang w:val="en-US"/>
        </w:rPr>
        <w:t xml:space="preserve"> </w:t>
      </w:r>
      <w:proofErr w:type="spellStart"/>
      <w:r w:rsidRPr="00973196">
        <w:rPr>
          <w:sz w:val="20"/>
          <w:szCs w:val="20"/>
          <w:lang w:val="en-US"/>
        </w:rPr>
        <w:t>Yepes</w:t>
      </w:r>
      <w:proofErr w:type="spellEnd"/>
      <w:r w:rsidRPr="00973196">
        <w:rPr>
          <w:sz w:val="20"/>
          <w:szCs w:val="20"/>
          <w:lang w:val="en-US"/>
        </w:rPr>
        <w:t xml:space="preserve"> A. </w:t>
      </w:r>
      <w:proofErr w:type="spellStart"/>
      <w:r w:rsidRPr="00973196">
        <w:rPr>
          <w:sz w:val="20"/>
          <w:szCs w:val="20"/>
          <w:lang w:val="en-US"/>
        </w:rPr>
        <w:t>PubLayNet</w:t>
      </w:r>
      <w:proofErr w:type="spellEnd"/>
      <w:r w:rsidRPr="00973196">
        <w:rPr>
          <w:sz w:val="20"/>
          <w:szCs w:val="20"/>
          <w:lang w:val="en-US"/>
        </w:rPr>
        <w:t xml:space="preserve">: Largest Dataset Ever for Document Layout Analysis // Proc. </w:t>
      </w:r>
      <w:proofErr w:type="spellStart"/>
      <w:r>
        <w:rPr>
          <w:sz w:val="20"/>
          <w:szCs w:val="20"/>
        </w:rPr>
        <w:t>International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</w:t>
      </w:r>
      <w:r>
        <w:rPr>
          <w:sz w:val="20"/>
          <w:szCs w:val="20"/>
        </w:rPr>
        <w:t>ecognition</w:t>
      </w:r>
      <w:proofErr w:type="spellEnd"/>
      <w:r>
        <w:rPr>
          <w:sz w:val="20"/>
          <w:szCs w:val="20"/>
        </w:rPr>
        <w:t xml:space="preserve"> (ICDAR). 2019. P. 1015–1022.</w:t>
      </w:r>
    </w:p>
    <w:p w:rsidR="000177A7" w:rsidRPr="00973196" w:rsidRDefault="00F20BF2">
      <w:pPr>
        <w:spacing w:after="60" w:line="276" w:lineRule="auto"/>
        <w:ind w:left="397" w:hanging="397"/>
        <w:jc w:val="both"/>
        <w:rPr>
          <w:lang w:val="en-US"/>
        </w:rPr>
      </w:pPr>
      <w:r w:rsidRPr="00973196">
        <w:rPr>
          <w:sz w:val="20"/>
          <w:szCs w:val="20"/>
          <w:lang w:val="en-US"/>
        </w:rPr>
        <w:t xml:space="preserve">3. Mirza M., </w:t>
      </w:r>
      <w:proofErr w:type="spellStart"/>
      <w:r w:rsidRPr="00973196">
        <w:rPr>
          <w:sz w:val="20"/>
          <w:szCs w:val="20"/>
          <w:lang w:val="en-US"/>
        </w:rPr>
        <w:t>Osindero</w:t>
      </w:r>
      <w:proofErr w:type="spellEnd"/>
      <w:r w:rsidRPr="00973196">
        <w:rPr>
          <w:sz w:val="20"/>
          <w:szCs w:val="20"/>
          <w:lang w:val="en-US"/>
        </w:rPr>
        <w:t xml:space="preserve"> S. Conditional Generative Adversarial Nets // </w:t>
      </w:r>
      <w:proofErr w:type="spellStart"/>
      <w:r w:rsidRPr="00973196">
        <w:rPr>
          <w:sz w:val="20"/>
          <w:szCs w:val="20"/>
          <w:lang w:val="en-US"/>
        </w:rPr>
        <w:t>arXiv</w:t>
      </w:r>
      <w:proofErr w:type="spellEnd"/>
      <w:r w:rsidRPr="00973196">
        <w:rPr>
          <w:sz w:val="20"/>
          <w:szCs w:val="20"/>
          <w:lang w:val="en-US"/>
        </w:rPr>
        <w:t xml:space="preserve"> preprint arXiv:1411.1784. 2014.</w:t>
      </w:r>
    </w:p>
    <w:p w:rsidR="000177A7" w:rsidRPr="00973196" w:rsidRDefault="00F20BF2">
      <w:pPr>
        <w:spacing w:after="60" w:line="276" w:lineRule="auto"/>
        <w:ind w:left="397" w:hanging="397"/>
        <w:jc w:val="both"/>
        <w:rPr>
          <w:lang w:val="en-US"/>
        </w:rPr>
      </w:pPr>
      <w:r w:rsidRPr="00973196">
        <w:rPr>
          <w:sz w:val="20"/>
          <w:szCs w:val="20"/>
          <w:lang w:val="en-US"/>
        </w:rPr>
        <w:t xml:space="preserve">4. Li J., Yang J., </w:t>
      </w:r>
      <w:proofErr w:type="spellStart"/>
      <w:r w:rsidRPr="00973196">
        <w:rPr>
          <w:sz w:val="20"/>
          <w:szCs w:val="20"/>
          <w:lang w:val="en-US"/>
        </w:rPr>
        <w:t>Hertzmann</w:t>
      </w:r>
      <w:proofErr w:type="spellEnd"/>
      <w:r w:rsidRPr="00973196">
        <w:rPr>
          <w:sz w:val="20"/>
          <w:szCs w:val="20"/>
          <w:lang w:val="en-US"/>
        </w:rPr>
        <w:t xml:space="preserve"> A. et al. </w:t>
      </w:r>
      <w:proofErr w:type="spellStart"/>
      <w:r w:rsidRPr="00973196">
        <w:rPr>
          <w:sz w:val="20"/>
          <w:szCs w:val="20"/>
          <w:lang w:val="en-US"/>
        </w:rPr>
        <w:t>LayoutGAN</w:t>
      </w:r>
      <w:proofErr w:type="spellEnd"/>
      <w:r w:rsidRPr="00973196">
        <w:rPr>
          <w:sz w:val="20"/>
          <w:szCs w:val="20"/>
          <w:lang w:val="en-US"/>
        </w:rPr>
        <w:t xml:space="preserve">: Generating Graphic Layouts with Wireframe Discriminators // </w:t>
      </w:r>
      <w:r w:rsidRPr="00973196">
        <w:rPr>
          <w:sz w:val="20"/>
          <w:szCs w:val="20"/>
          <w:lang w:val="en-US"/>
        </w:rPr>
        <w:t xml:space="preserve">Proc. </w:t>
      </w:r>
      <w:proofErr w:type="spellStart"/>
      <w:r>
        <w:rPr>
          <w:sz w:val="20"/>
          <w:szCs w:val="20"/>
        </w:rPr>
        <w:t>International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Representations</w:t>
      </w:r>
      <w:proofErr w:type="spellEnd"/>
      <w:r>
        <w:rPr>
          <w:sz w:val="20"/>
          <w:szCs w:val="20"/>
        </w:rPr>
        <w:t xml:space="preserve"> (ICLR). </w:t>
      </w:r>
      <w:r w:rsidRPr="00973196">
        <w:rPr>
          <w:sz w:val="20"/>
          <w:szCs w:val="20"/>
          <w:lang w:val="en-US"/>
        </w:rPr>
        <w:t>2019.</w:t>
      </w:r>
    </w:p>
    <w:p w:rsidR="000177A7" w:rsidRDefault="00F20BF2">
      <w:pPr>
        <w:spacing w:after="60" w:line="276" w:lineRule="auto"/>
        <w:ind w:left="397" w:hanging="397"/>
        <w:jc w:val="both"/>
      </w:pPr>
      <w:r w:rsidRPr="00973196">
        <w:rPr>
          <w:sz w:val="20"/>
          <w:szCs w:val="20"/>
          <w:lang w:val="en-US"/>
        </w:rPr>
        <w:lastRenderedPageBreak/>
        <w:t xml:space="preserve">5. Ho J., Jain A., </w:t>
      </w:r>
      <w:proofErr w:type="spellStart"/>
      <w:r w:rsidRPr="00973196">
        <w:rPr>
          <w:sz w:val="20"/>
          <w:szCs w:val="20"/>
          <w:lang w:val="en-US"/>
        </w:rPr>
        <w:t>Abbeel</w:t>
      </w:r>
      <w:proofErr w:type="spellEnd"/>
      <w:r w:rsidRPr="00973196">
        <w:rPr>
          <w:sz w:val="20"/>
          <w:szCs w:val="20"/>
          <w:lang w:val="en-US"/>
        </w:rPr>
        <w:t xml:space="preserve"> P. </w:t>
      </w:r>
      <w:proofErr w:type="spellStart"/>
      <w:r w:rsidRPr="00973196">
        <w:rPr>
          <w:sz w:val="20"/>
          <w:szCs w:val="20"/>
          <w:lang w:val="en-US"/>
        </w:rPr>
        <w:t>Denoising</w:t>
      </w:r>
      <w:proofErr w:type="spellEnd"/>
      <w:r w:rsidRPr="00973196">
        <w:rPr>
          <w:sz w:val="20"/>
          <w:szCs w:val="20"/>
          <w:lang w:val="en-US"/>
        </w:rPr>
        <w:t xml:space="preserve"> Diffusion Probabilistic Models // Advances in Neural Information Processing Systems (</w:t>
      </w:r>
      <w:proofErr w:type="spellStart"/>
      <w:r w:rsidRPr="00973196">
        <w:rPr>
          <w:sz w:val="20"/>
          <w:szCs w:val="20"/>
          <w:lang w:val="en-US"/>
        </w:rPr>
        <w:t>NeurIPS</w:t>
      </w:r>
      <w:proofErr w:type="spellEnd"/>
      <w:r w:rsidRPr="00973196">
        <w:rPr>
          <w:sz w:val="20"/>
          <w:szCs w:val="20"/>
          <w:lang w:val="en-US"/>
        </w:rPr>
        <w:t xml:space="preserve">). </w:t>
      </w:r>
      <w:r>
        <w:rPr>
          <w:sz w:val="20"/>
          <w:szCs w:val="20"/>
        </w:rPr>
        <w:t xml:space="preserve">2020. </w:t>
      </w:r>
      <w:proofErr w:type="spellStart"/>
      <w:r>
        <w:rPr>
          <w:sz w:val="20"/>
          <w:szCs w:val="20"/>
        </w:rPr>
        <w:t>Vol</w:t>
      </w:r>
      <w:proofErr w:type="spellEnd"/>
      <w:r>
        <w:rPr>
          <w:sz w:val="20"/>
          <w:szCs w:val="20"/>
        </w:rPr>
        <w:t>. 33. P. 6840–6851.</w:t>
      </w:r>
    </w:p>
    <w:p w:rsidR="000177A7" w:rsidRDefault="00F20BF2">
      <w:pPr>
        <w:spacing w:after="60" w:line="276" w:lineRule="auto"/>
        <w:ind w:left="397" w:hanging="397"/>
        <w:jc w:val="both"/>
      </w:pPr>
      <w:r w:rsidRPr="00973196">
        <w:rPr>
          <w:sz w:val="20"/>
          <w:szCs w:val="20"/>
          <w:lang w:val="en-US"/>
        </w:rPr>
        <w:t xml:space="preserve">6. Inoue N., Kikuchi K., Simo-Serra E. et al. </w:t>
      </w:r>
      <w:proofErr w:type="spellStart"/>
      <w:r w:rsidRPr="00973196">
        <w:rPr>
          <w:sz w:val="20"/>
          <w:szCs w:val="20"/>
          <w:lang w:val="en-US"/>
        </w:rPr>
        <w:t>LayoutDM</w:t>
      </w:r>
      <w:proofErr w:type="spellEnd"/>
      <w:r w:rsidRPr="00973196">
        <w:rPr>
          <w:sz w:val="20"/>
          <w:szCs w:val="20"/>
          <w:lang w:val="en-US"/>
        </w:rPr>
        <w:t xml:space="preserve">: Discrete Diffusion Model for Controllable Layout Generation // Proc. IEEE/CVF Conference on Computer Vision and Pattern Recognition (CVPR). 2023. </w:t>
      </w:r>
      <w:r>
        <w:rPr>
          <w:sz w:val="20"/>
          <w:szCs w:val="20"/>
        </w:rPr>
        <w:t>P. 10167–10176.</w:t>
      </w:r>
    </w:p>
    <w:p w:rsidR="000177A7" w:rsidRPr="00973196" w:rsidRDefault="00F20BF2">
      <w:pPr>
        <w:spacing w:after="60" w:line="276" w:lineRule="auto"/>
        <w:ind w:left="397" w:hanging="397"/>
        <w:jc w:val="both"/>
        <w:rPr>
          <w:lang w:val="en-US"/>
        </w:rPr>
      </w:pPr>
      <w:r w:rsidRPr="00973196">
        <w:rPr>
          <w:sz w:val="20"/>
          <w:szCs w:val="20"/>
          <w:lang w:val="en-US"/>
        </w:rPr>
        <w:t xml:space="preserve">7. </w:t>
      </w:r>
      <w:proofErr w:type="spellStart"/>
      <w:r w:rsidRPr="00973196">
        <w:rPr>
          <w:sz w:val="20"/>
          <w:szCs w:val="20"/>
          <w:lang w:val="en-US"/>
        </w:rPr>
        <w:t>Beltramelli</w:t>
      </w:r>
      <w:proofErr w:type="spellEnd"/>
      <w:r w:rsidRPr="00973196">
        <w:rPr>
          <w:sz w:val="20"/>
          <w:szCs w:val="20"/>
          <w:lang w:val="en-US"/>
        </w:rPr>
        <w:t xml:space="preserve"> T. pix2code: Generating</w:t>
      </w:r>
      <w:r w:rsidRPr="00973196">
        <w:rPr>
          <w:sz w:val="20"/>
          <w:szCs w:val="20"/>
          <w:lang w:val="en-US"/>
        </w:rPr>
        <w:t xml:space="preserve"> Code from a Graphical User Interface Screenshot // Proc. ACM SIGCHI Symposium on Engineering Interactive Computing Systems (EICS). 2018. P. 1–6.</w:t>
      </w:r>
    </w:p>
    <w:p w:rsidR="000177A7" w:rsidRDefault="00F20BF2">
      <w:pPr>
        <w:spacing w:after="60" w:line="276" w:lineRule="auto"/>
        <w:ind w:left="397" w:hanging="397"/>
        <w:jc w:val="both"/>
      </w:pPr>
      <w:r w:rsidRPr="00973196">
        <w:rPr>
          <w:sz w:val="20"/>
          <w:szCs w:val="20"/>
          <w:lang w:val="en-US"/>
        </w:rPr>
        <w:t xml:space="preserve">8. Li G., </w:t>
      </w:r>
      <w:proofErr w:type="spellStart"/>
      <w:r w:rsidRPr="00973196">
        <w:rPr>
          <w:sz w:val="20"/>
          <w:szCs w:val="20"/>
          <w:lang w:val="en-US"/>
        </w:rPr>
        <w:t>Baechler</w:t>
      </w:r>
      <w:proofErr w:type="spellEnd"/>
      <w:r w:rsidRPr="00973196">
        <w:rPr>
          <w:sz w:val="20"/>
          <w:szCs w:val="20"/>
          <w:lang w:val="en-US"/>
        </w:rPr>
        <w:t xml:space="preserve"> G., </w:t>
      </w:r>
      <w:proofErr w:type="spellStart"/>
      <w:r w:rsidRPr="00973196">
        <w:rPr>
          <w:sz w:val="20"/>
          <w:szCs w:val="20"/>
          <w:lang w:val="en-US"/>
        </w:rPr>
        <w:t>Tragut</w:t>
      </w:r>
      <w:proofErr w:type="spellEnd"/>
      <w:r w:rsidRPr="00973196">
        <w:rPr>
          <w:sz w:val="20"/>
          <w:szCs w:val="20"/>
          <w:lang w:val="en-US"/>
        </w:rPr>
        <w:t xml:space="preserve"> M., Li Y. Learning to </w:t>
      </w:r>
      <w:proofErr w:type="spellStart"/>
      <w:r w:rsidRPr="00973196">
        <w:rPr>
          <w:sz w:val="20"/>
          <w:szCs w:val="20"/>
          <w:lang w:val="en-US"/>
        </w:rPr>
        <w:t>Denoise</w:t>
      </w:r>
      <w:proofErr w:type="spellEnd"/>
      <w:r w:rsidRPr="00973196">
        <w:rPr>
          <w:sz w:val="20"/>
          <w:szCs w:val="20"/>
          <w:lang w:val="en-US"/>
        </w:rPr>
        <w:t xml:space="preserve"> Raw Mobile UI Layouts for Improving Datasets at Sc</w:t>
      </w:r>
      <w:r w:rsidRPr="00973196">
        <w:rPr>
          <w:sz w:val="20"/>
          <w:szCs w:val="20"/>
          <w:lang w:val="en-US"/>
        </w:rPr>
        <w:t xml:space="preserve">ale // Proc. </w:t>
      </w:r>
      <w:r>
        <w:rPr>
          <w:sz w:val="20"/>
          <w:szCs w:val="20"/>
        </w:rPr>
        <w:t xml:space="preserve">CHI </w:t>
      </w:r>
      <w:proofErr w:type="spellStart"/>
      <w:r>
        <w:rPr>
          <w:sz w:val="20"/>
          <w:szCs w:val="20"/>
        </w:rPr>
        <w:t>Conference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Factors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Computing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>. 2022. P. 1–13.</w:t>
      </w:r>
    </w:p>
    <w:p w:rsidR="000177A7" w:rsidRPr="00973196" w:rsidRDefault="00F20BF2">
      <w:pPr>
        <w:spacing w:after="60" w:line="276" w:lineRule="auto"/>
        <w:ind w:left="397" w:hanging="397"/>
        <w:jc w:val="both"/>
        <w:rPr>
          <w:lang w:val="en-US"/>
        </w:rPr>
      </w:pPr>
      <w:r w:rsidRPr="00973196">
        <w:rPr>
          <w:sz w:val="20"/>
          <w:szCs w:val="20"/>
          <w:lang w:val="en-US"/>
        </w:rPr>
        <w:t>9. Web Content Accessibility Guidelines (WCAG) 2.1: W3C Recommendation. World Wide Web Consortium, 2018.</w:t>
      </w:r>
    </w:p>
    <w:p w:rsidR="000177A7" w:rsidRDefault="00F20BF2">
      <w:pPr>
        <w:spacing w:after="60" w:line="276" w:lineRule="auto"/>
        <w:ind w:left="397" w:hanging="397"/>
        <w:jc w:val="both"/>
      </w:pPr>
      <w:r w:rsidRPr="00973196">
        <w:rPr>
          <w:sz w:val="20"/>
          <w:szCs w:val="20"/>
          <w:lang w:val="en-US"/>
        </w:rPr>
        <w:t xml:space="preserve">10. </w:t>
      </w:r>
      <w:proofErr w:type="spellStart"/>
      <w:r w:rsidRPr="00973196">
        <w:rPr>
          <w:sz w:val="20"/>
          <w:szCs w:val="20"/>
          <w:lang w:val="en-US"/>
        </w:rPr>
        <w:t>Goodfellow</w:t>
      </w:r>
      <w:proofErr w:type="spellEnd"/>
      <w:r w:rsidRPr="00973196">
        <w:rPr>
          <w:sz w:val="20"/>
          <w:szCs w:val="20"/>
          <w:lang w:val="en-US"/>
        </w:rPr>
        <w:t xml:space="preserve"> I., </w:t>
      </w:r>
      <w:proofErr w:type="spellStart"/>
      <w:r w:rsidRPr="00973196">
        <w:rPr>
          <w:sz w:val="20"/>
          <w:szCs w:val="20"/>
          <w:lang w:val="en-US"/>
        </w:rPr>
        <w:t>Pouget-Abadie</w:t>
      </w:r>
      <w:proofErr w:type="spellEnd"/>
      <w:r w:rsidRPr="00973196">
        <w:rPr>
          <w:sz w:val="20"/>
          <w:szCs w:val="20"/>
          <w:lang w:val="en-US"/>
        </w:rPr>
        <w:t xml:space="preserve"> J., Mirza M. </w:t>
      </w:r>
      <w:proofErr w:type="gramStart"/>
      <w:r w:rsidRPr="00973196">
        <w:rPr>
          <w:sz w:val="20"/>
          <w:szCs w:val="20"/>
          <w:lang w:val="en-US"/>
        </w:rPr>
        <w:t>et al.</w:t>
      </w:r>
      <w:proofErr w:type="gramEnd"/>
      <w:r w:rsidRPr="00973196">
        <w:rPr>
          <w:sz w:val="20"/>
          <w:szCs w:val="20"/>
          <w:lang w:val="en-US"/>
        </w:rPr>
        <w:t xml:space="preserve"> Generative Adver</w:t>
      </w:r>
      <w:r w:rsidRPr="00973196">
        <w:rPr>
          <w:sz w:val="20"/>
          <w:szCs w:val="20"/>
          <w:lang w:val="en-US"/>
        </w:rPr>
        <w:t>sarial Nets // Advances in Neural Information Processing Systems (</w:t>
      </w:r>
      <w:proofErr w:type="spellStart"/>
      <w:r w:rsidRPr="00973196">
        <w:rPr>
          <w:sz w:val="20"/>
          <w:szCs w:val="20"/>
          <w:lang w:val="en-US"/>
        </w:rPr>
        <w:t>NeurIPS</w:t>
      </w:r>
      <w:proofErr w:type="spellEnd"/>
      <w:r w:rsidRPr="00973196">
        <w:rPr>
          <w:sz w:val="20"/>
          <w:szCs w:val="20"/>
          <w:lang w:val="en-US"/>
        </w:rPr>
        <w:t xml:space="preserve">). 2014. </w:t>
      </w:r>
      <w:proofErr w:type="spellStart"/>
      <w:r>
        <w:rPr>
          <w:sz w:val="20"/>
          <w:szCs w:val="20"/>
        </w:rPr>
        <w:t>Vol</w:t>
      </w:r>
      <w:proofErr w:type="spellEnd"/>
      <w:r>
        <w:rPr>
          <w:sz w:val="20"/>
          <w:szCs w:val="20"/>
        </w:rPr>
        <w:t>. 27. P. 2672–2680.</w:t>
      </w:r>
    </w:p>
    <w:p w:rsidR="000177A7" w:rsidRDefault="00F20BF2">
      <w:pPr>
        <w:pStyle w:val="1"/>
        <w:spacing w:before="240" w:after="120"/>
        <w:jc w:val="center"/>
      </w:pPr>
      <w:r>
        <w:rPr>
          <w:b/>
          <w:bCs/>
          <w:color w:val="000000"/>
          <w:sz w:val="26"/>
          <w:szCs w:val="26"/>
        </w:rPr>
        <w:t>Приложение. Варианты названия статьи</w:t>
      </w:r>
    </w:p>
    <w:p w:rsidR="000177A7" w:rsidRPr="00973196" w:rsidRDefault="00F20BF2">
      <w:pPr>
        <w:spacing w:after="60" w:line="276" w:lineRule="auto"/>
        <w:ind w:left="397" w:hanging="397"/>
        <w:jc w:val="both"/>
        <w:rPr>
          <w:b/>
        </w:rPr>
      </w:pPr>
      <w:r>
        <w:rPr>
          <w:sz w:val="20"/>
          <w:szCs w:val="20"/>
        </w:rPr>
        <w:t>1</w:t>
      </w:r>
      <w:r w:rsidRPr="00973196">
        <w:rPr>
          <w:b/>
          <w:sz w:val="20"/>
          <w:szCs w:val="20"/>
        </w:rPr>
        <w:t>. Модельно-ориентированный синтез шаблонов пользовательских интерфейсов на основе структурированных требований: а</w:t>
      </w:r>
      <w:r w:rsidRPr="00973196">
        <w:rPr>
          <w:b/>
          <w:sz w:val="20"/>
          <w:szCs w:val="20"/>
        </w:rPr>
        <w:t>рхитектура, алгоритмы и экспериментальная оценка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>2. Параметрическая архитектура детерминированной генерации интерфейсных шаблонов по вектору проектных условий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 xml:space="preserve">3. Методология автоматизированного синтеза первичных UI-макетов с конструктивным гарантированием </w:t>
      </w:r>
      <w:r>
        <w:rPr>
          <w:sz w:val="20"/>
          <w:szCs w:val="20"/>
        </w:rPr>
        <w:t>проектных ограничений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 xml:space="preserve">4. </w:t>
      </w:r>
      <w:r w:rsidRPr="00973196">
        <w:rPr>
          <w:b/>
          <w:sz w:val="20"/>
          <w:szCs w:val="20"/>
        </w:rPr>
        <w:t xml:space="preserve">Автоматизация начального этапа проектирования интерфейсов: детерминированная альтернатива </w:t>
      </w:r>
      <w:proofErr w:type="spellStart"/>
      <w:r w:rsidRPr="00973196">
        <w:rPr>
          <w:b/>
          <w:sz w:val="20"/>
          <w:szCs w:val="20"/>
        </w:rPr>
        <w:t>нейросетевой</w:t>
      </w:r>
      <w:proofErr w:type="spellEnd"/>
      <w:r w:rsidRPr="00973196">
        <w:rPr>
          <w:b/>
          <w:sz w:val="20"/>
          <w:szCs w:val="20"/>
        </w:rPr>
        <w:t xml:space="preserve"> генерации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>5. Структурная генерация интерфейсных макетов в пространстве типизированных элементов: подход и количественная оценка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 xml:space="preserve">6. </w:t>
      </w:r>
      <w:bookmarkStart w:id="0" w:name="_GoBack"/>
      <w:r w:rsidRPr="00973196">
        <w:rPr>
          <w:b/>
          <w:sz w:val="20"/>
          <w:szCs w:val="20"/>
        </w:rPr>
        <w:t xml:space="preserve">Проектирование модуля генерации UI-шаблонов с </w:t>
      </w:r>
      <w:r w:rsidRPr="00973196">
        <w:rPr>
          <w:b/>
          <w:sz w:val="20"/>
          <w:szCs w:val="20"/>
        </w:rPr>
        <w:t>генеративным ядром в составе системы сбора требований</w:t>
      </w:r>
      <w:bookmarkEnd w:id="0"/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>7. Семантические грамматики и параметрическая композиция в задаче синтеза макетов пользовательских интерфейсов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 xml:space="preserve">8. Экспериментальная оценка </w:t>
      </w:r>
      <w:r>
        <w:rPr>
          <w:sz w:val="20"/>
          <w:szCs w:val="20"/>
        </w:rPr>
        <w:t>детерминированного синтеза интерфейсных шаблонов на полной матрице конфигураций требований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>9. Интеллектуальная генерация первичных интерфейсных эскизов в процессе структурированного сбора требований к цифровым продуктам</w:t>
      </w:r>
    </w:p>
    <w:p w:rsidR="000177A7" w:rsidRDefault="00F20BF2">
      <w:pPr>
        <w:spacing w:after="60" w:line="276" w:lineRule="auto"/>
        <w:ind w:left="397" w:hanging="397"/>
        <w:jc w:val="both"/>
      </w:pPr>
      <w:r>
        <w:rPr>
          <w:sz w:val="20"/>
          <w:szCs w:val="20"/>
        </w:rPr>
        <w:t>10. От вектора условий к графу раскл</w:t>
      </w:r>
      <w:r>
        <w:rPr>
          <w:sz w:val="20"/>
          <w:szCs w:val="20"/>
        </w:rPr>
        <w:t>адки: модельный подход к автоматизированному построению шаблонов пользовательских интерфейсов</w:t>
      </w:r>
    </w:p>
    <w:sectPr w:rsidR="000177A7"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36662"/>
    <w:multiLevelType w:val="hybridMultilevel"/>
    <w:tmpl w:val="01B0FDBC"/>
    <w:lvl w:ilvl="0" w:tplc="A9DCFA9A">
      <w:start w:val="1"/>
      <w:numFmt w:val="none"/>
      <w:lvlText w:val="–"/>
      <w:lvlJc w:val="left"/>
      <w:pPr>
        <w:ind w:left="720" w:hanging="323"/>
      </w:pPr>
    </w:lvl>
    <w:lvl w:ilvl="1" w:tplc="9DF651BE">
      <w:numFmt w:val="decimal"/>
      <w:lvlText w:val=""/>
      <w:lvlJc w:val="left"/>
    </w:lvl>
    <w:lvl w:ilvl="2" w:tplc="52D89D76">
      <w:numFmt w:val="decimal"/>
      <w:lvlText w:val=""/>
      <w:lvlJc w:val="left"/>
    </w:lvl>
    <w:lvl w:ilvl="3" w:tplc="36FE0780">
      <w:numFmt w:val="decimal"/>
      <w:lvlText w:val=""/>
      <w:lvlJc w:val="left"/>
    </w:lvl>
    <w:lvl w:ilvl="4" w:tplc="081C7598">
      <w:numFmt w:val="decimal"/>
      <w:lvlText w:val=""/>
      <w:lvlJc w:val="left"/>
    </w:lvl>
    <w:lvl w:ilvl="5" w:tplc="EDA0AB5E">
      <w:numFmt w:val="decimal"/>
      <w:lvlText w:val=""/>
      <w:lvlJc w:val="left"/>
    </w:lvl>
    <w:lvl w:ilvl="6" w:tplc="B9DEF420">
      <w:numFmt w:val="decimal"/>
      <w:lvlText w:val=""/>
      <w:lvlJc w:val="left"/>
    </w:lvl>
    <w:lvl w:ilvl="7" w:tplc="363E4ACE">
      <w:numFmt w:val="decimal"/>
      <w:lvlText w:val=""/>
      <w:lvlJc w:val="left"/>
    </w:lvl>
    <w:lvl w:ilvl="8" w:tplc="163C3DD0">
      <w:numFmt w:val="decimal"/>
      <w:lvlText w:val=""/>
      <w:lvlJc w:val="left"/>
    </w:lvl>
  </w:abstractNum>
  <w:abstractNum w:abstractNumId="1" w15:restartNumberingAfterBreak="0">
    <w:nsid w:val="2C450C6F"/>
    <w:multiLevelType w:val="hybridMultilevel"/>
    <w:tmpl w:val="524809D8"/>
    <w:lvl w:ilvl="0" w:tplc="04F0E548">
      <w:start w:val="1"/>
      <w:numFmt w:val="bullet"/>
      <w:lvlText w:val="●"/>
      <w:lvlJc w:val="left"/>
      <w:pPr>
        <w:ind w:left="720" w:hanging="360"/>
      </w:pPr>
    </w:lvl>
    <w:lvl w:ilvl="1" w:tplc="978A006C">
      <w:start w:val="1"/>
      <w:numFmt w:val="bullet"/>
      <w:lvlText w:val="○"/>
      <w:lvlJc w:val="left"/>
      <w:pPr>
        <w:ind w:left="1440" w:hanging="360"/>
      </w:pPr>
    </w:lvl>
    <w:lvl w:ilvl="2" w:tplc="8C1EF39C">
      <w:start w:val="1"/>
      <w:numFmt w:val="bullet"/>
      <w:lvlText w:val="■"/>
      <w:lvlJc w:val="left"/>
      <w:pPr>
        <w:ind w:left="2160" w:hanging="360"/>
      </w:pPr>
    </w:lvl>
    <w:lvl w:ilvl="3" w:tplc="4B6259AA">
      <w:start w:val="1"/>
      <w:numFmt w:val="bullet"/>
      <w:lvlText w:val="●"/>
      <w:lvlJc w:val="left"/>
      <w:pPr>
        <w:ind w:left="2880" w:hanging="360"/>
      </w:pPr>
    </w:lvl>
    <w:lvl w:ilvl="4" w:tplc="6B1810D8">
      <w:start w:val="1"/>
      <w:numFmt w:val="bullet"/>
      <w:lvlText w:val="○"/>
      <w:lvlJc w:val="left"/>
      <w:pPr>
        <w:ind w:left="3600" w:hanging="360"/>
      </w:pPr>
    </w:lvl>
    <w:lvl w:ilvl="5" w:tplc="6EF88728">
      <w:start w:val="1"/>
      <w:numFmt w:val="bullet"/>
      <w:lvlText w:val="■"/>
      <w:lvlJc w:val="left"/>
      <w:pPr>
        <w:ind w:left="4320" w:hanging="360"/>
      </w:pPr>
    </w:lvl>
    <w:lvl w:ilvl="6" w:tplc="92FE9754">
      <w:start w:val="1"/>
      <w:numFmt w:val="bullet"/>
      <w:lvlText w:val="●"/>
      <w:lvlJc w:val="left"/>
      <w:pPr>
        <w:ind w:left="5040" w:hanging="360"/>
      </w:pPr>
    </w:lvl>
    <w:lvl w:ilvl="7" w:tplc="092C472A">
      <w:start w:val="1"/>
      <w:numFmt w:val="bullet"/>
      <w:lvlText w:val="●"/>
      <w:lvlJc w:val="left"/>
      <w:pPr>
        <w:ind w:left="5760" w:hanging="360"/>
      </w:pPr>
    </w:lvl>
    <w:lvl w:ilvl="8" w:tplc="645A5A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7A7"/>
    <w:rsid w:val="000177A7"/>
    <w:rsid w:val="00973196"/>
    <w:rsid w:val="00F2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C7C43"/>
  <w15:docId w15:val="{BA44892C-830D-44F0-9564-1E7FFA62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4142</Words>
  <Characters>23612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Taya Leyko</cp:lastModifiedBy>
  <cp:revision>2</cp:revision>
  <dcterms:created xsi:type="dcterms:W3CDTF">2026-07-18T15:42:00Z</dcterms:created>
  <dcterms:modified xsi:type="dcterms:W3CDTF">2026-07-19T14:28:00Z</dcterms:modified>
</cp:coreProperties>
</file>