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B2A4A"/>
          <w:sz w:val="64"/>
          <w:szCs w:val="64"/>
        </w:rPr>
        <w:t xml:space="preserve">Olready CRM</w:t>
      </w:r>
    </w:p>
    <w:p>
      <w:pPr>
        <w:spacing w:after="160" w:before="0"/>
        <w:jc w:val="center"/>
      </w:pPr>
      <w:r>
        <w:rPr>
          <w:rFonts w:ascii="Arial" w:cs="Arial" w:eastAsia="Arial" w:hAnsi="Arial"/>
          <w:b w:val="false"/>
          <w:bCs w:val="false"/>
          <w:color w:val="0D7377"/>
          <w:sz w:val="40"/>
          <w:szCs w:val="40"/>
        </w:rPr>
        <w:t xml:space="preserve">Ticketing &amp; Grievance Management System</w:t>
      </w:r>
    </w:p>
    <w:p>
      <w:pPr>
        <w:spacing w:after="800" w:before="0"/>
        <w:jc w:val="center"/>
      </w:pPr>
      <w:r>
        <w:rPr>
          <w:rFonts w:ascii="Arial" w:cs="Arial" w:eastAsia="Arial" w:hAnsi="Arial"/>
          <w:color w:val="64748B"/>
          <w:sz w:val="26"/>
          <w:szCs w:val="26"/>
        </w:rPr>
        <w:t xml:space="preserve">Soft PRD  —  Planning Document</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tblGrid>
      <w:tr>
        <w:tc>
          <w:tcPr>
            <w:tcW w:type="dxa" w:w="20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vAlign w:val="top"/>
          </w:tcPr>
          <w:p>
            <w:pPr>
              <w:jc w:val="left"/>
            </w:pPr>
            <w:r>
              <w:rPr>
                <w:rFonts w:ascii="Arial" w:cs="Arial" w:eastAsia="Arial" w:hAnsi="Arial"/>
                <w:b/>
                <w:bCs/>
                <w:color w:val="FFFFFF"/>
                <w:sz w:val="19"/>
                <w:szCs w:val="19"/>
              </w:rPr>
              <w:t xml:space="preserve">Version</w:t>
            </w:r>
          </w:p>
        </w:tc>
        <w:tc>
          <w:tcPr>
            <w:tcW w:type="dxa" w:w="20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1.0</w:t>
            </w:r>
          </w:p>
        </w:tc>
      </w:tr>
      <w:tr>
        <w:tc>
          <w:tcPr>
            <w:tcW w:type="dxa" w:w="20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vAlign w:val="top"/>
          </w:tcPr>
          <w:p>
            <w:pPr>
              <w:jc w:val="left"/>
            </w:pPr>
            <w:r>
              <w:rPr>
                <w:rFonts w:ascii="Arial" w:cs="Arial" w:eastAsia="Arial" w:hAnsi="Arial"/>
                <w:b/>
                <w:bCs/>
                <w:color w:val="FFFFFF"/>
                <w:sz w:val="19"/>
                <w:szCs w:val="19"/>
              </w:rPr>
              <w:t xml:space="preserve">Date</w:t>
            </w:r>
          </w:p>
        </w:tc>
        <w:tc>
          <w:tcPr>
            <w:tcW w:type="dxa" w:w="20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May 2025</w:t>
            </w:r>
          </w:p>
        </w:tc>
      </w:tr>
      <w:tr>
        <w:tc>
          <w:tcPr>
            <w:tcW w:type="dxa" w:w="20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vAlign w:val="top"/>
          </w:tcPr>
          <w:p>
            <w:pPr>
              <w:jc w:val="left"/>
            </w:pPr>
            <w:r>
              <w:rPr>
                <w:rFonts w:ascii="Arial" w:cs="Arial" w:eastAsia="Arial" w:hAnsi="Arial"/>
                <w:b/>
                <w:bCs/>
                <w:color w:val="FFFFFF"/>
                <w:sz w:val="19"/>
                <w:szCs w:val="19"/>
              </w:rPr>
              <w:t xml:space="preserve">Status</w:t>
            </w:r>
          </w:p>
        </w:tc>
        <w:tc>
          <w:tcPr>
            <w:tcW w:type="dxa" w:w="20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Planning</w:t>
            </w:r>
          </w:p>
        </w:tc>
      </w:tr>
      <w:tr>
        <w:tc>
          <w:tcPr>
            <w:tcW w:type="dxa" w:w="20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vAlign w:val="top"/>
          </w:tcPr>
          <w:p>
            <w:pPr>
              <w:jc w:val="left"/>
            </w:pPr>
            <w:r>
              <w:rPr>
                <w:rFonts w:ascii="Arial" w:cs="Arial" w:eastAsia="Arial" w:hAnsi="Arial"/>
                <w:b/>
                <w:bCs/>
                <w:color w:val="FFFFFF"/>
                <w:sz w:val="19"/>
                <w:szCs w:val="19"/>
              </w:rPr>
              <w:t xml:space="preserve">Audience</w:t>
            </w:r>
          </w:p>
        </w:tc>
        <w:tc>
          <w:tcPr>
            <w:tcW w:type="dxa" w:w="20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Internal — Not for Distribution</w:t>
            </w:r>
          </w:p>
        </w:tc>
      </w:tr>
    </w:tbl>
    <w:p>
      <w:r>
        <w:rPr>
          <w:sz w:val="20"/>
          <w:szCs w:val="20"/>
        </w:rPr>
        <w:t xml:space="preserve"/>
      </w:r>
    </w:p>
    <w:p>
      <w:r>
        <w:rPr>
          <w:sz w:val="20"/>
          <w:szCs w:val="20"/>
        </w:rPr>
        <w:t xml:space="preserve"/>
      </w:r>
    </w:p>
    <w:p>
      <w:r>
        <w:br w:type="page"/>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Arial" w:cs="Arial" w:eastAsia="Arial" w:hAnsi="Arial"/>
          <w:b/>
          <w:bCs/>
          <w:color w:val="1B2A4A"/>
          <w:sz w:val="32"/>
          <w:szCs w:val="32"/>
        </w:rPr>
        <w:t xml:space="preserve">1. Overview</w:t>
      </w:r>
    </w:p>
    <w:p>
      <w:pPr>
        <w:spacing w:after="80" w:before="80"/>
        <w:jc w:val="left"/>
      </w:pPr>
      <w:r>
        <w:rPr>
          <w:rFonts w:ascii="Arial" w:cs="Arial" w:eastAsia="Arial" w:hAnsi="Arial"/>
          <w:b w:val="false"/>
          <w:bCs w:val="false"/>
          <w:color w:val="000000"/>
          <w:sz w:val="22"/>
          <w:szCs w:val="22"/>
        </w:rPr>
        <w:t xml:space="preserve">Olready operates a bridal MUA marketplace where registered MUAs acquire leads through subscription plans (RM-assigned and portal). As the platform scales, MUAs, and occasionally leads (brides), raise issues relating to lead quality, business outcomes, sales commitments, and operational matters.</w:t>
      </w:r>
    </w:p>
    <w:p>
      <w:r>
        <w:rPr>
          <w:sz w:val="20"/>
          <w:szCs w:val="20"/>
        </w:rPr>
        <w:t xml:space="preserve"/>
      </w:r>
    </w:p>
    <w:p>
      <w:pPr>
        <w:spacing w:after="80" w:before="80"/>
        <w:jc w:val="left"/>
      </w:pPr>
      <w:r>
        <w:rPr>
          <w:rFonts w:ascii="Arial" w:cs="Arial" w:eastAsia="Arial" w:hAnsi="Arial"/>
          <w:b w:val="false"/>
          <w:bCs w:val="false"/>
          <w:color w:val="000000"/>
          <w:sz w:val="22"/>
          <w:szCs w:val="22"/>
        </w:rPr>
        <w:t xml:space="preserve">Today these complaints arrive via care@olready.in or the support phone number. They are handled through an informal chain of emails and WhatsApp messages between a support agent, admin, and the relevant RM or sales person. There is no single record, no consistent process, and no audit trail.</w:t>
      </w:r>
    </w:p>
    <w:p>
      <w:r>
        <w:rPr>
          <w:sz w:val="20"/>
          <w:szCs w:val="20"/>
        </w:rPr>
        <w:t xml:space="preserve"/>
      </w:r>
    </w:p>
    <w:p>
      <w:pPr>
        <w:spacing w:after="80" w:before="80"/>
        <w:jc w:val="left"/>
      </w:pPr>
      <w:r>
        <w:rPr>
          <w:rFonts w:ascii="Arial" w:cs="Arial" w:eastAsia="Arial" w:hAnsi="Arial"/>
          <w:b w:val="false"/>
          <w:bCs w:val="false"/>
          <w:color w:val="000000"/>
          <w:sz w:val="22"/>
          <w:szCs w:val="22"/>
        </w:rPr>
        <w:t xml:space="preserve">This document describes a structured Ticketing &amp; Grievance Management layer built inside the existing Olready CRM. It formalises the current informal process, ensures admin is the orchestrating authority throughout, and introduces an AI-assisted response system so every outbound communication to a MUA is professional, consistent, and legally considered.</w:t>
      </w:r>
    </w:p>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B2A4A" w:sz="6"/>
              <w:left w:val="single" w:color="1B2A4A" w:sz="12"/>
              <w:bottom w:val="single" w:color="1B2A4A" w:sz="6"/>
              <w:right w:val="single" w:color="1B2A4A" w:sz="6"/>
            </w:tcBorders>
            <w:shd w:fill="E8EDF4" w:val="clear"/>
            <w:tcMar>
              <w:top w:type="dxa" w:w="120"/>
              <w:left w:type="dxa" w:w="200"/>
              <w:bottom w:type="dxa" w:w="120"/>
              <w:right w:type="dxa" w:w="200"/>
            </w:tcMar>
          </w:tcPr>
          <w:p>
            <w:pPr>
              <w:spacing w:after="60"/>
            </w:pPr>
            <w:r>
              <w:rPr>
                <w:rFonts w:ascii="Arial" w:cs="Arial" w:eastAsia="Arial" w:hAnsi="Arial"/>
                <w:b/>
                <w:bCs/>
                <w:color w:val="1B2A4A"/>
                <w:sz w:val="20"/>
                <w:szCs w:val="20"/>
              </w:rPr>
              <w:t xml:space="preserve">Primary Goal</w:t>
            </w:r>
          </w:p>
          <w:p>
            <w:pPr>
              <w:spacing w:after="0"/>
            </w:pPr>
            <w:r>
              <w:rPr>
                <w:rFonts w:ascii="Arial" w:cs="Arial" w:eastAsia="Arial" w:hAnsi="Arial"/>
                <w:sz w:val="20"/>
                <w:szCs w:val="20"/>
              </w:rPr>
              <w:t xml:space="preserve">Replace the current scattered email/WhatsApp grievance chain with a structured, admin-directed, AI-assisted ticketing system embedded in the CRM on the same database.</w:t>
            </w:r>
          </w:p>
        </w:tc>
      </w:tr>
    </w:tbl>
    <w:p>
      <w:r>
        <w:rPr>
          <w:sz w:val="20"/>
          <w:szCs w:val="20"/>
        </w:rPr>
        <w:t xml:space="preserve"/>
      </w:r>
    </w:p>
    <w:p>
      <w:pPr>
        <w:pBdr>
          <w:bottom w:val="single" w:color="CBD5E1" w:sz="4" w:space="1"/>
        </w:pBdr>
        <w:spacing w:after="120" w:before="120"/>
      </w:pPr>
    </w:p>
    <w:p>
      <w:pPr>
        <w:pStyle w:val="Heading1"/>
        <w:spacing w:after="160" w:before="320"/>
      </w:pPr>
      <w:r>
        <w:rPr>
          <w:rFonts w:ascii="Arial" w:cs="Arial" w:eastAsia="Arial" w:hAnsi="Arial"/>
          <w:b/>
          <w:bCs/>
          <w:color w:val="1B2A4A"/>
          <w:sz w:val="32"/>
          <w:szCs w:val="32"/>
        </w:rPr>
        <w:t xml:space="preserve">2. Actors &amp; Roles</w:t>
      </w:r>
    </w:p>
    <w:p>
      <w:pPr>
        <w:spacing w:after="80" w:before="80"/>
        <w:jc w:val="left"/>
      </w:pPr>
      <w:r>
        <w:rPr>
          <w:rFonts w:ascii="Arial" w:cs="Arial" w:eastAsia="Arial" w:hAnsi="Arial"/>
          <w:b w:val="false"/>
          <w:bCs w:val="false"/>
          <w:color w:val="000000"/>
          <w:sz w:val="22"/>
          <w:szCs w:val="22"/>
        </w:rPr>
        <w:t xml:space="preserve">Five roles interact with the system. Roles align with the existing CRM role model and will expand when Sales is integrated.</w:t>
      </w:r>
    </w:p>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26"/>
        <w:gridCol w:w="2000"/>
      </w:tblGrid>
      <w:tr>
        <w:tc>
          <w:tcPr>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Role</w:t>
            </w:r>
          </w:p>
        </w:tc>
        <w:tc>
          <w:tcPr>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Who</w:t>
            </w:r>
          </w:p>
        </w:tc>
        <w:tc>
          <w:tcPr>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Capability in Tickets</w:t>
            </w:r>
          </w:p>
        </w:tc>
        <w:tc>
          <w:tcPr>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MUA</w:t>
            </w:r>
          </w:p>
        </w:tc>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Registered makeup artist</w:t>
            </w:r>
          </w:p>
        </w:tc>
        <w:tc>
          <w:tcPr>
            <w:tcW w:type="dxa" w:w="30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Raises complaints (Phase 2: via portal)</w:t>
            </w:r>
          </w:p>
        </w:tc>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Currently intake via email / phone only</w:t>
            </w:r>
          </w:p>
        </w:tc>
      </w:tr>
      <w:tr>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Support Agent</w:t>
            </w:r>
          </w:p>
        </w:tc>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lead_uploader role (currently)</w:t>
            </w:r>
          </w:p>
        </w:tc>
        <w:tc>
          <w:tcPr>
            <w:tcW w:type="dxa" w:w="30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Creates tickets, adds notes, attaches ledger data, compiles AI-assisted responses, sends approved responses</w:t>
            </w:r>
          </w:p>
        </w:tc>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Role may split into dedicated support user in future</w:t>
            </w:r>
          </w:p>
        </w:tc>
      </w:tr>
      <w:tr>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RM / Commission RM</w:t>
            </w:r>
          </w:p>
        </w:tc>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Regional &amp; commission managers</w:t>
            </w:r>
          </w:p>
        </w:tc>
        <w:tc>
          <w:tcPr>
            <w:tcW w:type="dxa" w:w="30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Views tickets assigned to them, adds internal input notes, references CRM lead data</w:t>
            </w:r>
          </w:p>
        </w:tc>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Cannot respond to MUA directly. Not assigned if they are the subject of the complaint</w:t>
            </w:r>
          </w:p>
        </w:tc>
      </w:tr>
      <w:tr>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Admin</w:t>
            </w:r>
          </w:p>
        </w:tc>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Platform admin</w:t>
            </w:r>
          </w:p>
        </w:tc>
        <w:tc>
          <w:tcPr>
            <w:tcW w:type="dxa" w:w="30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Orchestrates all tickets, directs investigations, assigns tasks, approves all responses, has full visibility</w:t>
            </w:r>
          </w:p>
        </w:tc>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Only role that can approve outbound responses</w:t>
            </w:r>
          </w:p>
        </w:tc>
      </w:tr>
      <w:tr>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Owner</w:t>
            </w:r>
          </w:p>
        </w:tc>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Platform owner</w:t>
            </w:r>
          </w:p>
        </w:tc>
        <w:tc>
          <w:tcPr>
            <w:tcW w:type="dxa" w:w="30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Read-only visibility across all tickets, especially legal-risk flagged ones</w:t>
            </w:r>
          </w:p>
        </w:tc>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Notified on legal-risk tickets</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6"/>
              <w:left w:val="single" w:color="F59E0B" w:sz="12"/>
              <w:bottom w:val="single" w:color="F59E0B" w:sz="6"/>
              <w:right w:val="single" w:color="F59E0B" w:sz="6"/>
            </w:tcBorders>
            <w:shd w:fill="FEF3C7" w:val="clear"/>
            <w:tcMar>
              <w:top w:type="dxa" w:w="120"/>
              <w:left w:type="dxa" w:w="200"/>
              <w:bottom w:type="dxa" w:w="120"/>
              <w:right w:type="dxa" w:w="200"/>
            </w:tcMar>
          </w:tcPr>
          <w:p>
            <w:pPr>
              <w:spacing w:after="60"/>
            </w:pPr>
            <w:r>
              <w:rPr>
                <w:rFonts w:ascii="Arial" w:cs="Arial" w:eastAsia="Arial" w:hAnsi="Arial"/>
                <w:b/>
                <w:bCs/>
                <w:color w:val="F59E0B"/>
                <w:sz w:val="20"/>
                <w:szCs w:val="20"/>
              </w:rPr>
              <w:t xml:space="preserve">Sales Role (Future)</w:t>
            </w:r>
          </w:p>
          <w:p>
            <w:pPr>
              <w:spacing w:after="0"/>
            </w:pPr>
            <w:r>
              <w:rPr>
                <w:rFonts w:ascii="Arial" w:cs="Arial" w:eastAsia="Arial" w:hAnsi="Arial"/>
                <w:sz w:val="20"/>
                <w:szCs w:val="20"/>
              </w:rPr>
              <w:t xml:space="preserve">When the Sales team is integrated into the CRM, they will be assigned as input providers for categories relating to onboarding commitments, false promises, invoice/contract disputes, and plan extensions. Their role will mirror that of RM within the ticket chain.</w:t>
            </w:r>
          </w:p>
        </w:tc>
      </w:tr>
    </w:tbl>
    <w:p>
      <w:pPr>
        <w:pBdr>
          <w:bottom w:val="single" w:color="CBD5E1" w:sz="4" w:space="1"/>
        </w:pBdr>
        <w:spacing w:after="120" w:before="120"/>
      </w:pPr>
    </w:p>
    <w:p>
      <w:pPr>
        <w:pStyle w:val="Heading1"/>
        <w:spacing w:after="160" w:before="320"/>
      </w:pPr>
      <w:r>
        <w:rPr>
          <w:rFonts w:ascii="Arial" w:cs="Arial" w:eastAsia="Arial" w:hAnsi="Arial"/>
          <w:b/>
          <w:bCs/>
          <w:color w:val="1B2A4A"/>
          <w:sz w:val="32"/>
          <w:szCs w:val="32"/>
        </w:rPr>
        <w:t xml:space="preserve">3. Ticket Categories &amp; Routing</w:t>
      </w:r>
    </w:p>
    <w:p>
      <w:pPr>
        <w:spacing w:after="80" w:before="80"/>
        <w:jc w:val="left"/>
      </w:pPr>
      <w:r>
        <w:rPr>
          <w:rFonts w:ascii="Arial" w:cs="Arial" w:eastAsia="Arial" w:hAnsi="Arial"/>
          <w:b w:val="false"/>
          <w:bCs w:val="false"/>
          <w:color w:val="000000"/>
          <w:sz w:val="22"/>
          <w:szCs w:val="22"/>
        </w:rPr>
        <w:t xml:space="preserve">Categories determine who gets assigned as the input provider and whether the ticket can be handled by an RM or must go directly to Admin. The routing logic is based on conflict of interest: if the complaint is about an RM or Sales, that person cannot be the resolver.</w:t>
      </w:r>
    </w:p>
    <w:p>
      <w:r>
        <w:rPr>
          <w:sz w:val="20"/>
          <w:szCs w:val="20"/>
        </w:rPr>
        <w:t xml:space="preserve"/>
      </w:r>
    </w:p>
    <w:p>
      <w:pPr>
        <w:pStyle w:val="Heading2"/>
        <w:spacing w:after="120" w:before="240"/>
      </w:pPr>
      <w:r>
        <w:rPr>
          <w:rFonts w:ascii="Arial" w:cs="Arial" w:eastAsia="Arial" w:hAnsi="Arial"/>
          <w:b/>
          <w:bCs/>
          <w:color w:val="0D7377"/>
          <w:sz w:val="26"/>
          <w:szCs w:val="26"/>
        </w:rPr>
        <w:t xml:space="preserve">3.1 Category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826"/>
        <w:gridCol w:w="2800"/>
      </w:tblGrid>
      <w:tr>
        <w:tc>
          <w:tcPr>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Category</w:t>
            </w:r>
          </w:p>
        </w:tc>
        <w:tc>
          <w:tcPr>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Primary Input From</w:t>
            </w:r>
          </w:p>
        </w:tc>
        <w:tc>
          <w:tcPr>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Route To Admin Direct?</w:t>
            </w:r>
          </w:p>
        </w:tc>
      </w:tr>
      <w:tr>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Lead Quality (fake, wrong tier, unresponsive)</w:t>
            </w:r>
          </w:p>
        </w:tc>
        <w:tc>
          <w:tcPr>
            <w:tcW w:type="dxa" w:w="28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Assigned RM</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No — RM resolves with Admin approval</w:t>
            </w:r>
          </w:p>
        </w:tc>
      </w:tr>
      <w:tr>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Lead Unresponsive</w:t>
            </w:r>
          </w:p>
        </w:tc>
        <w:tc>
          <w:tcPr>
            <w:tcW w:type="dxa" w:w="28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Assigned RM</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No</w:t>
            </w:r>
          </w:p>
        </w:tc>
      </w:tr>
      <w:tr>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Leads Not Being Put on System</w:t>
            </w:r>
          </w:p>
        </w:tc>
        <w:tc>
          <w:tcPr>
            <w:tcW w:type="dxa" w:w="28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Support / Admin</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Yes — operational/admin issue</w:t>
            </w:r>
          </w:p>
        </w:tc>
      </w:tr>
      <w:tr>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Did Not Get Business</w:t>
            </w:r>
          </w:p>
        </w:tc>
        <w:tc>
          <w:tcPr>
            <w:tcW w:type="dxa" w:w="28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Assigned RM + Ledger Data</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No — RM input required</w:t>
            </w:r>
          </w:p>
        </w:tc>
      </w:tr>
      <w:tr>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Require Extension of Plan</w:t>
            </w:r>
          </w:p>
        </w:tc>
        <w:tc>
          <w:tcPr>
            <w:tcW w:type="dxa" w:w="28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Support + Admin direction</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Yes — commercial decision</w:t>
            </w:r>
          </w:p>
        </w:tc>
      </w:tr>
      <w:tr>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False Promise by Sales Team</w:t>
            </w:r>
          </w:p>
        </w:tc>
        <w:tc>
          <w:tcPr>
            <w:tcW w:type="dxa" w:w="28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Sales (future) / Admin</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Yes — conflict of interest</w:t>
            </w:r>
          </w:p>
        </w:tc>
      </w:tr>
      <w:tr>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Invoice / Contract Related Issue</w:t>
            </w:r>
          </w:p>
        </w:tc>
        <w:tc>
          <w:tcPr>
            <w:tcW w:type="dxa" w:w="28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Admin / Support</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Yes — legal and financial</w:t>
            </w:r>
          </w:p>
        </w:tc>
      </w:tr>
      <w:tr>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Offer Dispute (cap unfair, lead allocation)</w:t>
            </w:r>
          </w:p>
        </w:tc>
        <w:tc>
          <w:tcPr>
            <w:tcW w:type="dxa" w:w="28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Assigned RM</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No — RM input + Admin approval</w:t>
            </w:r>
          </w:p>
        </w:tc>
      </w:tr>
      <w:tr>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Booking Problem (cancellation, no-show)</w:t>
            </w:r>
          </w:p>
        </w:tc>
        <w:tc>
          <w:tcPr>
            <w:tcW w:type="dxa" w:w="28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Assigned RM</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No</w:t>
            </w:r>
          </w:p>
        </w:tc>
      </w:tr>
      <w:tr>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Sales Person Unresponsive</w:t>
            </w:r>
          </w:p>
        </w:tc>
        <w:tc>
          <w:tcPr>
            <w:tcW w:type="dxa" w:w="28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Admin</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Yes — conflict of interest</w:t>
            </w:r>
          </w:p>
        </w:tc>
      </w:tr>
      <w:tr>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RM Unresponsive / Relationship Issue</w:t>
            </w:r>
          </w:p>
        </w:tc>
        <w:tc>
          <w:tcPr>
            <w:tcW w:type="dxa" w:w="28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Admin</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Yes — complaint about RM, RM cannot resolve</w:t>
            </w:r>
          </w:p>
        </w:tc>
      </w:tr>
      <w:tr>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Profile / Account / Plan Tier Query</w:t>
            </w:r>
          </w:p>
        </w:tc>
        <w:tc>
          <w:tcPr>
            <w:tcW w:type="dxa" w:w="28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Support</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No — support handles with Admin approval</w:t>
            </w:r>
          </w:p>
        </w:tc>
      </w:tr>
      <w:tr>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Other / General Grievance</w:t>
            </w:r>
          </w:p>
        </w:tc>
        <w:tc>
          <w:tcPr>
            <w:tcW w:type="dxa" w:w="28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Support</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Assessed by Admin on creation</w:t>
            </w:r>
          </w:p>
        </w:tc>
      </w:tr>
    </w:tbl>
    <w:p>
      <w:r>
        <w:rPr>
          <w:sz w:val="20"/>
          <w:szCs w:val="20"/>
        </w:rPr>
        <w:t xml:space="preserve"/>
      </w:r>
    </w:p>
    <w:p>
      <w:pPr>
        <w:pStyle w:val="Heading2"/>
        <w:spacing w:after="120" w:before="240"/>
      </w:pPr>
      <w:r>
        <w:rPr>
          <w:rFonts w:ascii="Arial" w:cs="Arial" w:eastAsia="Arial" w:hAnsi="Arial"/>
          <w:b/>
          <w:bCs/>
          <w:color w:val="0D7377"/>
          <w:sz w:val="26"/>
          <w:szCs w:val="26"/>
        </w:rPr>
        <w:t xml:space="preserve">3.2 What Happens When the MUA Has No Assigned RM</w:t>
      </w:r>
    </w:p>
    <w:p>
      <w:pPr>
        <w:spacing w:after="80" w:before="80"/>
        <w:jc w:val="left"/>
      </w:pPr>
      <w:r>
        <w:rPr>
          <w:rFonts w:ascii="Arial" w:cs="Arial" w:eastAsia="Arial" w:hAnsi="Arial"/>
          <w:b w:val="false"/>
          <w:bCs w:val="false"/>
          <w:color w:val="000000"/>
          <w:sz w:val="22"/>
          <w:szCs w:val="22"/>
        </w:rPr>
        <w:t xml:space="preserve">Not all MUAs are assigned to an RM. In this case the ticket stays with the Support Agent as the input gatherer. The Support Agent references the lead usage ledger and any available CRM data. When Sales is integrated, these tickets will be routable to a Sales user. Until then, Admin directs the Support Agent on every step.</w:t>
      </w:r>
    </w:p>
    <w:p>
      <w:pPr>
        <w:pBdr>
          <w:bottom w:val="single" w:color="CBD5E1" w:sz="4" w:space="1"/>
        </w:pBdr>
        <w:spacing w:after="120" w:before="120"/>
      </w:pPr>
    </w:p>
    <w:p>
      <w:pPr>
        <w:pStyle w:val="Heading1"/>
        <w:spacing w:after="160" w:before="320"/>
      </w:pPr>
      <w:r>
        <w:rPr>
          <w:rFonts w:ascii="Arial" w:cs="Arial" w:eastAsia="Arial" w:hAnsi="Arial"/>
          <w:b/>
          <w:bCs/>
          <w:color w:val="1B2A4A"/>
          <w:sz w:val="32"/>
          <w:szCs w:val="32"/>
        </w:rPr>
        <w:t xml:space="preserve">4. Ticket Lifecycle &amp; Flow</w:t>
      </w:r>
    </w:p>
    <w:p>
      <w:pPr>
        <w:pStyle w:val="Heading2"/>
        <w:spacing w:after="120" w:before="240"/>
      </w:pPr>
      <w:r>
        <w:rPr>
          <w:rFonts w:ascii="Arial" w:cs="Arial" w:eastAsia="Arial" w:hAnsi="Arial"/>
          <w:b/>
          <w:bCs/>
          <w:color w:val="0D7377"/>
          <w:sz w:val="26"/>
          <w:szCs w:val="26"/>
        </w:rPr>
        <w:t xml:space="preserve">4.1 Status Flow</w:t>
      </w:r>
    </w:p>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89"/>
      </w:tblGrid>
      <w:tr>
        <w:tc>
          <w:tcPr>
            <w:tcBorders>
              <w:top w:val="none" w:color="FFFFFF" w:sz="0"/>
              <w:left w:val="none" w:color="FFFFFF" w:sz="0"/>
              <w:bottom w:val="none" w:color="FFFFFF" w:sz="0"/>
              <w:right w:val="none" w:color="FFFFFF" w:sz="0"/>
            </w:tcBorders>
            <w:shd w:fill="64748B" w:val="clear"/>
            <w:tcMar>
              <w:top w:type="dxa" w:w="80"/>
              <w:left w:type="dxa" w:w="60"/>
              <w:bottom w:type="dxa" w:w="80"/>
              <w:right w:type="dxa" w:w="60"/>
            </w:tcMar>
          </w:tcPr>
          <w:p>
            <w:pPr>
              <w:jc w:val="center"/>
            </w:pPr>
            <w:r>
              <w:rPr>
                <w:rFonts w:ascii="Arial" w:cs="Arial" w:eastAsia="Arial" w:hAnsi="Arial"/>
                <w:b/>
                <w:bCs/>
                <w:color w:val="FFFFFF"/>
                <w:sz w:val="18"/>
                <w:szCs w:val="18"/>
              </w:rPr>
              <w:t xml:space="preserve">Open</w:t>
            </w:r>
          </w:p>
        </w:tc>
        <w:tc>
          <w:tcPr>
            <w:tcBorders>
              <w:top w:val="none" w:color="FFFFFF" w:sz="0"/>
              <w:left w:val="none" w:color="FFFFFF" w:sz="0"/>
              <w:bottom w:val="none" w:color="FFFFFF" w:sz="0"/>
              <w:right w:val="none" w:color="FFFFFF" w:sz="0"/>
            </w:tcBorders>
            <w:shd w:fill="0D7377" w:val="clear"/>
            <w:tcMar>
              <w:top w:type="dxa" w:w="80"/>
              <w:left w:type="dxa" w:w="60"/>
              <w:bottom w:type="dxa" w:w="80"/>
              <w:right w:type="dxa" w:w="60"/>
            </w:tcMar>
          </w:tcPr>
          <w:p>
            <w:pPr>
              <w:jc w:val="center"/>
            </w:pPr>
            <w:r>
              <w:rPr>
                <w:rFonts w:ascii="Arial" w:cs="Arial" w:eastAsia="Arial" w:hAnsi="Arial"/>
                <w:b/>
                <w:bCs/>
                <w:color w:val="FFFFFF"/>
                <w:sz w:val="18"/>
                <w:szCs w:val="18"/>
              </w:rPr>
              <w:t xml:space="preserve">In Investigation</w:t>
            </w:r>
          </w:p>
        </w:tc>
        <w:tc>
          <w:tcPr>
            <w:tcBorders>
              <w:top w:val="none" w:color="FFFFFF" w:sz="0"/>
              <w:left w:val="none" w:color="FFFFFF" w:sz="0"/>
              <w:bottom w:val="none" w:color="FFFFFF" w:sz="0"/>
              <w:right w:val="none" w:color="FFFFFF" w:sz="0"/>
            </w:tcBorders>
            <w:shd w:fill="7C3AED" w:val="clear"/>
            <w:tcMar>
              <w:top w:type="dxa" w:w="80"/>
              <w:left w:type="dxa" w:w="60"/>
              <w:bottom w:type="dxa" w:w="80"/>
              <w:right w:type="dxa" w:w="60"/>
            </w:tcMar>
          </w:tcPr>
          <w:p>
            <w:pPr>
              <w:jc w:val="center"/>
            </w:pPr>
            <w:r>
              <w:rPr>
                <w:rFonts w:ascii="Arial" w:cs="Arial" w:eastAsia="Arial" w:hAnsi="Arial"/>
                <w:b/>
                <w:bCs/>
                <w:color w:val="FFFFFF"/>
                <w:sz w:val="18"/>
                <w:szCs w:val="18"/>
              </w:rPr>
              <w:t xml:space="preserve">Pending Compilation</w:t>
            </w:r>
          </w:p>
        </w:tc>
        <w:tc>
          <w:tcPr>
            <w:tcBorders>
              <w:top w:val="none" w:color="FFFFFF" w:sz="0"/>
              <w:left w:val="none" w:color="FFFFFF" w:sz="0"/>
              <w:bottom w:val="none" w:color="FFFFFF" w:sz="0"/>
              <w:right w:val="none" w:color="FFFFFF" w:sz="0"/>
            </w:tcBorders>
            <w:shd w:fill="D97706" w:val="clear"/>
            <w:tcMar>
              <w:top w:type="dxa" w:w="80"/>
              <w:left w:type="dxa" w:w="60"/>
              <w:bottom w:type="dxa" w:w="80"/>
              <w:right w:type="dxa" w:w="60"/>
            </w:tcMar>
          </w:tcPr>
          <w:p>
            <w:pPr>
              <w:jc w:val="center"/>
            </w:pPr>
            <w:r>
              <w:rPr>
                <w:rFonts w:ascii="Arial" w:cs="Arial" w:eastAsia="Arial" w:hAnsi="Arial"/>
                <w:b/>
                <w:bCs/>
                <w:color w:val="FFFFFF"/>
                <w:sz w:val="18"/>
                <w:szCs w:val="18"/>
              </w:rPr>
              <w:t xml:space="preserve">Pending Approval</w:t>
            </w:r>
          </w:p>
        </w:tc>
        <w:tc>
          <w:tcPr>
            <w:tcBorders>
              <w:top w:val="none" w:color="FFFFFF" w:sz="0"/>
              <w:left w:val="none" w:color="FFFFFF" w:sz="0"/>
              <w:bottom w:val="none" w:color="FFFFFF" w:sz="0"/>
              <w:right w:val="none" w:color="FFFFFF" w:sz="0"/>
            </w:tcBorders>
            <w:shd w:fill="DC2626" w:val="clear"/>
            <w:tcMar>
              <w:top w:type="dxa" w:w="80"/>
              <w:left w:type="dxa" w:w="60"/>
              <w:bottom w:type="dxa" w:w="80"/>
              <w:right w:type="dxa" w:w="60"/>
            </w:tcMar>
          </w:tcPr>
          <w:p>
            <w:pPr>
              <w:jc w:val="center"/>
            </w:pPr>
            <w:r>
              <w:rPr>
                <w:rFonts w:ascii="Arial" w:cs="Arial" w:eastAsia="Arial" w:hAnsi="Arial"/>
                <w:b/>
                <w:bCs/>
                <w:color w:val="FFFFFF"/>
                <w:sz w:val="18"/>
                <w:szCs w:val="18"/>
              </w:rPr>
              <w:t xml:space="preserve">Revision Requested</w:t>
            </w:r>
          </w:p>
        </w:tc>
        <w:tc>
          <w:tcPr>
            <w:tcBorders>
              <w:top w:val="none" w:color="FFFFFF" w:sz="0"/>
              <w:left w:val="none" w:color="FFFFFF" w:sz="0"/>
              <w:bottom w:val="none" w:color="FFFFFF" w:sz="0"/>
              <w:right w:val="none" w:color="FFFFFF" w:sz="0"/>
            </w:tcBorders>
            <w:shd w:fill="059669" w:val="clear"/>
            <w:tcMar>
              <w:top w:type="dxa" w:w="80"/>
              <w:left w:type="dxa" w:w="60"/>
              <w:bottom w:type="dxa" w:w="80"/>
              <w:right w:type="dxa" w:w="60"/>
            </w:tcMar>
          </w:tcPr>
          <w:p>
            <w:pPr>
              <w:jc w:val="center"/>
            </w:pPr>
            <w:r>
              <w:rPr>
                <w:rFonts w:ascii="Arial" w:cs="Arial" w:eastAsia="Arial" w:hAnsi="Arial"/>
                <w:b/>
                <w:bCs/>
                <w:color w:val="FFFFFF"/>
                <w:sz w:val="18"/>
                <w:szCs w:val="18"/>
              </w:rPr>
              <w:t xml:space="preserve">Approved</w:t>
            </w:r>
          </w:p>
        </w:tc>
        <w:tc>
          <w:tcPr>
            <w:tcBorders>
              <w:top w:val="none" w:color="FFFFFF" w:sz="0"/>
              <w:left w:val="none" w:color="FFFFFF" w:sz="0"/>
              <w:bottom w:val="none" w:color="FFFFFF" w:sz="0"/>
              <w:right w:val="none" w:color="FFFFFF" w:sz="0"/>
            </w:tcBorders>
            <w:shd w:fill="1B2A4A" w:val="clear"/>
            <w:tcMar>
              <w:top w:type="dxa" w:w="80"/>
              <w:left w:type="dxa" w:w="60"/>
              <w:bottom w:type="dxa" w:w="80"/>
              <w:right w:type="dxa" w:w="60"/>
            </w:tcMar>
          </w:tcPr>
          <w:p>
            <w:pPr>
              <w:jc w:val="center"/>
            </w:pPr>
            <w:r>
              <w:rPr>
                <w:rFonts w:ascii="Arial" w:cs="Arial" w:eastAsia="Arial" w:hAnsi="Arial"/>
                <w:b/>
                <w:bCs/>
                <w:color w:val="FFFFFF"/>
                <w:sz w:val="18"/>
                <w:szCs w:val="18"/>
              </w:rPr>
              <w:t xml:space="preserve">Closed</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left"/>
            </w:pPr>
            <w:r>
              <w:rPr>
                <w:rFonts w:ascii="Arial" w:cs="Arial" w:eastAsia="Arial" w:hAnsi="Arial"/>
                <w:b/>
                <w:bCs/>
                <w:color w:val="000000"/>
                <w:sz w:val="19"/>
                <w:szCs w:val="19"/>
              </w:rPr>
              <w:t xml:space="preserve">Open</w:t>
            </w:r>
          </w:p>
        </w:tc>
        <w:tc>
          <w:tcPr>
            <w:tcW w:type="dxa" w:w="63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Ticket created by Support Agent. Admin notified immediately. No action taken until Admin directs.</w:t>
            </w:r>
          </w:p>
        </w:tc>
      </w:tr>
      <w:tr>
        <w:tc>
          <w:tcPr>
            <w:tcW w:type="dxa" w:w="27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left"/>
            </w:pPr>
            <w:r>
              <w:rPr>
                <w:rFonts w:ascii="Arial" w:cs="Arial" w:eastAsia="Arial" w:hAnsi="Arial"/>
                <w:b/>
                <w:bCs/>
                <w:color w:val="000000"/>
                <w:sz w:val="19"/>
                <w:szCs w:val="19"/>
              </w:rPr>
              <w:t xml:space="preserve">In Investigation</w:t>
            </w:r>
          </w:p>
        </w:tc>
        <w:tc>
          <w:tcPr>
            <w:tcW w:type="dxa" w:w="63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Admin has reviewed and assigned input tasks to RM and/or Support. Waiting on those inputs to be completed.</w:t>
            </w:r>
          </w:p>
        </w:tc>
      </w:tr>
      <w:tr>
        <w:tc>
          <w:tcPr>
            <w:tcW w:type="dxa" w:w="27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left"/>
            </w:pPr>
            <w:r>
              <w:rPr>
                <w:rFonts w:ascii="Arial" w:cs="Arial" w:eastAsia="Arial" w:hAnsi="Arial"/>
                <w:b/>
                <w:bCs/>
                <w:color w:val="000000"/>
                <w:sz w:val="19"/>
                <w:szCs w:val="19"/>
              </w:rPr>
              <w:t xml:space="preserve">Pending Compilation</w:t>
            </w:r>
          </w:p>
        </w:tc>
        <w:tc>
          <w:tcPr>
            <w:tcW w:type="dxa" w:w="63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All directed inputs are in. Support Agent to compile the draft response using the AI assistant and the assigned template.</w:t>
            </w:r>
          </w:p>
        </w:tc>
      </w:tr>
      <w:tr>
        <w:tc>
          <w:tcPr>
            <w:tcW w:type="dxa" w:w="27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left"/>
            </w:pPr>
            <w:r>
              <w:rPr>
                <w:rFonts w:ascii="Arial" w:cs="Arial" w:eastAsia="Arial" w:hAnsi="Arial"/>
                <w:b/>
                <w:bCs/>
                <w:color w:val="000000"/>
                <w:sz w:val="19"/>
                <w:szCs w:val="19"/>
              </w:rPr>
              <w:t xml:space="preserve">Pending Approval</w:t>
            </w:r>
          </w:p>
        </w:tc>
        <w:tc>
          <w:tcPr>
            <w:tcW w:type="dxa" w:w="63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Support has compiled and submitted the response to Admin for review and approval.</w:t>
            </w:r>
          </w:p>
        </w:tc>
      </w:tr>
      <w:tr>
        <w:tc>
          <w:tcPr>
            <w:tcW w:type="dxa" w:w="27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left"/>
            </w:pPr>
            <w:r>
              <w:rPr>
                <w:rFonts w:ascii="Arial" w:cs="Arial" w:eastAsia="Arial" w:hAnsi="Arial"/>
                <w:b/>
                <w:bCs/>
                <w:color w:val="000000"/>
                <w:sz w:val="19"/>
                <w:szCs w:val="19"/>
              </w:rPr>
              <w:t xml:space="preserve">Revision Requested</w:t>
            </w:r>
          </w:p>
        </w:tc>
        <w:tc>
          <w:tcPr>
            <w:tcW w:type="dxa" w:w="63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Admin has reviewed and returned the draft with notes. Support revises and resubmits. This cycle can repeat.</w:t>
            </w:r>
          </w:p>
        </w:tc>
      </w:tr>
      <w:tr>
        <w:tc>
          <w:tcPr>
            <w:tcW w:type="dxa" w:w="27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left"/>
            </w:pPr>
            <w:r>
              <w:rPr>
                <w:rFonts w:ascii="Arial" w:cs="Arial" w:eastAsia="Arial" w:hAnsi="Arial"/>
                <w:b/>
                <w:bCs/>
                <w:color w:val="000000"/>
                <w:sz w:val="19"/>
                <w:szCs w:val="19"/>
              </w:rPr>
              <w:t xml:space="preserve">Approved</w:t>
            </w:r>
          </w:p>
        </w:tc>
        <w:tc>
          <w:tcPr>
            <w:tcW w:type="dxa" w:w="63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Admin has approved the response. Support Agent to send it to the MUA.</w:t>
            </w:r>
          </w:p>
        </w:tc>
      </w:tr>
      <w:tr>
        <w:tc>
          <w:tcPr>
            <w:tcW w:type="dxa" w:w="27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left"/>
            </w:pPr>
            <w:r>
              <w:rPr>
                <w:rFonts w:ascii="Arial" w:cs="Arial" w:eastAsia="Arial" w:hAnsi="Arial"/>
                <w:b/>
                <w:bCs/>
                <w:color w:val="000000"/>
                <w:sz w:val="19"/>
                <w:szCs w:val="19"/>
              </w:rPr>
              <w:t xml:space="preserve">Closed</w:t>
            </w:r>
          </w:p>
        </w:tc>
        <w:tc>
          <w:tcPr>
            <w:tcW w:type="dxa" w:w="63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Response has been sent. Ticket is marked closed. Full record preserved on the MUA profile.</w:t>
            </w:r>
          </w:p>
        </w:tc>
      </w:tr>
    </w:tbl>
    <w:p>
      <w:r>
        <w:rPr>
          <w:sz w:val="20"/>
          <w:szCs w:val="20"/>
        </w:rPr>
        <w:t xml:space="preserve"/>
      </w:r>
    </w:p>
    <w:p>
      <w:pPr>
        <w:pStyle w:val="Heading2"/>
        <w:spacing w:after="120" w:before="240"/>
      </w:pPr>
      <w:r>
        <w:rPr>
          <w:rFonts w:ascii="Arial" w:cs="Arial" w:eastAsia="Arial" w:hAnsi="Arial"/>
          <w:b/>
          <w:bCs/>
          <w:color w:val="0D7377"/>
          <w:sz w:val="26"/>
          <w:szCs w:val="26"/>
        </w:rPr>
        <w:t xml:space="preserve">4.2 Step-by-Step Flow</w:t>
      </w:r>
    </w:p>
    <w:p>
      <w:r>
        <w:rPr>
          <w:sz w:val="20"/>
          <w:szCs w:val="20"/>
        </w:rPr>
        <w:t xml:space="preserve"/>
      </w:r>
    </w:p>
    <w:p>
      <w:pPr>
        <w:pStyle w:val="ListParagraph"/>
        <w:numPr>
          <w:ilvl w:val="0"/>
          <w:numId w:val="2"/>
        </w:numPr>
        <w:spacing w:after="60" w:before="60"/>
      </w:pPr>
      <w:r>
        <w:rPr>
          <w:rFonts w:ascii="Arial" w:cs="Arial" w:eastAsia="Arial" w:hAnsi="Arial"/>
          <w:sz w:val="21"/>
          <w:szCs w:val="21"/>
        </w:rPr>
        <w:t xml:space="preserve">Support Agent receives complaint via email (care@olready.in) or phone call.</w:t>
      </w:r>
    </w:p>
    <w:p>
      <w:pPr>
        <w:pStyle w:val="ListParagraph"/>
        <w:numPr>
          <w:ilvl w:val="0"/>
          <w:numId w:val="2"/>
        </w:numPr>
        <w:spacing w:after="60" w:before="60"/>
      </w:pPr>
      <w:r>
        <w:rPr>
          <w:rFonts w:ascii="Arial" w:cs="Arial" w:eastAsia="Arial" w:hAnsi="Arial"/>
          <w:sz w:val="21"/>
          <w:szCs w:val="21"/>
        </w:rPr>
        <w:t xml:space="preserve">Support Agent creates the ticket in the CRM: links to MUA record, selects category, sets urgency, adds initial tags, pastes or summarises the MUA's complaint in the ticket description. Status: Open.</w:t>
      </w:r>
    </w:p>
    <w:p>
      <w:pPr>
        <w:pStyle w:val="ListParagraph"/>
        <w:numPr>
          <w:ilvl w:val="0"/>
          <w:numId w:val="2"/>
        </w:numPr>
        <w:spacing w:after="60" w:before="60"/>
      </w:pPr>
      <w:r>
        <w:rPr>
          <w:rFonts w:ascii="Arial" w:cs="Arial" w:eastAsia="Arial" w:hAnsi="Arial"/>
          <w:sz w:val="21"/>
          <w:szCs w:val="21"/>
        </w:rPr>
        <w:t xml:space="preserve">Admin receives an immediate in-system notification. Admin reviews the ticket.</w:t>
      </w:r>
    </w:p>
    <w:p>
      <w:pPr>
        <w:pStyle w:val="ListParagraph"/>
        <w:numPr>
          <w:ilvl w:val="0"/>
          <w:numId w:val="2"/>
        </w:numPr>
        <w:spacing w:after="60" w:before="60"/>
      </w:pPr>
      <w:r>
        <w:rPr>
          <w:rFonts w:ascii="Arial" w:cs="Arial" w:eastAsia="Arial" w:hAnsi="Arial"/>
          <w:sz w:val="21"/>
          <w:szCs w:val="21"/>
        </w:rPr>
        <w:t xml:space="preserve">Admin directs the investigation by assigning one or more Action Tasks inside the ticket: (a) assign RM to provide their account of events; (b) instruct Support to pull ledger data for the MUA; (c) hold for Sales input (future); or (d) handle directly without further input. Admin also selects a Response Template for the category.</w:t>
      </w:r>
    </w:p>
    <w:p>
      <w:pPr>
        <w:pStyle w:val="ListParagraph"/>
        <w:numPr>
          <w:ilvl w:val="0"/>
          <w:numId w:val="2"/>
        </w:numPr>
        <w:spacing w:after="60" w:before="60"/>
      </w:pPr>
      <w:r>
        <w:rPr>
          <w:rFonts w:ascii="Arial" w:cs="Arial" w:eastAsia="Arial" w:hAnsi="Arial"/>
          <w:sz w:val="21"/>
          <w:szCs w:val="21"/>
        </w:rPr>
        <w:t xml:space="preserve">Status moves to In Investigation. Assigned parties are notified of their action tasks.</w:t>
      </w:r>
    </w:p>
    <w:p>
      <w:pPr>
        <w:pStyle w:val="ListParagraph"/>
        <w:numPr>
          <w:ilvl w:val="0"/>
          <w:numId w:val="2"/>
        </w:numPr>
        <w:spacing w:after="60" w:before="60"/>
      </w:pPr>
      <w:r>
        <w:rPr>
          <w:rFonts w:ascii="Arial" w:cs="Arial" w:eastAsia="Arial" w:hAnsi="Arial"/>
          <w:sz w:val="21"/>
          <w:szCs w:val="21"/>
        </w:rPr>
        <w:t xml:space="preserve">RM adds their internal note, referencing CRM data (leads assigned, push history, booking status). Support pulls ledger data and attaches it as an internal note. Both mark their action tasks complete.</w:t>
      </w:r>
    </w:p>
    <w:p>
      <w:pPr>
        <w:pStyle w:val="ListParagraph"/>
        <w:numPr>
          <w:ilvl w:val="0"/>
          <w:numId w:val="2"/>
        </w:numPr>
        <w:spacing w:after="60" w:before="60"/>
      </w:pPr>
      <w:r>
        <w:rPr>
          <w:rFonts w:ascii="Arial" w:cs="Arial" w:eastAsia="Arial" w:hAnsi="Arial"/>
          <w:sz w:val="21"/>
          <w:szCs w:val="21"/>
        </w:rPr>
        <w:t xml:space="preserve">Admin is notified that all inputs are complete. Status moves to Pending Compilation.</w:t>
      </w:r>
    </w:p>
    <w:p>
      <w:pPr>
        <w:pStyle w:val="ListParagraph"/>
        <w:numPr>
          <w:ilvl w:val="0"/>
          <w:numId w:val="2"/>
        </w:numPr>
        <w:spacing w:after="60" w:before="60"/>
      </w:pPr>
      <w:r>
        <w:rPr>
          <w:rFonts w:ascii="Arial" w:cs="Arial" w:eastAsia="Arial" w:hAnsi="Arial"/>
          <w:sz w:val="21"/>
          <w:szCs w:val="21"/>
        </w:rPr>
        <w:t xml:space="preserve">Support Agent opens the AI Compilation panel. The system automatically loads full ticket context (category, MUA history, lead data, thread, ledger notes, selected template) and generates a draft response. Support reviews, adjusts tone or specifics if needed, and submits to Admin for approval. Status: Pending Approval.</w:t>
      </w:r>
    </w:p>
    <w:p>
      <w:pPr>
        <w:pStyle w:val="ListParagraph"/>
        <w:numPr>
          <w:ilvl w:val="0"/>
          <w:numId w:val="2"/>
        </w:numPr>
        <w:spacing w:after="60" w:before="60"/>
      </w:pPr>
      <w:r>
        <w:rPr>
          <w:rFonts w:ascii="Arial" w:cs="Arial" w:eastAsia="Arial" w:hAnsi="Arial"/>
          <w:sz w:val="21"/>
          <w:szCs w:val="21"/>
        </w:rPr>
        <w:t xml:space="preserve">Admin reviews the full thread and the compiled response. Option A: Approves — status moves to Approved. Option B: Returns with revision notes — status moves to Revision Requested.</w:t>
      </w:r>
    </w:p>
    <w:p>
      <w:pPr>
        <w:pStyle w:val="ListParagraph"/>
        <w:numPr>
          <w:ilvl w:val="0"/>
          <w:numId w:val="2"/>
        </w:numPr>
        <w:spacing w:after="60" w:before="60"/>
      </w:pPr>
      <w:r>
        <w:rPr>
          <w:rFonts w:ascii="Arial" w:cs="Arial" w:eastAsia="Arial" w:hAnsi="Arial"/>
          <w:sz w:val="21"/>
          <w:szCs w:val="21"/>
        </w:rPr>
        <w:t xml:space="preserve">If revision requested: Support receives notes, re-opens the AI panel or edits manually, resubmits. The cycle repeats until Admin approves.</w:t>
      </w:r>
    </w:p>
    <w:p>
      <w:pPr>
        <w:pStyle w:val="ListParagraph"/>
        <w:numPr>
          <w:ilvl w:val="0"/>
          <w:numId w:val="2"/>
        </w:numPr>
        <w:spacing w:after="60" w:before="60"/>
      </w:pPr>
      <w:r>
        <w:rPr>
          <w:rFonts w:ascii="Arial" w:cs="Arial" w:eastAsia="Arial" w:hAnsi="Arial"/>
          <w:sz w:val="21"/>
          <w:szCs w:val="21"/>
        </w:rPr>
        <w:t xml:space="preserve">Support Agent sends the approved response to the MUA via email. Ticket status moves to Closed. The outbound response is automatically appended to the MUA’s Communication Ledger with a reference to the ticket ID.</w:t>
      </w:r>
    </w:p>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B2A4A" w:sz="6"/>
              <w:left w:val="single" w:color="1B2A4A" w:sz="12"/>
              <w:bottom w:val="single" w:color="1B2A4A" w:sz="6"/>
              <w:right w:val="single" w:color="1B2A4A" w:sz="6"/>
            </w:tcBorders>
            <w:shd w:fill="E8EDF4" w:val="clear"/>
            <w:tcMar>
              <w:top w:type="dxa" w:w="120"/>
              <w:left w:type="dxa" w:w="200"/>
              <w:bottom w:type="dxa" w:w="120"/>
              <w:right w:type="dxa" w:w="200"/>
            </w:tcMar>
          </w:tcPr>
          <w:p>
            <w:pPr>
              <w:spacing w:after="60"/>
            </w:pPr>
            <w:r>
              <w:rPr>
                <w:rFonts w:ascii="Arial" w:cs="Arial" w:eastAsia="Arial" w:hAnsi="Arial"/>
                <w:b/>
                <w:bCs/>
                <w:color w:val="1B2A4A"/>
                <w:sz w:val="20"/>
                <w:szCs w:val="20"/>
              </w:rPr>
              <w:t xml:space="preserve">Key Principle</w:t>
            </w:r>
          </w:p>
          <w:p>
            <w:pPr>
              <w:spacing w:after="0"/>
            </w:pPr>
            <w:r>
              <w:rPr>
                <w:rFonts w:ascii="Arial" w:cs="Arial" w:eastAsia="Arial" w:hAnsi="Arial"/>
                <w:sz w:val="20"/>
                <w:szCs w:val="20"/>
              </w:rPr>
              <w:t xml:space="preserve">Nothing moves in the ticket without Admin directing it. Support does not compile, and no response goes out, without Admin involvement at every gate. Admin is the conductor from ticket open to ticket close.</w:t>
            </w:r>
          </w:p>
        </w:tc>
      </w:tr>
    </w:tbl>
    <w:p>
      <w:pPr>
        <w:pBdr>
          <w:bottom w:val="single" w:color="CBD5E1" w:sz="4" w:space="1"/>
        </w:pBdr>
        <w:spacing w:after="120" w:before="120"/>
      </w:pPr>
    </w:p>
    <w:p>
      <w:pPr>
        <w:pStyle w:val="Heading1"/>
        <w:spacing w:after="160" w:before="320"/>
      </w:pPr>
      <w:r>
        <w:rPr>
          <w:rFonts w:ascii="Arial" w:cs="Arial" w:eastAsia="Arial" w:hAnsi="Arial"/>
          <w:b/>
          <w:bCs/>
          <w:color w:val="1B2A4A"/>
          <w:sz w:val="32"/>
          <w:szCs w:val="32"/>
        </w:rPr>
        <w:t xml:space="preserve">5. Urgency, Tags &amp; Flagging</w:t>
      </w:r>
    </w:p>
    <w:p>
      <w:pPr>
        <w:pStyle w:val="Heading2"/>
        <w:spacing w:after="120" w:before="240"/>
      </w:pPr>
      <w:r>
        <w:rPr>
          <w:rFonts w:ascii="Arial" w:cs="Arial" w:eastAsia="Arial" w:hAnsi="Arial"/>
          <w:b/>
          <w:bCs/>
          <w:color w:val="0D7377"/>
          <w:sz w:val="26"/>
          <w:szCs w:val="26"/>
        </w:rPr>
        <w:t xml:space="preserve">5.1 Urgency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left"/>
            </w:pPr>
            <w:r>
              <w:rPr>
                <w:rFonts w:ascii="Arial" w:cs="Arial" w:eastAsia="Arial" w:hAnsi="Arial"/>
                <w:b/>
                <w:bCs/>
                <w:color w:val="000000"/>
                <w:sz w:val="19"/>
                <w:szCs w:val="19"/>
              </w:rPr>
              <w:t xml:space="preserve">High</w:t>
            </w:r>
          </w:p>
        </w:tc>
        <w:tc>
          <w:tcPr>
            <w:tcW w:type="dxa" w:w="63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Response expected within 24 hours. Any legal-risk ticket is automatically upgraded to High regardless of original setting. Legal-risk tickets also notify the Owner.</w:t>
            </w:r>
          </w:p>
        </w:tc>
      </w:tr>
      <w:tr>
        <w:tc>
          <w:tcPr>
            <w:tcW w:type="dxa" w:w="27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left"/>
            </w:pPr>
            <w:r>
              <w:rPr>
                <w:rFonts w:ascii="Arial" w:cs="Arial" w:eastAsia="Arial" w:hAnsi="Arial"/>
                <w:b/>
                <w:bCs/>
                <w:color w:val="000000"/>
                <w:sz w:val="19"/>
                <w:szCs w:val="19"/>
              </w:rPr>
              <w:t xml:space="preserve">Medium</w:t>
            </w:r>
          </w:p>
        </w:tc>
        <w:tc>
          <w:tcPr>
            <w:tcW w:type="dxa" w:w="63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Response expected within 48 hours. Default for most operational complaints.</w:t>
            </w:r>
          </w:p>
        </w:tc>
      </w:tr>
      <w:tr>
        <w:tc>
          <w:tcPr>
            <w:tcW w:type="dxa" w:w="27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left"/>
            </w:pPr>
            <w:r>
              <w:rPr>
                <w:rFonts w:ascii="Arial" w:cs="Arial" w:eastAsia="Arial" w:hAnsi="Arial"/>
                <w:b/>
                <w:bCs/>
                <w:color w:val="000000"/>
                <w:sz w:val="19"/>
                <w:szCs w:val="19"/>
              </w:rPr>
              <w:t xml:space="preserve">Low</w:t>
            </w:r>
          </w:p>
        </w:tc>
        <w:tc>
          <w:tcPr>
            <w:tcW w:type="dxa" w:w="63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Response expected within 72 hours. Account queries, plan information requests.</w:t>
            </w:r>
          </w:p>
        </w:tc>
      </w:tr>
    </w:tbl>
    <w:p>
      <w:r>
        <w:rPr>
          <w:sz w:val="20"/>
          <w:szCs w:val="20"/>
        </w:rPr>
        <w:t xml:space="preserve"/>
      </w:r>
    </w:p>
    <w:p>
      <w:pPr>
        <w:pStyle w:val="Heading2"/>
        <w:spacing w:after="120" w:before="240"/>
      </w:pPr>
      <w:r>
        <w:rPr>
          <w:rFonts w:ascii="Arial" w:cs="Arial" w:eastAsia="Arial" w:hAnsi="Arial"/>
          <w:b/>
          <w:bCs/>
          <w:color w:val="0D7377"/>
          <w:sz w:val="26"/>
          <w:szCs w:val="26"/>
        </w:rPr>
        <w:t xml:space="preserve">5.2 Tags</w:t>
      </w:r>
    </w:p>
    <w:p>
      <w:pPr>
        <w:spacing w:after="80" w:before="80"/>
        <w:jc w:val="left"/>
      </w:pPr>
      <w:r>
        <w:rPr>
          <w:rFonts w:ascii="Arial" w:cs="Arial" w:eastAsia="Arial" w:hAnsi="Arial"/>
          <w:b w:val="false"/>
          <w:bCs w:val="false"/>
          <w:color w:val="000000"/>
          <w:sz w:val="22"/>
          <w:szCs w:val="22"/>
        </w:rPr>
        <w:t xml:space="preserve">Tags are flexible labels that sit alongside the category. A ticket can carry multiple tags. Tags enable Admin to filter and spot patterns across tickets over time.</w:t>
      </w:r>
    </w:p>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Tag</w:t>
            </w:r>
          </w:p>
        </w:tc>
        <w:tc>
          <w:tcPr>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When to Apply</w:t>
            </w:r>
          </w:p>
        </w:tc>
      </w:tr>
      <w:tr>
        <w:tc>
          <w:tcPr>
            <w:tcW w:type="dxa" w:w="22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left"/>
            </w:pPr>
            <w:r>
              <w:rPr>
                <w:rFonts w:ascii="Arial" w:cs="Arial" w:eastAsia="Arial" w:hAnsi="Arial"/>
                <w:b/>
                <w:bCs/>
                <w:color w:val="000000"/>
                <w:sz w:val="19"/>
                <w:szCs w:val="19"/>
              </w:rPr>
              <w:t xml:space="preserve">repeat-complaint</w:t>
            </w:r>
          </w:p>
        </w:tc>
        <w:tc>
          <w:tcPr>
            <w:tcW w:type="dxa" w:w="68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MUA has raised a similar ticket before. Visible in MUA history.</w:t>
            </w:r>
          </w:p>
        </w:tc>
      </w:tr>
      <w:tr>
        <w:tc>
          <w:tcPr>
            <w:tcW w:type="dxa" w:w="22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left"/>
            </w:pPr>
            <w:r>
              <w:rPr>
                <w:rFonts w:ascii="Arial" w:cs="Arial" w:eastAsia="Arial" w:hAnsi="Arial"/>
                <w:b/>
                <w:bCs/>
                <w:color w:val="000000"/>
                <w:sz w:val="19"/>
                <w:szCs w:val="19"/>
              </w:rPr>
              <w:t xml:space="preserve">sales-fault</w:t>
            </w:r>
          </w:p>
        </w:tc>
        <w:tc>
          <w:tcPr>
            <w:tcW w:type="dxa" w:w="68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Complaint relates to a commitment or action by the sales team.</w:t>
            </w:r>
          </w:p>
        </w:tc>
      </w:tr>
      <w:tr>
        <w:tc>
          <w:tcPr>
            <w:tcW w:type="dxa" w:w="22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left"/>
            </w:pPr>
            <w:r>
              <w:rPr>
                <w:rFonts w:ascii="Arial" w:cs="Arial" w:eastAsia="Arial" w:hAnsi="Arial"/>
                <w:b/>
                <w:bCs/>
                <w:color w:val="000000"/>
                <w:sz w:val="19"/>
                <w:szCs w:val="19"/>
              </w:rPr>
              <w:t xml:space="preserve">rm-fault</w:t>
            </w:r>
          </w:p>
        </w:tc>
        <w:tc>
          <w:tcPr>
            <w:tcW w:type="dxa" w:w="68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Complaint is about the RM’s conduct or responsiveness.</w:t>
            </w:r>
          </w:p>
        </w:tc>
      </w:tr>
      <w:tr>
        <w:tc>
          <w:tcPr>
            <w:tcW w:type="dxa" w:w="22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left"/>
            </w:pPr>
            <w:r>
              <w:rPr>
                <w:rFonts w:ascii="Arial" w:cs="Arial" w:eastAsia="Arial" w:hAnsi="Arial"/>
                <w:b/>
                <w:bCs/>
                <w:color w:val="000000"/>
                <w:sz w:val="19"/>
                <w:szCs w:val="19"/>
              </w:rPr>
              <w:t xml:space="preserve">legal-risk</w:t>
            </w:r>
          </w:p>
        </w:tc>
        <w:tc>
          <w:tcPr>
            <w:tcW w:type="dxa" w:w="68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Complaint contains language suggesting contract breach, fraud, or consumer protection claim. Triggers Owner notification and High urgency.</w:t>
            </w:r>
          </w:p>
        </w:tc>
      </w:tr>
      <w:tr>
        <w:tc>
          <w:tcPr>
            <w:tcW w:type="dxa" w:w="22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left"/>
            </w:pPr>
            <w:r>
              <w:rPr>
                <w:rFonts w:ascii="Arial" w:cs="Arial" w:eastAsia="Arial" w:hAnsi="Arial"/>
                <w:b/>
                <w:bCs/>
                <w:color w:val="000000"/>
                <w:sz w:val="19"/>
                <w:szCs w:val="19"/>
              </w:rPr>
              <w:t xml:space="preserve">ledger-required</w:t>
            </w:r>
          </w:p>
        </w:tc>
        <w:tc>
          <w:tcPr>
            <w:tcW w:type="dxa" w:w="68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Resolution depends on data from the lead usage ledger.</w:t>
            </w:r>
          </w:p>
        </w:tc>
      </w:tr>
      <w:tr>
        <w:tc>
          <w:tcPr>
            <w:tcW w:type="dxa" w:w="22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left"/>
            </w:pPr>
            <w:r>
              <w:rPr>
                <w:rFonts w:ascii="Arial" w:cs="Arial" w:eastAsia="Arial" w:hAnsi="Arial"/>
                <w:b/>
                <w:bCs/>
                <w:color w:val="000000"/>
                <w:sz w:val="19"/>
                <w:szCs w:val="19"/>
              </w:rPr>
              <w:t xml:space="preserve">plan-related</w:t>
            </w:r>
          </w:p>
        </w:tc>
        <w:tc>
          <w:tcPr>
            <w:tcW w:type="dxa" w:w="68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Relates to subscription plan terms, extension, or renewal.</w:t>
            </w:r>
          </w:p>
        </w:tc>
      </w:tr>
      <w:tr>
        <w:tc>
          <w:tcPr>
            <w:tcW w:type="dxa" w:w="22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left"/>
            </w:pPr>
            <w:r>
              <w:rPr>
                <w:rFonts w:ascii="Arial" w:cs="Arial" w:eastAsia="Arial" w:hAnsi="Arial"/>
                <w:b/>
                <w:bCs/>
                <w:color w:val="000000"/>
                <w:sz w:val="19"/>
                <w:szCs w:val="19"/>
              </w:rPr>
              <w:t xml:space="preserve">pending-sales</w:t>
            </w:r>
          </w:p>
        </w:tc>
        <w:tc>
          <w:tcPr>
            <w:tcW w:type="dxa" w:w="68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Awaiting Sales team input. Holds the ticket until Sales is integrated.</w:t>
            </w:r>
          </w:p>
        </w:tc>
      </w:tr>
      <w:tr>
        <w:tc>
          <w:tcPr>
            <w:tcW w:type="dxa" w:w="22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left"/>
            </w:pPr>
            <w:r>
              <w:rPr>
                <w:rFonts w:ascii="Arial" w:cs="Arial" w:eastAsia="Arial" w:hAnsi="Arial"/>
                <w:b/>
                <w:bCs/>
                <w:color w:val="000000"/>
                <w:sz w:val="19"/>
                <w:szCs w:val="19"/>
              </w:rPr>
              <w:t xml:space="preserve">no-rm-assigned</w:t>
            </w:r>
          </w:p>
        </w:tc>
        <w:tc>
          <w:tcPr>
            <w:tcW w:type="dxa" w:w="68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MUA does not have an assigned RM. Support Agent is the sole internal handler.</w:t>
            </w:r>
          </w:p>
        </w:tc>
      </w:tr>
    </w:tbl>
    <w:p>
      <w:r>
        <w:rPr>
          <w:sz w:val="20"/>
          <w:szCs w:val="20"/>
        </w:rPr>
        <w:t xml:space="preserve"/>
      </w:r>
    </w:p>
    <w:p>
      <w:pPr>
        <w:pStyle w:val="Heading2"/>
        <w:spacing w:after="120" w:before="240"/>
      </w:pPr>
      <w:r>
        <w:rPr>
          <w:rFonts w:ascii="Arial" w:cs="Arial" w:eastAsia="Arial" w:hAnsi="Arial"/>
          <w:b/>
          <w:bCs/>
          <w:color w:val="0D7377"/>
          <w:sz w:val="26"/>
          <w:szCs w:val="26"/>
        </w:rPr>
        <w:t xml:space="preserve">5.3 Flags</w:t>
      </w:r>
    </w:p>
    <w:p>
      <w:pPr>
        <w:spacing w:after="80" w:before="80"/>
        <w:jc w:val="left"/>
      </w:pPr>
      <w:r>
        <w:rPr>
          <w:rFonts w:ascii="Arial" w:cs="Arial" w:eastAsia="Arial" w:hAnsi="Arial"/>
          <w:b w:val="false"/>
          <w:bCs w:val="false"/>
          <w:color w:val="000000"/>
          <w:sz w:val="22"/>
          <w:szCs w:val="22"/>
        </w:rPr>
        <w:t xml:space="preserve">Flags are manual alerts distinct from urgency. Any team member with access to the ticket can raise a flag. Flagged tickets surface at the top of the Admin queue regardless of urgency.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left"/>
            </w:pPr>
            <w:r>
              <w:rPr>
                <w:rFonts w:ascii="Arial" w:cs="Arial" w:eastAsia="Arial" w:hAnsi="Arial"/>
                <w:b/>
                <w:bCs/>
                <w:color w:val="000000"/>
                <w:sz w:val="19"/>
                <w:szCs w:val="19"/>
              </w:rPr>
              <w:t xml:space="preserve">Stalled</w:t>
            </w:r>
          </w:p>
        </w:tc>
        <w:tc>
          <w:tcPr>
            <w:tcW w:type="dxa" w:w="63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An assigned Action Task has not been completed within the expected timeframe. Alerts Admin to follow up.</w:t>
            </w:r>
          </w:p>
        </w:tc>
      </w:tr>
      <w:tr>
        <w:tc>
          <w:tcPr>
            <w:tcW w:type="dxa" w:w="27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left"/>
            </w:pPr>
            <w:r>
              <w:rPr>
                <w:rFonts w:ascii="Arial" w:cs="Arial" w:eastAsia="Arial" w:hAnsi="Arial"/>
                <w:b/>
                <w:bCs/>
                <w:color w:val="000000"/>
                <w:sz w:val="19"/>
                <w:szCs w:val="19"/>
              </w:rPr>
              <w:t xml:space="preserve">Escalated</w:t>
            </w:r>
          </w:p>
        </w:tc>
        <w:tc>
          <w:tcPr>
            <w:tcW w:type="dxa" w:w="63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Admin has escalated beyond the standard process. Owner is notified.</w:t>
            </w:r>
          </w:p>
        </w:tc>
      </w:tr>
      <w:tr>
        <w:tc>
          <w:tcPr>
            <w:tcW w:type="dxa" w:w="27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left"/>
            </w:pPr>
            <w:r>
              <w:rPr>
                <w:rFonts w:ascii="Arial" w:cs="Arial" w:eastAsia="Arial" w:hAnsi="Arial"/>
                <w:b/>
                <w:bCs/>
                <w:color w:val="000000"/>
                <w:sz w:val="19"/>
                <w:szCs w:val="19"/>
              </w:rPr>
              <w:t xml:space="preserve">Needs Attention</w:t>
            </w:r>
          </w:p>
        </w:tc>
        <w:tc>
          <w:tcPr>
            <w:tcW w:type="dxa" w:w="63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General flag for Admin to review. Used by Support when something is unclear or unexpected.</w:t>
            </w:r>
          </w:p>
        </w:tc>
      </w:tr>
    </w:tbl>
    <w:p>
      <w:pPr>
        <w:pBdr>
          <w:bottom w:val="single" w:color="CBD5E1" w:sz="4" w:space="1"/>
        </w:pBdr>
        <w:spacing w:after="120" w:before="120"/>
      </w:pPr>
    </w:p>
    <w:p>
      <w:pPr>
        <w:pStyle w:val="Heading1"/>
        <w:spacing w:after="160" w:before="320"/>
      </w:pPr>
      <w:r>
        <w:rPr>
          <w:rFonts w:ascii="Arial" w:cs="Arial" w:eastAsia="Arial" w:hAnsi="Arial"/>
          <w:b/>
          <w:bCs/>
          <w:color w:val="1B2A4A"/>
          <w:sz w:val="32"/>
          <w:szCs w:val="32"/>
        </w:rPr>
        <w:t xml:space="preserve">6. Response Templates</w:t>
      </w:r>
    </w:p>
    <w:p>
      <w:pPr>
        <w:spacing w:after="80" w:before="80"/>
        <w:jc w:val="left"/>
      </w:pPr>
      <w:r>
        <w:rPr>
          <w:rFonts w:ascii="Arial" w:cs="Arial" w:eastAsia="Arial" w:hAnsi="Arial"/>
          <w:b w:val="false"/>
          <w:bCs w:val="false"/>
          <w:color w:val="000000"/>
          <w:sz w:val="22"/>
          <w:szCs w:val="22"/>
        </w:rPr>
        <w:t xml:space="preserve">Templates are pre-written response scaffolds maintained by Admin, one per category. They carry the professional tone, standard language, and necessary disclaimers for that type of complaint. Support does not write from scratch — they compile using the template as the base.</w:t>
      </w:r>
    </w:p>
    <w:p>
      <w:r>
        <w:rPr>
          <w:sz w:val="20"/>
          <w:szCs w:val="20"/>
        </w:rPr>
        <w:t xml:space="preserve"/>
      </w:r>
    </w:p>
    <w:p>
      <w:pPr>
        <w:spacing w:after="80" w:before="80"/>
        <w:jc w:val="left"/>
      </w:pPr>
      <w:r>
        <w:rPr>
          <w:rFonts w:ascii="Arial" w:cs="Arial" w:eastAsia="Arial" w:hAnsi="Arial"/>
          <w:b w:val="false"/>
          <w:bCs w:val="false"/>
          <w:color w:val="000000"/>
          <w:sz w:val="22"/>
          <w:szCs w:val="22"/>
        </w:rPr>
        <w:t xml:space="preserve">Each template contains:</w:t>
      </w:r>
    </w:p>
    <w:p>
      <w:pPr>
        <w:pStyle w:val="ListParagraph"/>
        <w:numPr>
          <w:ilvl w:val="0"/>
          <w:numId w:val="3"/>
        </w:numPr>
        <w:spacing w:after="40" w:before="40"/>
      </w:pPr>
      <w:r>
        <w:rPr>
          <w:rFonts w:ascii="Arial" w:cs="Arial" w:eastAsia="Arial" w:hAnsi="Arial"/>
          <w:sz w:val="21"/>
          <w:szCs w:val="21"/>
        </w:rPr>
        <w:t xml:space="preserve">Opening acknowledgement (personalised with MUA name and ticket reference)</w:t>
      </w:r>
    </w:p>
    <w:p>
      <w:pPr>
        <w:pStyle w:val="ListParagraph"/>
        <w:numPr>
          <w:ilvl w:val="0"/>
          <w:numId w:val="3"/>
        </w:numPr>
        <w:spacing w:after="40" w:before="40"/>
      </w:pPr>
      <w:r>
        <w:rPr>
          <w:rFonts w:ascii="Arial" w:cs="Arial" w:eastAsia="Arial" w:hAnsi="Arial"/>
          <w:sz w:val="21"/>
          <w:szCs w:val="21"/>
        </w:rPr>
        <w:t xml:space="preserve">Category-specific body language (what Olready confirms, what is being investigated, what actions are being taken)</w:t>
      </w:r>
    </w:p>
    <w:p>
      <w:pPr>
        <w:pStyle w:val="ListParagraph"/>
        <w:numPr>
          <w:ilvl w:val="0"/>
          <w:numId w:val="3"/>
        </w:numPr>
        <w:spacing w:after="40" w:before="40"/>
      </w:pPr>
      <w:r>
        <w:rPr>
          <w:rFonts w:ascii="Arial" w:cs="Arial" w:eastAsia="Arial" w:hAnsi="Arial"/>
          <w:sz w:val="21"/>
          <w:szCs w:val="21"/>
        </w:rPr>
        <w:t xml:space="preserve">Resolution or next steps section (with placeholders filled in during compilation)</w:t>
      </w:r>
    </w:p>
    <w:p>
      <w:pPr>
        <w:pStyle w:val="ListParagraph"/>
        <w:numPr>
          <w:ilvl w:val="0"/>
          <w:numId w:val="3"/>
        </w:numPr>
        <w:spacing w:after="40" w:before="40"/>
      </w:pPr>
      <w:r>
        <w:rPr>
          <w:rFonts w:ascii="Arial" w:cs="Arial" w:eastAsia="Arial" w:hAnsi="Arial"/>
          <w:sz w:val="21"/>
          <w:szCs w:val="21"/>
        </w:rPr>
        <w:t xml:space="preserve">Professional closing with Olready contact details</w:t>
      </w:r>
    </w:p>
    <w:p>
      <w:pPr>
        <w:pStyle w:val="ListParagraph"/>
        <w:numPr>
          <w:ilvl w:val="0"/>
          <w:numId w:val="3"/>
        </w:numPr>
        <w:spacing w:after="40" w:before="40"/>
      </w:pPr>
      <w:r>
        <w:rPr>
          <w:rFonts w:ascii="Arial" w:cs="Arial" w:eastAsia="Arial" w:hAnsi="Arial"/>
          <w:sz w:val="21"/>
          <w:szCs w:val="21"/>
        </w:rPr>
        <w:t xml:space="preserve">Where relevant: a legally-considered disclaimer appropriate to the complaint type</w:t>
      </w:r>
    </w:p>
    <w:p>
      <w:r>
        <w:rPr>
          <w:sz w:val="20"/>
          <w:szCs w:val="20"/>
        </w:rPr>
        <w:t xml:space="preserve"/>
      </w:r>
    </w:p>
    <w:p>
      <w:pPr>
        <w:spacing w:after="80" w:before="80"/>
        <w:jc w:val="left"/>
      </w:pPr>
      <w:r>
        <w:rPr>
          <w:rFonts w:ascii="Arial" w:cs="Arial" w:eastAsia="Arial" w:hAnsi="Arial"/>
          <w:b w:val="false"/>
          <w:bCs w:val="false"/>
          <w:color w:val="000000"/>
          <w:sz w:val="22"/>
          <w:szCs w:val="22"/>
        </w:rPr>
        <w:t xml:space="preserve">Templates are versioned and editable by Admin only. Support cannot modify a template — they can only use the template as a starting point and add specific context during the compilation step.</w:t>
      </w:r>
    </w:p>
    <w:p>
      <w:pPr>
        <w:pBdr>
          <w:bottom w:val="single" w:color="CBD5E1" w:sz="4" w:space="1"/>
        </w:pBdr>
        <w:spacing w:after="120" w:before="120"/>
      </w:pPr>
    </w:p>
    <w:p>
      <w:pPr>
        <w:pStyle w:val="Heading1"/>
        <w:spacing w:after="160" w:before="320"/>
      </w:pPr>
      <w:r>
        <w:rPr>
          <w:rFonts w:ascii="Arial" w:cs="Arial" w:eastAsia="Arial" w:hAnsi="Arial"/>
          <w:b/>
          <w:bCs/>
          <w:color w:val="1B2A4A"/>
          <w:sz w:val="32"/>
          <w:szCs w:val="32"/>
        </w:rPr>
        <w:t xml:space="preserve">7. AI Assistant</w:t>
      </w:r>
    </w:p>
    <w:p>
      <w:pPr>
        <w:spacing w:after="80" w:before="80"/>
        <w:jc w:val="left"/>
      </w:pPr>
      <w:r>
        <w:rPr>
          <w:rFonts w:ascii="Arial" w:cs="Arial" w:eastAsia="Arial" w:hAnsi="Arial"/>
          <w:b w:val="false"/>
          <w:bCs w:val="false"/>
          <w:color w:val="000000"/>
          <w:sz w:val="22"/>
          <w:szCs w:val="22"/>
        </w:rPr>
        <w:t xml:space="preserve">An AI assistant powered by the Claude API is embedded in the ticket view. It is available to both Support (for compilation) and Admin (for review and guidance). The AI does not require any manual input — it automatically reads the full ticket context every time it is opened.</w:t>
      </w:r>
    </w:p>
    <w:p>
      <w:r>
        <w:rPr>
          <w:sz w:val="20"/>
          <w:szCs w:val="20"/>
        </w:rPr>
        <w:t xml:space="preserve"/>
      </w:r>
    </w:p>
    <w:p>
      <w:pPr>
        <w:pStyle w:val="Heading2"/>
        <w:spacing w:after="120" w:before="240"/>
      </w:pPr>
      <w:r>
        <w:rPr>
          <w:rFonts w:ascii="Arial" w:cs="Arial" w:eastAsia="Arial" w:hAnsi="Arial"/>
          <w:b/>
          <w:bCs/>
          <w:color w:val="0D7377"/>
          <w:sz w:val="26"/>
          <w:szCs w:val="26"/>
        </w:rPr>
        <w:t xml:space="preserve">7.1 What the AI Reads Automatically</w:t>
      </w:r>
    </w:p>
    <w:p>
      <w:pPr>
        <w:spacing w:after="80" w:before="80"/>
        <w:jc w:val="left"/>
      </w:pPr>
      <w:r>
        <w:rPr>
          <w:rFonts w:ascii="Arial" w:cs="Arial" w:eastAsia="Arial" w:hAnsi="Arial"/>
          <w:b w:val="false"/>
          <w:bCs w:val="false"/>
          <w:color w:val="000000"/>
          <w:sz w:val="22"/>
          <w:szCs w:val="22"/>
        </w:rPr>
        <w:t xml:space="preserve">Every time the AI panel is opened on a ticket, it pulls the following context from the CRM database without requiring anyone to paste or summarise:</w:t>
      </w:r>
    </w:p>
    <w:p>
      <w:pPr>
        <w:pStyle w:val="ListParagraph"/>
        <w:numPr>
          <w:ilvl w:val="0"/>
          <w:numId w:val="3"/>
        </w:numPr>
        <w:spacing w:after="40" w:before="40"/>
      </w:pPr>
      <w:r>
        <w:rPr>
          <w:rFonts w:ascii="Arial" w:cs="Arial" w:eastAsia="Arial" w:hAnsi="Arial"/>
          <w:sz w:val="21"/>
          <w:szCs w:val="21"/>
        </w:rPr>
        <w:t xml:space="preserve">Full ticket record: category, urgency, tags, status, timestamps</w:t>
      </w:r>
    </w:p>
    <w:p>
      <w:pPr>
        <w:pStyle w:val="ListParagraph"/>
        <w:numPr>
          <w:ilvl w:val="0"/>
          <w:numId w:val="3"/>
        </w:numPr>
        <w:spacing w:after="40" w:before="40"/>
      </w:pPr>
      <w:r>
        <w:rPr>
          <w:rFonts w:ascii="Arial" w:cs="Arial" w:eastAsia="Arial" w:hAnsi="Arial"/>
          <w:sz w:val="21"/>
          <w:szCs w:val="21"/>
        </w:rPr>
        <w:t xml:space="preserve">Complete internal thread: all comments in chronological order, flagged by author and visibility</w:t>
      </w:r>
    </w:p>
    <w:p>
      <w:pPr>
        <w:pStyle w:val="ListParagraph"/>
        <w:numPr>
          <w:ilvl w:val="0"/>
          <w:numId w:val="3"/>
        </w:numPr>
        <w:spacing w:after="40" w:before="40"/>
      </w:pPr>
      <w:r>
        <w:rPr>
          <w:rFonts w:ascii="Arial" w:cs="Arial" w:eastAsia="Arial" w:hAnsi="Arial"/>
          <w:sz w:val="21"/>
          <w:szCs w:val="21"/>
        </w:rPr>
        <w:t xml:space="preserve">RM’s internal note (if submitted)</w:t>
      </w:r>
    </w:p>
    <w:p>
      <w:pPr>
        <w:pStyle w:val="ListParagraph"/>
        <w:numPr>
          <w:ilvl w:val="0"/>
          <w:numId w:val="3"/>
        </w:numPr>
        <w:spacing w:after="40" w:before="40"/>
      </w:pPr>
      <w:r>
        <w:rPr>
          <w:rFonts w:ascii="Arial" w:cs="Arial" w:eastAsia="Arial" w:hAnsi="Arial"/>
          <w:sz w:val="21"/>
          <w:szCs w:val="21"/>
        </w:rPr>
        <w:t xml:space="preserve">Support’s ledger notes (if attached)</w:t>
      </w:r>
    </w:p>
    <w:p>
      <w:pPr>
        <w:pStyle w:val="ListParagraph"/>
        <w:numPr>
          <w:ilvl w:val="0"/>
          <w:numId w:val="3"/>
        </w:numPr>
        <w:spacing w:after="40" w:before="40"/>
      </w:pPr>
      <w:r>
        <w:rPr>
          <w:rFonts w:ascii="Arial" w:cs="Arial" w:eastAsia="Arial" w:hAnsi="Arial"/>
          <w:sz w:val="21"/>
          <w:szCs w:val="21"/>
        </w:rPr>
        <w:t xml:space="preserve">Admin’s directions and the selected response template</w:t>
      </w:r>
    </w:p>
    <w:p>
      <w:pPr>
        <w:pStyle w:val="ListParagraph"/>
        <w:numPr>
          <w:ilvl w:val="0"/>
          <w:numId w:val="3"/>
        </w:numPr>
        <w:spacing w:after="40" w:before="40"/>
      </w:pPr>
      <w:r>
        <w:rPr>
          <w:rFonts w:ascii="Arial" w:cs="Arial" w:eastAsia="Arial" w:hAnsi="Arial"/>
          <w:sz w:val="21"/>
          <w:szCs w:val="21"/>
        </w:rPr>
        <w:t xml:space="preserve">The MUA’s profile: plan tier, tenure on platform, assigned RM (if any)</w:t>
      </w:r>
    </w:p>
    <w:p>
      <w:pPr>
        <w:pStyle w:val="ListParagraph"/>
        <w:numPr>
          <w:ilvl w:val="0"/>
          <w:numId w:val="3"/>
        </w:numPr>
        <w:spacing w:after="40" w:before="40"/>
      </w:pPr>
      <w:r>
        <w:rPr>
          <w:rFonts w:ascii="Arial" w:cs="Arial" w:eastAsia="Arial" w:hAnsi="Arial"/>
          <w:sz w:val="21"/>
          <w:szCs w:val="21"/>
        </w:rPr>
        <w:t xml:space="preserve">The MUA’s lead &amp; booking activity from the CRM: leads received, conversion, active bookings</w:t>
      </w:r>
    </w:p>
    <w:p>
      <w:pPr>
        <w:pStyle w:val="ListParagraph"/>
        <w:numPr>
          <w:ilvl w:val="0"/>
          <w:numId w:val="3"/>
        </w:numPr>
        <w:spacing w:after="40" w:before="40"/>
      </w:pPr>
      <w:r>
        <w:rPr>
          <w:rFonts w:ascii="Arial" w:cs="Arial" w:eastAsia="Arial" w:hAnsi="Arial"/>
          <w:sz w:val="21"/>
          <w:szCs w:val="21"/>
        </w:rPr>
        <w:t xml:space="preserve">The MUA’s past ticket history: category, resolution, dates of prior complaints</w:t>
      </w:r>
    </w:p>
    <w:p>
      <w:pPr>
        <w:pStyle w:val="ListParagraph"/>
        <w:numPr>
          <w:ilvl w:val="0"/>
          <w:numId w:val="3"/>
        </w:numPr>
        <w:spacing w:after="40" w:before="40"/>
      </w:pPr>
      <w:r>
        <w:rPr>
          <w:rFonts w:ascii="Arial" w:cs="Arial" w:eastAsia="Arial" w:hAnsi="Arial"/>
          <w:sz w:val="21"/>
          <w:szCs w:val="21"/>
        </w:rPr>
        <w:t xml:space="preserve">The linked lead record (if ticket is associated with a specific lead)</w:t>
      </w:r>
    </w:p>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7377" w:sz="6"/>
              <w:left w:val="single" w:color="0D7377" w:sz="12"/>
              <w:bottom w:val="single" w:color="0D7377" w:sz="6"/>
              <w:right w:val="single" w:color="0D7377" w:sz="6"/>
            </w:tcBorders>
            <w:shd w:fill="E8EDF4" w:val="clear"/>
            <w:tcMar>
              <w:top w:type="dxa" w:w="120"/>
              <w:left w:type="dxa" w:w="200"/>
              <w:bottom w:type="dxa" w:w="120"/>
              <w:right w:type="dxa" w:w="200"/>
            </w:tcMar>
          </w:tcPr>
          <w:p>
            <w:pPr>
              <w:spacing w:after="60"/>
            </w:pPr>
            <w:r>
              <w:rPr>
                <w:rFonts w:ascii="Arial" w:cs="Arial" w:eastAsia="Arial" w:hAnsi="Arial"/>
                <w:b/>
                <w:bCs/>
                <w:color w:val="0D7377"/>
                <w:sz w:val="20"/>
                <w:szCs w:val="20"/>
              </w:rPr>
              <w:t xml:space="preserve">No Manual Input Required</w:t>
            </w:r>
          </w:p>
          <w:p>
            <w:pPr>
              <w:spacing w:after="0"/>
            </w:pPr>
            <w:r>
              <w:rPr>
                <w:rFonts w:ascii="Arial" w:cs="Arial" w:eastAsia="Arial" w:hAnsi="Arial"/>
                <w:sz w:val="20"/>
                <w:szCs w:val="20"/>
              </w:rPr>
              <w:t xml:space="preserve">The AI has full context before it generates anything. Support and Admin do not paste, summarise, or brief the AI. It reads the ticket and acts.</w:t>
            </w:r>
          </w:p>
        </w:tc>
      </w:tr>
    </w:tbl>
    <w:p>
      <w:r>
        <w:rPr>
          <w:sz w:val="20"/>
          <w:szCs w:val="20"/>
        </w:rPr>
        <w:t xml:space="preserve"/>
      </w:r>
    </w:p>
    <w:p>
      <w:pPr>
        <w:pStyle w:val="Heading2"/>
        <w:spacing w:after="120" w:before="240"/>
      </w:pPr>
      <w:r>
        <w:rPr>
          <w:rFonts w:ascii="Arial" w:cs="Arial" w:eastAsia="Arial" w:hAnsi="Arial"/>
          <w:b/>
          <w:bCs/>
          <w:color w:val="0D7377"/>
          <w:sz w:val="26"/>
          <w:szCs w:val="26"/>
        </w:rPr>
        <w:t xml:space="preserve">7.2 Support Mode — Compilation</w:t>
      </w:r>
    </w:p>
    <w:p>
      <w:pPr>
        <w:spacing w:after="80" w:before="80"/>
        <w:jc w:val="left"/>
      </w:pPr>
      <w:r>
        <w:rPr>
          <w:rFonts w:ascii="Arial" w:cs="Arial" w:eastAsia="Arial" w:hAnsi="Arial"/>
          <w:b w:val="false"/>
          <w:bCs w:val="false"/>
          <w:color w:val="000000"/>
          <w:sz w:val="22"/>
          <w:szCs w:val="22"/>
        </w:rPr>
        <w:t xml:space="preserve">When Support opens the AI panel after all input tasks are complete, the AI generates a complete draft outbound response. The draft:</w:t>
      </w:r>
    </w:p>
    <w:p>
      <w:pPr>
        <w:pStyle w:val="ListParagraph"/>
        <w:numPr>
          <w:ilvl w:val="0"/>
          <w:numId w:val="3"/>
        </w:numPr>
        <w:spacing w:after="40" w:before="40"/>
      </w:pPr>
      <w:r>
        <w:rPr>
          <w:rFonts w:ascii="Arial" w:cs="Arial" w:eastAsia="Arial" w:hAnsi="Arial"/>
          <w:sz w:val="21"/>
          <w:szCs w:val="21"/>
        </w:rPr>
        <w:t xml:space="preserve">Uses the Admin-selected template as the structural base</w:t>
      </w:r>
    </w:p>
    <w:p>
      <w:pPr>
        <w:pStyle w:val="ListParagraph"/>
        <w:numPr>
          <w:ilvl w:val="0"/>
          <w:numId w:val="3"/>
        </w:numPr>
        <w:spacing w:after="40" w:before="40"/>
      </w:pPr>
      <w:r>
        <w:rPr>
          <w:rFonts w:ascii="Arial" w:cs="Arial" w:eastAsia="Arial" w:hAnsi="Arial"/>
          <w:sz w:val="21"/>
          <w:szCs w:val="21"/>
        </w:rPr>
        <w:t xml:space="preserve">Fills in all placeholders with actual ticket data (MUA name, lead ID, dates, specific complaint details)</w:t>
      </w:r>
    </w:p>
    <w:p>
      <w:pPr>
        <w:pStyle w:val="ListParagraph"/>
        <w:numPr>
          <w:ilvl w:val="0"/>
          <w:numId w:val="3"/>
        </w:numPr>
        <w:spacing w:after="40" w:before="40"/>
      </w:pPr>
      <w:r>
        <w:rPr>
          <w:rFonts w:ascii="Arial" w:cs="Arial" w:eastAsia="Arial" w:hAnsi="Arial"/>
          <w:sz w:val="21"/>
          <w:szCs w:val="21"/>
        </w:rPr>
        <w:t xml:space="preserve">Incorporates the RM’s account and the ledger data into the body naturally</w:t>
      </w:r>
    </w:p>
    <w:p>
      <w:pPr>
        <w:pStyle w:val="ListParagraph"/>
        <w:numPr>
          <w:ilvl w:val="0"/>
          <w:numId w:val="3"/>
        </w:numPr>
        <w:spacing w:after="40" w:before="40"/>
      </w:pPr>
      <w:r>
        <w:rPr>
          <w:rFonts w:ascii="Arial" w:cs="Arial" w:eastAsia="Arial" w:hAnsi="Arial"/>
          <w:sz w:val="21"/>
          <w:szCs w:val="21"/>
        </w:rPr>
        <w:t xml:space="preserve">Maintains a professional, empathetic tone appropriate for a grievance response</w:t>
      </w:r>
    </w:p>
    <w:p>
      <w:pPr>
        <w:pStyle w:val="ListParagraph"/>
        <w:numPr>
          <w:ilvl w:val="0"/>
          <w:numId w:val="3"/>
        </w:numPr>
        <w:spacing w:after="40" w:before="40"/>
      </w:pPr>
      <w:r>
        <w:rPr>
          <w:rFonts w:ascii="Arial" w:cs="Arial" w:eastAsia="Arial" w:hAnsi="Arial"/>
          <w:sz w:val="21"/>
          <w:szCs w:val="21"/>
        </w:rPr>
        <w:t xml:space="preserve">Flags any gap in information that would make the response incomplete</w:t>
      </w:r>
    </w:p>
    <w:p>
      <w:pPr>
        <w:pStyle w:val="ListParagraph"/>
        <w:numPr>
          <w:ilvl w:val="0"/>
          <w:numId w:val="3"/>
        </w:numPr>
        <w:spacing w:after="40" w:before="40"/>
      </w:pPr>
      <w:r>
        <w:rPr>
          <w:rFonts w:ascii="Arial" w:cs="Arial" w:eastAsia="Arial" w:hAnsi="Arial"/>
          <w:sz w:val="21"/>
          <w:szCs w:val="21"/>
        </w:rPr>
        <w:t xml:space="preserve">Highlights any language in the complaint that suggests legal risk (for Admin’s attention)</w:t>
      </w:r>
    </w:p>
    <w:p>
      <w:r>
        <w:rPr>
          <w:sz w:val="20"/>
          <w:szCs w:val="20"/>
        </w:rPr>
        <w:t xml:space="preserve"/>
      </w:r>
    </w:p>
    <w:p>
      <w:pPr>
        <w:spacing w:after="80" w:before="80"/>
        <w:jc w:val="left"/>
      </w:pPr>
      <w:r>
        <w:rPr>
          <w:rFonts w:ascii="Arial" w:cs="Arial" w:eastAsia="Arial" w:hAnsi="Arial"/>
          <w:b w:val="false"/>
          <w:bCs w:val="false"/>
          <w:color w:val="000000"/>
          <w:sz w:val="22"/>
          <w:szCs w:val="22"/>
        </w:rPr>
        <w:t xml:space="preserve">Support reviews the AI draft, makes minor adjustments if needed, and submits to Admin for approval. The AI does the heavy drafting; Support does the human review.</w:t>
      </w:r>
    </w:p>
    <w:p>
      <w:r>
        <w:rPr>
          <w:sz w:val="20"/>
          <w:szCs w:val="20"/>
        </w:rPr>
        <w:t xml:space="preserve"/>
      </w:r>
    </w:p>
    <w:p>
      <w:pPr>
        <w:pStyle w:val="Heading2"/>
        <w:spacing w:after="120" w:before="240"/>
      </w:pPr>
      <w:r>
        <w:rPr>
          <w:rFonts w:ascii="Arial" w:cs="Arial" w:eastAsia="Arial" w:hAnsi="Arial"/>
          <w:b/>
          <w:bCs/>
          <w:color w:val="0D7377"/>
          <w:sz w:val="26"/>
          <w:szCs w:val="26"/>
        </w:rPr>
        <w:t xml:space="preserve">7.3 Admin Mode — Review &amp; Guidance</w:t>
      </w:r>
    </w:p>
    <w:p>
      <w:pPr>
        <w:spacing w:after="80" w:before="80"/>
        <w:jc w:val="left"/>
      </w:pPr>
      <w:r>
        <w:rPr>
          <w:rFonts w:ascii="Arial" w:cs="Arial" w:eastAsia="Arial" w:hAnsi="Arial"/>
          <w:b w:val="false"/>
          <w:bCs w:val="false"/>
          <w:color w:val="000000"/>
          <w:sz w:val="22"/>
          <w:szCs w:val="22"/>
        </w:rPr>
        <w:t xml:space="preserve">When Admin opens the AI panel during review, the output shifts from drafting to advisory. Admin can:</w:t>
      </w:r>
    </w:p>
    <w:p>
      <w:pPr>
        <w:pStyle w:val="ListParagraph"/>
        <w:numPr>
          <w:ilvl w:val="0"/>
          <w:numId w:val="3"/>
        </w:numPr>
        <w:spacing w:after="40" w:before="40"/>
      </w:pPr>
      <w:r>
        <w:rPr>
          <w:rFonts w:ascii="Arial" w:cs="Arial" w:eastAsia="Arial" w:hAnsi="Arial"/>
          <w:sz w:val="21"/>
          <w:szCs w:val="21"/>
        </w:rPr>
        <w:t xml:space="preserve">Ask the AI to assess the compiled response for tone, completeness, and any language that could create legal liability</w:t>
      </w:r>
    </w:p>
    <w:p>
      <w:pPr>
        <w:pStyle w:val="ListParagraph"/>
        <w:numPr>
          <w:ilvl w:val="0"/>
          <w:numId w:val="3"/>
        </w:numPr>
        <w:spacing w:after="40" w:before="40"/>
      </w:pPr>
      <w:r>
        <w:rPr>
          <w:rFonts w:ascii="Arial" w:cs="Arial" w:eastAsia="Arial" w:hAnsi="Arial"/>
          <w:sz w:val="21"/>
          <w:szCs w:val="21"/>
        </w:rPr>
        <w:t xml:space="preserve">Ask whether the response adequately addresses the MUA’s specific complaint</w:t>
      </w:r>
    </w:p>
    <w:p>
      <w:pPr>
        <w:pStyle w:val="ListParagraph"/>
        <w:numPr>
          <w:ilvl w:val="0"/>
          <w:numId w:val="3"/>
        </w:numPr>
        <w:spacing w:after="40" w:before="40"/>
      </w:pPr>
      <w:r>
        <w:rPr>
          <w:rFonts w:ascii="Arial" w:cs="Arial" w:eastAsia="Arial" w:hAnsi="Arial"/>
          <w:sz w:val="21"/>
          <w:szCs w:val="21"/>
        </w:rPr>
        <w:t xml:space="preserve">Request guidance on how to handle a particular category of complaint (e.g. “how should we respond to a false promise claim where no written commitment exists?”)</w:t>
      </w:r>
    </w:p>
    <w:p>
      <w:pPr>
        <w:pStyle w:val="ListParagraph"/>
        <w:numPr>
          <w:ilvl w:val="0"/>
          <w:numId w:val="3"/>
        </w:numPr>
        <w:spacing w:after="40" w:before="40"/>
      </w:pPr>
      <w:r>
        <w:rPr>
          <w:rFonts w:ascii="Arial" w:cs="Arial" w:eastAsia="Arial" w:hAnsi="Arial"/>
          <w:sz w:val="21"/>
          <w:szCs w:val="21"/>
        </w:rPr>
        <w:t xml:space="preserve">Ask the AI to identify any pattern between this ticket and past tickets from the same MUA or in the same category</w:t>
      </w:r>
    </w:p>
    <w:p>
      <w:pPr>
        <w:pStyle w:val="ListParagraph"/>
        <w:numPr>
          <w:ilvl w:val="0"/>
          <w:numId w:val="3"/>
        </w:numPr>
        <w:spacing w:after="40" w:before="40"/>
      </w:pPr>
      <w:r>
        <w:rPr>
          <w:rFonts w:ascii="Arial" w:cs="Arial" w:eastAsia="Arial" w:hAnsi="Arial"/>
          <w:sz w:val="21"/>
          <w:szCs w:val="21"/>
        </w:rPr>
        <w:t xml:space="preserve">Request the AI to suggest a revised version of a specific paragraph</w:t>
      </w:r>
    </w:p>
    <w:p>
      <w:r>
        <w:rPr>
          <w:sz w:val="20"/>
          <w:szCs w:val="20"/>
        </w:rPr>
        <w:t xml:space="preserve"/>
      </w:r>
    </w:p>
    <w:p>
      <w:pPr>
        <w:spacing w:after="80" w:before="80"/>
        <w:jc w:val="left"/>
      </w:pPr>
      <w:r>
        <w:rPr>
          <w:rFonts w:ascii="Arial" w:cs="Arial" w:eastAsia="Arial" w:hAnsi="Arial"/>
          <w:b w:val="false"/>
          <w:bCs w:val="false"/>
          <w:color w:val="000000"/>
          <w:sz w:val="22"/>
          <w:szCs w:val="22"/>
        </w:rPr>
        <w:t xml:space="preserve">The AI functions as a thinking partner for Admin — not a decision-maker. Admin retains full authority.</w:t>
      </w:r>
    </w:p>
    <w:p>
      <w:r>
        <w:rPr>
          <w:sz w:val="20"/>
          <w:szCs w:val="20"/>
        </w:rPr>
        <w:t xml:space="preserve"/>
      </w:r>
    </w:p>
    <w:p>
      <w:pPr>
        <w:pStyle w:val="Heading2"/>
        <w:spacing w:after="120" w:before="240"/>
      </w:pPr>
      <w:r>
        <w:rPr>
          <w:rFonts w:ascii="Arial" w:cs="Arial" w:eastAsia="Arial" w:hAnsi="Arial"/>
          <w:b/>
          <w:bCs/>
          <w:color w:val="0D7377"/>
          <w:sz w:val="26"/>
          <w:szCs w:val="26"/>
        </w:rPr>
        <w:t xml:space="preserve">7.4 Legal Awareness</w:t>
      </w:r>
    </w:p>
    <w:p>
      <w:pPr>
        <w:spacing w:after="80" w:before="80"/>
        <w:jc w:val="left"/>
      </w:pPr>
      <w:r>
        <w:rPr>
          <w:rFonts w:ascii="Arial" w:cs="Arial" w:eastAsia="Arial" w:hAnsi="Arial"/>
          <w:b w:val="false"/>
          <w:bCs w:val="false"/>
          <w:color w:val="000000"/>
          <w:sz w:val="22"/>
          <w:szCs w:val="22"/>
        </w:rPr>
        <w:t xml:space="preserve">The AI is contextualised with awareness of Indian law applicable to Olready’s business model and the relevant aspects of how the platform operates. This includes: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c>
          <w:tcPr>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Law / Framework</w:t>
            </w:r>
          </w:p>
        </w:tc>
        <w:tc>
          <w:tcPr>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Relevance to Olready Tickets</w:t>
            </w:r>
          </w:p>
        </w:tc>
        <w:tc>
          <w:tcPr>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How AI Applies It</w:t>
            </w:r>
          </w:p>
        </w:tc>
      </w:tr>
      <w:tr>
        <w:tc>
          <w:tcPr>
            <w:tcW w:type="dxa" w:w="26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Consumer Protection Act, 2019</w:t>
            </w:r>
          </w:p>
        </w:tc>
        <w:tc>
          <w:tcPr>
            <w:tcW w:type="dxa" w:w="32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MUAs are consumers of Olready’s services (subscription plans). Complaints about misleading sales practices, deficiency in service, or unfair trade practices fall under this Act.</w:t>
            </w:r>
          </w:p>
        </w:tc>
        <w:tc>
          <w:tcPr>
            <w:tcW w:type="dxa" w:w="32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Flags complaints that may constitute deficiency of service or unfair trade. Advises conservative, non-admission language in responses.</w:t>
            </w:r>
          </w:p>
        </w:tc>
      </w:tr>
      <w:tr>
        <w:tc>
          <w:tcPr>
            <w:tcW w:type="dxa" w:w="26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Indian Contract Act, 1872</w:t>
            </w:r>
          </w:p>
        </w:tc>
        <w:tc>
          <w:tcPr>
            <w:tcW w:type="dxa" w:w="32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MUAs enter into a subscription agreement with Olready. Claims of false promise or breach of verbal commitment engage contract law.</w:t>
            </w:r>
          </w:p>
        </w:tc>
        <w:tc>
          <w:tcPr>
            <w:tcW w:type="dxa" w:w="32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Identifies complaint language suggesting misrepresentation or breach. Recommends Admin consult legal counsel before responding to such tickets.</w:t>
            </w:r>
          </w:p>
        </w:tc>
      </w:tr>
      <w:tr>
        <w:tc>
          <w:tcPr>
            <w:tcW w:type="dxa" w:w="26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Information Technology Act, 2000 &amp; DPDP Act, 2023</w:t>
            </w:r>
          </w:p>
        </w:tc>
        <w:tc>
          <w:tcPr>
            <w:tcW w:type="dxa" w:w="32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Lead data (bride details) and MUA personal data are subject to data protection requirements.</w:t>
            </w:r>
          </w:p>
        </w:tc>
        <w:tc>
          <w:tcPr>
            <w:tcW w:type="dxa" w:w="32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Flags any ticket involving data-related complaints. Reminds Admin not to share personal data of brides in ticket responses.</w:t>
            </w:r>
          </w:p>
        </w:tc>
      </w:tr>
      <w:tr>
        <w:tc>
          <w:tcPr>
            <w:tcW w:type="dxa" w:w="26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Specific Relief Act, 1963</w:t>
            </w:r>
          </w:p>
        </w:tc>
        <w:tc>
          <w:tcPr>
            <w:tcW w:type="dxa" w:w="32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Relevant if a MUA seeks specific performance of a contractual commitment (e.g. guaranteed number of leads).</w:t>
            </w:r>
          </w:p>
        </w:tc>
        <w:tc>
          <w:tcPr>
            <w:tcW w:type="dxa" w:w="32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Surfaces this risk when complaint language includes words like ‘guarantee’, ‘promised’, or ‘committed to’.</w:t>
            </w:r>
          </w:p>
        </w:tc>
      </w:tr>
      <w:tr>
        <w:tc>
          <w:tcPr>
            <w:tcW w:type="dxa" w:w="26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Competition Act, 2002</w:t>
            </w:r>
          </w:p>
        </w:tc>
        <w:tc>
          <w:tcPr>
            <w:tcW w:type="dxa" w:w="32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False advertising or misleading representation about the platform’s capabilities could be flagged.</w:t>
            </w:r>
          </w:p>
        </w:tc>
        <w:tc>
          <w:tcPr>
            <w:tcW w:type="dxa" w:w="32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Alerts when complaint suggests sales made claims about the platform that cannot be substantiated.</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6"/>
              <w:left w:val="single" w:color="F59E0B" w:sz="12"/>
              <w:bottom w:val="single" w:color="F59E0B" w:sz="6"/>
              <w:right w:val="single" w:color="F59E0B" w:sz="6"/>
            </w:tcBorders>
            <w:shd w:fill="FEF3C7" w:val="clear"/>
            <w:tcMar>
              <w:top w:type="dxa" w:w="120"/>
              <w:left w:type="dxa" w:w="200"/>
              <w:bottom w:type="dxa" w:w="120"/>
              <w:right w:type="dxa" w:w="200"/>
            </w:tcMar>
          </w:tcPr>
          <w:p>
            <w:pPr>
              <w:spacing w:after="60"/>
            </w:pPr>
            <w:r>
              <w:rPr>
                <w:rFonts w:ascii="Arial" w:cs="Arial" w:eastAsia="Arial" w:hAnsi="Arial"/>
                <w:b/>
                <w:bCs/>
                <w:color w:val="F59E0B"/>
                <w:sz w:val="20"/>
                <w:szCs w:val="20"/>
              </w:rPr>
              <w:t xml:space="preserve">Important Clarification</w:t>
            </w:r>
          </w:p>
          <w:p>
            <w:pPr>
              <w:spacing w:after="0"/>
            </w:pPr>
            <w:r>
              <w:rPr>
                <w:rFonts w:ascii="Arial" w:cs="Arial" w:eastAsia="Arial" w:hAnsi="Arial"/>
                <w:sz w:val="20"/>
                <w:szCs w:val="20"/>
              </w:rPr>
              <w:t xml:space="preserve">The AI provides guidance to help Admin make informed decisions and draft careful responses. It does not provide legal advice and is not a substitute for qualified legal counsel. For any ticket tagged legal-risk, Admin should consider escalating to legal review before sending a response.</w:t>
            </w:r>
          </w:p>
        </w:tc>
      </w:tr>
    </w:tbl>
    <w:p>
      <w:r>
        <w:rPr>
          <w:sz w:val="20"/>
          <w:szCs w:val="20"/>
        </w:rPr>
        <w:t xml:space="preserve"/>
      </w:r>
    </w:p>
    <w:p>
      <w:pPr>
        <w:pStyle w:val="Heading2"/>
        <w:spacing w:after="120" w:before="240"/>
      </w:pPr>
      <w:r>
        <w:rPr>
          <w:rFonts w:ascii="Arial" w:cs="Arial" w:eastAsia="Arial" w:hAnsi="Arial"/>
          <w:b/>
          <w:bCs/>
          <w:color w:val="0D7377"/>
          <w:sz w:val="26"/>
          <w:szCs w:val="26"/>
        </w:rPr>
        <w:t xml:space="preserve">7.5 AI Interaction Logging</w:t>
      </w:r>
    </w:p>
    <w:p>
      <w:pPr>
        <w:spacing w:after="80" w:before="80"/>
        <w:jc w:val="left"/>
      </w:pPr>
      <w:r>
        <w:rPr>
          <w:rFonts w:ascii="Arial" w:cs="Arial" w:eastAsia="Arial" w:hAnsi="Arial"/>
          <w:b w:val="false"/>
          <w:bCs w:val="false"/>
          <w:color w:val="000000"/>
          <w:sz w:val="22"/>
          <w:szCs w:val="22"/>
        </w:rPr>
        <w:t xml:space="preserve">Every AI interaction within a ticket is automatically saved as an internal comment, timestamped and labelled as AI-Generated. This creates an audit record of what the AI suggested and what the human decided to use or discard. This record is preserved for the lifetime of the ticket and is visible to Admin and Owner.</w:t>
      </w:r>
    </w:p>
    <w:p>
      <w:pPr>
        <w:pBdr>
          <w:bottom w:val="single" w:color="CBD5E1" w:sz="4" w:space="1"/>
        </w:pBdr>
        <w:spacing w:after="120" w:before="120"/>
      </w:pPr>
    </w:p>
    <w:p>
      <w:pPr>
        <w:pStyle w:val="Heading1"/>
        <w:spacing w:after="160" w:before="320"/>
      </w:pPr>
      <w:r>
        <w:rPr>
          <w:rFonts w:ascii="Arial" w:cs="Arial" w:eastAsia="Arial" w:hAnsi="Arial"/>
          <w:b/>
          <w:bCs/>
          <w:color w:val="1B2A4A"/>
          <w:sz w:val="32"/>
          <w:szCs w:val="32"/>
        </w:rPr>
        <w:t xml:space="preserve">8. MUA Record Integration</w:t>
      </w:r>
    </w:p>
    <w:p>
      <w:pPr>
        <w:pStyle w:val="Heading2"/>
        <w:spacing w:after="120" w:before="240"/>
      </w:pPr>
      <w:r>
        <w:rPr>
          <w:rFonts w:ascii="Arial" w:cs="Arial" w:eastAsia="Arial" w:hAnsi="Arial"/>
          <w:b/>
          <w:bCs/>
          <w:color w:val="0D7377"/>
          <w:sz w:val="26"/>
          <w:szCs w:val="26"/>
        </w:rPr>
        <w:t xml:space="preserve">8.1 Tickets Tab on MUA Profile</w:t>
      </w:r>
    </w:p>
    <w:p>
      <w:pPr>
        <w:spacing w:after="80" w:before="80"/>
        <w:jc w:val="left"/>
      </w:pPr>
      <w:r>
        <w:rPr>
          <w:rFonts w:ascii="Arial" w:cs="Arial" w:eastAsia="Arial" w:hAnsi="Arial"/>
          <w:b w:val="false"/>
          <w:bCs w:val="false"/>
          <w:color w:val="000000"/>
          <w:sz w:val="22"/>
          <w:szCs w:val="22"/>
        </w:rPr>
        <w:t xml:space="preserve">Every MUA profile in the CRM gains a Tickets tab alongside the existing tabs (leads, MUAs, bookings, comms). The tab shows:</w:t>
      </w:r>
    </w:p>
    <w:p>
      <w:pPr>
        <w:pStyle w:val="ListParagraph"/>
        <w:numPr>
          <w:ilvl w:val="0"/>
          <w:numId w:val="3"/>
        </w:numPr>
        <w:spacing w:after="40" w:before="40"/>
      </w:pPr>
      <w:r>
        <w:rPr>
          <w:rFonts w:ascii="Arial" w:cs="Arial" w:eastAsia="Arial" w:hAnsi="Arial"/>
          <w:sz w:val="21"/>
          <w:szCs w:val="21"/>
        </w:rPr>
        <w:t xml:space="preserve">All tickets raised by or about this MUA</w:t>
      </w:r>
    </w:p>
    <w:p>
      <w:pPr>
        <w:pStyle w:val="ListParagraph"/>
        <w:numPr>
          <w:ilvl w:val="0"/>
          <w:numId w:val="3"/>
        </w:numPr>
        <w:spacing w:after="40" w:before="40"/>
      </w:pPr>
      <w:r>
        <w:rPr>
          <w:rFonts w:ascii="Arial" w:cs="Arial" w:eastAsia="Arial" w:hAnsi="Arial"/>
          <w:sz w:val="21"/>
          <w:szCs w:val="21"/>
        </w:rPr>
        <w:t xml:space="preserve">Ticket ID, category, urgency, date opened, current status, date closed</w:t>
      </w:r>
    </w:p>
    <w:p>
      <w:pPr>
        <w:pStyle w:val="ListParagraph"/>
        <w:numPr>
          <w:ilvl w:val="0"/>
          <w:numId w:val="3"/>
        </w:numPr>
        <w:spacing w:after="40" w:before="40"/>
      </w:pPr>
      <w:r>
        <w:rPr>
          <w:rFonts w:ascii="Arial" w:cs="Arial" w:eastAsia="Arial" w:hAnsi="Arial"/>
          <w:sz w:val="21"/>
          <w:szCs w:val="21"/>
        </w:rPr>
        <w:t xml:space="preserve">A visual indicator for legal-risk tickets</w:t>
      </w:r>
    </w:p>
    <w:p>
      <w:pPr>
        <w:pStyle w:val="ListParagraph"/>
        <w:numPr>
          <w:ilvl w:val="0"/>
          <w:numId w:val="3"/>
        </w:numPr>
        <w:spacing w:after="40" w:before="40"/>
      </w:pPr>
      <w:r>
        <w:rPr>
          <w:rFonts w:ascii="Arial" w:cs="Arial" w:eastAsia="Arial" w:hAnsi="Arial"/>
          <w:sz w:val="21"/>
          <w:szCs w:val="21"/>
        </w:rPr>
        <w:t xml:space="preserve">A count of repeat complaints in the same category</w:t>
      </w:r>
    </w:p>
    <w:p>
      <w:r>
        <w:rPr>
          <w:sz w:val="20"/>
          <w:szCs w:val="20"/>
        </w:rPr>
        <w:t xml:space="preserve"/>
      </w:r>
    </w:p>
    <w:p>
      <w:pPr>
        <w:spacing w:after="80" w:before="80"/>
        <w:jc w:val="left"/>
      </w:pPr>
      <w:r>
        <w:rPr>
          <w:rFonts w:ascii="Arial" w:cs="Arial" w:eastAsia="Arial" w:hAnsi="Arial"/>
          <w:b w:val="false"/>
          <w:bCs w:val="false"/>
          <w:color w:val="000000"/>
          <w:sz w:val="22"/>
          <w:szCs w:val="22"/>
        </w:rPr>
        <w:t xml:space="preserve">Support can see this history before creating a new ticket — allowing them to flag patterns (e.g. a MUA raising the same complaint for the third time) immediately at the point of intake.</w:t>
      </w:r>
    </w:p>
    <w:p>
      <w:r>
        <w:rPr>
          <w:sz w:val="20"/>
          <w:szCs w:val="20"/>
        </w:rPr>
        <w:t xml:space="preserve"/>
      </w:r>
    </w:p>
    <w:p>
      <w:pPr>
        <w:pStyle w:val="Heading2"/>
        <w:spacing w:after="120" w:before="240"/>
      </w:pPr>
      <w:r>
        <w:rPr>
          <w:rFonts w:ascii="Arial" w:cs="Arial" w:eastAsia="Arial" w:hAnsi="Arial"/>
          <w:b/>
          <w:bCs/>
          <w:color w:val="0D7377"/>
          <w:sz w:val="26"/>
          <w:szCs w:val="26"/>
        </w:rPr>
        <w:t xml:space="preserve">8.2 Communication Ledger Integration</w:t>
      </w:r>
    </w:p>
    <w:p>
      <w:pPr>
        <w:spacing w:after="80" w:before="80"/>
        <w:jc w:val="left"/>
      </w:pPr>
      <w:r>
        <w:rPr>
          <w:rFonts w:ascii="Arial" w:cs="Arial" w:eastAsia="Arial" w:hAnsi="Arial"/>
          <w:b w:val="false"/>
          <w:bCs w:val="false"/>
          <w:color w:val="000000"/>
          <w:sz w:val="22"/>
          <w:szCs w:val="22"/>
        </w:rPr>
        <w:t xml:space="preserve">The CRM already maintains an append-only Communication Ledger for each MUA, recording every significant touchpoint: leads pushed, offers sent, booking confirmations. Ticket communications are appended to this ledger automatically.</w:t>
      </w:r>
    </w:p>
    <w:p>
      <w:r>
        <w:rPr>
          <w:sz w:val="20"/>
          <w:szCs w:val="20"/>
        </w:rPr>
        <w:t xml:space="preserve"/>
      </w:r>
    </w:p>
    <w:p>
      <w:pPr>
        <w:spacing w:after="80" w:before="80"/>
        <w:jc w:val="left"/>
      </w:pPr>
      <w:r>
        <w:rPr>
          <w:rFonts w:ascii="Arial" w:cs="Arial" w:eastAsia="Arial" w:hAnsi="Arial"/>
          <w:b w:val="false"/>
          <w:bCs w:val="false"/>
          <w:color w:val="000000"/>
          <w:sz w:val="22"/>
          <w:szCs w:val="22"/>
        </w:rPr>
        <w:t xml:space="preserve">When a ticket is Closed and the approved response has been sent, the outbound message is added to the MUA’s ledger with: the date, the channel (email), a note that this was a ticket response, the ticket ID as reference, and a one-line summary of the category. Internal deliberation, RM notes, and AI interactions do not appear in the ledger — only the outbound communication.</w:t>
      </w:r>
    </w:p>
    <w:p>
      <w:r>
        <w:rPr>
          <w:sz w:val="20"/>
          <w:szCs w:val="20"/>
        </w:rPr>
        <w:t xml:space="preserve"/>
      </w:r>
    </w:p>
    <w:p>
      <w:pPr>
        <w:spacing w:after="80" w:before="80"/>
        <w:jc w:val="left"/>
      </w:pPr>
      <w:r>
        <w:rPr>
          <w:rFonts w:ascii="Arial" w:cs="Arial" w:eastAsia="Arial" w:hAnsi="Arial"/>
          <w:b w:val="false"/>
          <w:bCs w:val="false"/>
          <w:color w:val="000000"/>
          <w:sz w:val="22"/>
          <w:szCs w:val="22"/>
        </w:rPr>
        <w:t xml:space="preserve">This means anyone reviewing a MUA’s communication history — RM, Support, Admin, Owner — sees the full picture in one chronological timeline: commercial interactions and grievance responses side by side.</w:t>
      </w:r>
    </w:p>
    <w:p>
      <w:pPr>
        <w:pBdr>
          <w:bottom w:val="single" w:color="CBD5E1" w:sz="4" w:space="1"/>
        </w:pBdr>
        <w:spacing w:after="120" w:before="120"/>
      </w:pPr>
    </w:p>
    <w:p>
      <w:pPr>
        <w:pStyle w:val="Heading1"/>
        <w:spacing w:after="160" w:before="320"/>
      </w:pPr>
      <w:r>
        <w:rPr>
          <w:rFonts w:ascii="Arial" w:cs="Arial" w:eastAsia="Arial" w:hAnsi="Arial"/>
          <w:b/>
          <w:bCs/>
          <w:color w:val="1B2A4A"/>
          <w:sz w:val="32"/>
          <w:szCs w:val="32"/>
        </w:rPr>
        <w:t xml:space="preserve">9. Lead Usage Ledger</w:t>
      </w:r>
    </w:p>
    <w:p>
      <w:pPr>
        <w:spacing w:after="80" w:before="80"/>
        <w:jc w:val="left"/>
      </w:pPr>
      <w:r>
        <w:rPr>
          <w:rFonts w:ascii="Arial" w:cs="Arial" w:eastAsia="Arial" w:hAnsi="Arial"/>
          <w:b w:val="false"/>
          <w:bCs w:val="false"/>
          <w:color w:val="000000"/>
          <w:sz w:val="22"/>
          <w:szCs w:val="22"/>
        </w:rPr>
        <w:t xml:space="preserve">The Lead Usage Ledger is an existing record maintained by the Support Agent outside the CRM. It tracks confidential data about each MUA’s actual lead consumption against their plan — including metrics not yet visible in the CRM such as lead utilisation rates, conversion breakdowns, and historical plan usage.</w:t>
      </w:r>
    </w:p>
    <w:p>
      <w:r>
        <w:rPr>
          <w:sz w:val="20"/>
          <w:szCs w:val="20"/>
        </w:rPr>
        <w:t xml:space="preserve"/>
      </w:r>
    </w:p>
    <w:p>
      <w:pPr>
        <w:spacing w:after="80" w:before="80"/>
        <w:jc w:val="left"/>
      </w:pPr>
      <w:r>
        <w:rPr>
          <w:rFonts w:ascii="Arial" w:cs="Arial" w:eastAsia="Arial" w:hAnsi="Arial"/>
          <w:b w:val="false"/>
          <w:bCs w:val="false"/>
          <w:color w:val="000000"/>
          <w:sz w:val="22"/>
          <w:szCs w:val="22"/>
        </w:rPr>
        <w:t xml:space="preserve">This data is frequently critical to resolving complaints in categories like Did Not Get Business, Require Extension, and Offer Dispute. The process for using it within the ticketing system is:</w:t>
      </w:r>
    </w:p>
    <w:p>
      <w:pPr>
        <w:pStyle w:val="ListParagraph"/>
        <w:numPr>
          <w:ilvl w:val="0"/>
          <w:numId w:val="2"/>
        </w:numPr>
        <w:spacing w:after="60" w:before="60"/>
      </w:pPr>
      <w:r>
        <w:rPr>
          <w:rFonts w:ascii="Arial" w:cs="Arial" w:eastAsia="Arial" w:hAnsi="Arial"/>
          <w:sz w:val="21"/>
          <w:szCs w:val="21"/>
        </w:rPr>
        <w:t xml:space="preserve">Admin directs Support to pull ledger data for the relevant MUA as an Action Task within the ticket.</w:t>
      </w:r>
    </w:p>
    <w:p>
      <w:pPr>
        <w:pStyle w:val="ListParagraph"/>
        <w:numPr>
          <w:ilvl w:val="0"/>
          <w:numId w:val="2"/>
        </w:numPr>
        <w:spacing w:after="60" w:before="60"/>
      </w:pPr>
      <w:r>
        <w:rPr>
          <w:rFonts w:ascii="Arial" w:cs="Arial" w:eastAsia="Arial" w:hAnsi="Arial"/>
          <w:sz w:val="21"/>
          <w:szCs w:val="21"/>
        </w:rPr>
        <w:t xml:space="preserve">Support retrieves the data from the external ledger source and pastes the relevant figures as an internal note on the ticket, marked internal visibility only.</w:t>
      </w:r>
    </w:p>
    <w:p>
      <w:pPr>
        <w:pStyle w:val="ListParagraph"/>
        <w:numPr>
          <w:ilvl w:val="0"/>
          <w:numId w:val="2"/>
        </w:numPr>
        <w:spacing w:after="60" w:before="60"/>
      </w:pPr>
      <w:r>
        <w:rPr>
          <w:rFonts w:ascii="Arial" w:cs="Arial" w:eastAsia="Arial" w:hAnsi="Arial"/>
          <w:sz w:val="21"/>
          <w:szCs w:val="21"/>
        </w:rPr>
        <w:t xml:space="preserve">The AI assistant and Admin can then reference this data when reviewing the ticket and formulating the response.</w:t>
      </w:r>
    </w:p>
    <w:p>
      <w:pPr>
        <w:pStyle w:val="ListParagraph"/>
        <w:numPr>
          <w:ilvl w:val="0"/>
          <w:numId w:val="2"/>
        </w:numPr>
        <w:spacing w:after="60" w:before="60"/>
      </w:pPr>
      <w:r>
        <w:rPr>
          <w:rFonts w:ascii="Arial" w:cs="Arial" w:eastAsia="Arial" w:hAnsi="Arial"/>
          <w:sz w:val="21"/>
          <w:szCs w:val="21"/>
        </w:rPr>
        <w:t xml:space="preserve">The ledger data is preserved as part of the ticket’s internal record for audit purposes.</w:t>
      </w:r>
    </w:p>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7377" w:sz="6"/>
              <w:left w:val="single" w:color="0D7377" w:sz="12"/>
              <w:bottom w:val="single" w:color="0D7377" w:sz="6"/>
              <w:right w:val="single" w:color="0D7377" w:sz="6"/>
            </w:tcBorders>
            <w:shd w:fill="E8EDF4" w:val="clear"/>
            <w:tcMar>
              <w:top w:type="dxa" w:w="120"/>
              <w:left w:type="dxa" w:w="200"/>
              <w:bottom w:type="dxa" w:w="120"/>
              <w:right w:type="dxa" w:w="200"/>
            </w:tcMar>
          </w:tcPr>
          <w:p>
            <w:pPr>
              <w:spacing w:after="60"/>
            </w:pPr>
            <w:r>
              <w:rPr>
                <w:rFonts w:ascii="Arial" w:cs="Arial" w:eastAsia="Arial" w:hAnsi="Arial"/>
                <w:b/>
                <w:bCs/>
                <w:color w:val="0D7377"/>
                <w:sz w:val="20"/>
                <w:szCs w:val="20"/>
              </w:rPr>
              <w:t xml:space="preserve">Phase 2 Integration</w:t>
            </w:r>
          </w:p>
          <w:p>
            <w:pPr>
              <w:spacing w:after="0"/>
            </w:pPr>
            <w:r>
              <w:rPr>
                <w:rFonts w:ascii="Arial" w:cs="Arial" w:eastAsia="Arial" w:hAnsi="Arial"/>
                <w:sz w:val="20"/>
                <w:szCs w:val="20"/>
              </w:rPr>
              <w:t xml:space="preserve">Once a decision is made on where the Lead Usage Ledger lives long-term (spreadsheet, separate system, or imported into the CRM DB), the ledger data pull can be automated. The ticket structure already accommodates this — Phase 2 would replace the manual paste step with an automated fetch.</w:t>
            </w:r>
          </w:p>
        </w:tc>
      </w:tr>
    </w:tbl>
    <w:p>
      <w:pPr>
        <w:pBdr>
          <w:bottom w:val="single" w:color="CBD5E1" w:sz="4" w:space="1"/>
        </w:pBdr>
        <w:spacing w:after="120" w:before="120"/>
      </w:pPr>
    </w:p>
    <w:p>
      <w:pPr>
        <w:pStyle w:val="Heading1"/>
        <w:spacing w:after="160" w:before="320"/>
      </w:pPr>
      <w:r>
        <w:rPr>
          <w:rFonts w:ascii="Arial" w:cs="Arial" w:eastAsia="Arial" w:hAnsi="Arial"/>
          <w:b/>
          <w:bCs/>
          <w:color w:val="1B2A4A"/>
          <w:sz w:val="32"/>
          <w:szCs w:val="32"/>
        </w:rPr>
        <w:t xml:space="preserve">10. Data Model Overview</w:t>
      </w:r>
    </w:p>
    <w:p>
      <w:pPr>
        <w:spacing w:after="80" w:before="80"/>
        <w:jc w:val="left"/>
      </w:pPr>
      <w:r>
        <w:rPr>
          <w:rFonts w:ascii="Arial" w:cs="Arial" w:eastAsia="Arial" w:hAnsi="Arial"/>
          <w:b w:val="false"/>
          <w:bCs w:val="false"/>
          <w:color w:val="000000"/>
          <w:sz w:val="22"/>
          <w:szCs w:val="22"/>
        </w:rPr>
        <w:t xml:space="preserve">The following tables extend the existing CRM database (‘rm’ schema, PostgreSQL). No existing tables are modified.</w:t>
      </w:r>
    </w:p>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c>
          <w:tcPr>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Table</w:t>
            </w:r>
          </w:p>
        </w:tc>
        <w:tc>
          <w:tcPr>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Purpose</w:t>
            </w:r>
          </w:p>
        </w:tc>
        <w:tc>
          <w:tcPr>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Key Fields</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tickets</w:t>
            </w:r>
          </w:p>
        </w:tc>
        <w:tc>
          <w:tcPr>
            <w:tcW w:type="dxa" w:w="26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Core ticket record</w:t>
            </w:r>
          </w:p>
        </w:tc>
        <w:tc>
          <w:tcPr>
            <w:tcW w:type="dxa" w:w="42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id, mua_id, lead_id (nullable), category, urgency, status, tags[ ], assigned_support_id, legal_risk (boolean), flagged (boolean), created_by, created_at, closed_at</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ticket_actions</w:t>
            </w:r>
          </w:p>
        </w:tc>
        <w:tc>
          <w:tcPr>
            <w:tcW w:type="dxa" w:w="26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Directed input tasks within a ticket</w:t>
            </w:r>
          </w:p>
        </w:tc>
        <w:tc>
          <w:tcPr>
            <w:tcW w:type="dxa" w:w="42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id, ticket_id, assigned_to (staff id), task_description, completed (boolean), completed_at, created_by_admin</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ticket_comments</w:t>
            </w:r>
          </w:p>
        </w:tc>
        <w:tc>
          <w:tcPr>
            <w:tcW w:type="dxa" w:w="26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Append-only thread of all activity</w:t>
            </w:r>
          </w:p>
        </w:tc>
        <w:tc>
          <w:tcPr>
            <w:tcW w:type="dxa" w:w="42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id, ticket_id, author_id, author_role, visibility (internal | outbound), body, is_ai_generated (boolean), created_at</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ticket_templates</w:t>
            </w:r>
          </w:p>
        </w:tc>
        <w:tc>
          <w:tcPr>
            <w:tcW w:type="dxa" w:w="26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Response templates per category</w:t>
            </w:r>
          </w:p>
        </w:tc>
        <w:tc>
          <w:tcPr>
            <w:tcW w:type="dxa" w:w="42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id, category, name, body_with_placeholders, active (boolean), created_by, updated_at</w:t>
            </w:r>
          </w:p>
        </w:tc>
      </w:tr>
    </w:tbl>
    <w:p>
      <w:r>
        <w:rPr>
          <w:sz w:val="20"/>
          <w:szCs w:val="20"/>
        </w:rPr>
        <w:t xml:space="preserve"/>
      </w:r>
    </w:p>
    <w:p>
      <w:pPr>
        <w:spacing w:after="80" w:before="80"/>
        <w:jc w:val="left"/>
      </w:pPr>
      <w:r>
        <w:rPr>
          <w:rFonts w:ascii="Arial" w:cs="Arial" w:eastAsia="Arial" w:hAnsi="Arial"/>
          <w:b w:val="false"/>
          <w:bCs w:val="false"/>
          <w:color w:val="000000"/>
          <w:sz w:val="22"/>
          <w:szCs w:val="22"/>
        </w:rPr>
        <w:t xml:space="preserve">One comment per ticket carries visibility = outbound — this is the approved message that goes to the MUA and gets mirrored into the Communication Ledger. All other comments are internal only.</w:t>
      </w:r>
    </w:p>
    <w:p>
      <w:pPr>
        <w:pBdr>
          <w:bottom w:val="single" w:color="CBD5E1" w:sz="4" w:space="1"/>
        </w:pBdr>
        <w:spacing w:after="120" w:before="120"/>
      </w:pPr>
    </w:p>
    <w:p>
      <w:pPr>
        <w:pStyle w:val="Heading1"/>
        <w:spacing w:after="160" w:before="320"/>
      </w:pPr>
      <w:r>
        <w:rPr>
          <w:rFonts w:ascii="Arial" w:cs="Arial" w:eastAsia="Arial" w:hAnsi="Arial"/>
          <w:b/>
          <w:bCs/>
          <w:color w:val="1B2A4A"/>
          <w:sz w:val="32"/>
          <w:szCs w:val="32"/>
        </w:rPr>
        <w:t xml:space="preserve">11. Phase Roadmap</w:t>
      </w:r>
    </w:p>
    <w:p>
      <w:pPr>
        <w:pStyle w:val="Heading2"/>
        <w:spacing w:after="120" w:before="240"/>
      </w:pPr>
      <w:r>
        <w:rPr>
          <w:rFonts w:ascii="Arial" w:cs="Arial" w:eastAsia="Arial" w:hAnsi="Arial"/>
          <w:b/>
          <w:bCs/>
          <w:color w:val="0D7377"/>
          <w:sz w:val="26"/>
          <w:szCs w:val="26"/>
        </w:rPr>
        <w:t xml:space="preserve">Phase 1 — Internal Ticketing (Current Build)</w:t>
      </w:r>
    </w:p>
    <w:p>
      <w:pPr>
        <w:spacing w:after="80" w:before="80"/>
        <w:jc w:val="left"/>
      </w:pPr>
      <w:r>
        <w:rPr>
          <w:rFonts w:ascii="Arial" w:cs="Arial" w:eastAsia="Arial" w:hAnsi="Arial"/>
          <w:b w:val="false"/>
          <w:bCs w:val="false"/>
          <w:color w:val="000000"/>
          <w:sz w:val="22"/>
          <w:szCs w:val="22"/>
        </w:rPr>
        <w:t xml:space="preserve">Everything described in this document. The system is fully internal. MUAs do not interact with it directly. Intake is via email and phone, handled by the Support Agent.</w:t>
      </w:r>
    </w:p>
    <w:p>
      <w:pPr>
        <w:pStyle w:val="ListParagraph"/>
        <w:numPr>
          <w:ilvl w:val="0"/>
          <w:numId w:val="3"/>
        </w:numPr>
        <w:spacing w:after="40" w:before="40"/>
      </w:pPr>
      <w:r>
        <w:rPr>
          <w:rFonts w:ascii="Arial" w:cs="Arial" w:eastAsia="Arial" w:hAnsi="Arial"/>
          <w:sz w:val="21"/>
          <w:szCs w:val="21"/>
        </w:rPr>
        <w:t xml:space="preserve">Ticket creation, status flow, urgency, tags, flags</w:t>
      </w:r>
    </w:p>
    <w:p>
      <w:pPr>
        <w:pStyle w:val="ListParagraph"/>
        <w:numPr>
          <w:ilvl w:val="0"/>
          <w:numId w:val="3"/>
        </w:numPr>
        <w:spacing w:after="40" w:before="40"/>
      </w:pPr>
      <w:r>
        <w:rPr>
          <w:rFonts w:ascii="Arial" w:cs="Arial" w:eastAsia="Arial" w:hAnsi="Arial"/>
          <w:sz w:val="21"/>
          <w:szCs w:val="21"/>
        </w:rPr>
        <w:t xml:space="preserve">Admin-directed investigation with Action Tasks</w:t>
      </w:r>
    </w:p>
    <w:p>
      <w:pPr>
        <w:pStyle w:val="ListParagraph"/>
        <w:numPr>
          <w:ilvl w:val="0"/>
          <w:numId w:val="3"/>
        </w:numPr>
        <w:spacing w:after="40" w:before="40"/>
      </w:pPr>
      <w:r>
        <w:rPr>
          <w:rFonts w:ascii="Arial" w:cs="Arial" w:eastAsia="Arial" w:hAnsi="Arial"/>
          <w:sz w:val="21"/>
          <w:szCs w:val="21"/>
        </w:rPr>
        <w:t xml:space="preserve">Response Templates managed by Admin</w:t>
      </w:r>
    </w:p>
    <w:p>
      <w:pPr>
        <w:pStyle w:val="ListParagraph"/>
        <w:numPr>
          <w:ilvl w:val="0"/>
          <w:numId w:val="3"/>
        </w:numPr>
        <w:spacing w:after="40" w:before="40"/>
      </w:pPr>
      <w:r>
        <w:rPr>
          <w:rFonts w:ascii="Arial" w:cs="Arial" w:eastAsia="Arial" w:hAnsi="Arial"/>
          <w:sz w:val="21"/>
          <w:szCs w:val="21"/>
        </w:rPr>
        <w:t xml:space="preserve">AI-assisted compilation (Support) and review (Admin)</w:t>
      </w:r>
    </w:p>
    <w:p>
      <w:pPr>
        <w:pStyle w:val="ListParagraph"/>
        <w:numPr>
          <w:ilvl w:val="0"/>
          <w:numId w:val="3"/>
        </w:numPr>
        <w:spacing w:after="40" w:before="40"/>
      </w:pPr>
      <w:r>
        <w:rPr>
          <w:rFonts w:ascii="Arial" w:cs="Arial" w:eastAsia="Arial" w:hAnsi="Arial"/>
          <w:sz w:val="21"/>
          <w:szCs w:val="21"/>
        </w:rPr>
        <w:t xml:space="preserve">AI legal awareness for India-applicable law</w:t>
      </w:r>
    </w:p>
    <w:p>
      <w:pPr>
        <w:pStyle w:val="ListParagraph"/>
        <w:numPr>
          <w:ilvl w:val="0"/>
          <w:numId w:val="3"/>
        </w:numPr>
        <w:spacing w:after="40" w:before="40"/>
      </w:pPr>
      <w:r>
        <w:rPr>
          <w:rFonts w:ascii="Arial" w:cs="Arial" w:eastAsia="Arial" w:hAnsi="Arial"/>
          <w:sz w:val="21"/>
          <w:szCs w:val="21"/>
        </w:rPr>
        <w:t xml:space="preserve">MUA Tickets tab on profile</w:t>
      </w:r>
    </w:p>
    <w:p>
      <w:pPr>
        <w:pStyle w:val="ListParagraph"/>
        <w:numPr>
          <w:ilvl w:val="0"/>
          <w:numId w:val="3"/>
        </w:numPr>
        <w:spacing w:after="40" w:before="40"/>
      </w:pPr>
      <w:r>
        <w:rPr>
          <w:rFonts w:ascii="Arial" w:cs="Arial" w:eastAsia="Arial" w:hAnsi="Arial"/>
          <w:sz w:val="21"/>
          <w:szCs w:val="21"/>
        </w:rPr>
        <w:t xml:space="preserve">Communication Ledger integration</w:t>
      </w:r>
    </w:p>
    <w:p>
      <w:pPr>
        <w:pStyle w:val="ListParagraph"/>
        <w:numPr>
          <w:ilvl w:val="0"/>
          <w:numId w:val="3"/>
        </w:numPr>
        <w:spacing w:after="40" w:before="40"/>
      </w:pPr>
      <w:r>
        <w:rPr>
          <w:rFonts w:ascii="Arial" w:cs="Arial" w:eastAsia="Arial" w:hAnsi="Arial"/>
          <w:sz w:val="21"/>
          <w:szCs w:val="21"/>
        </w:rPr>
        <w:t xml:space="preserve">Manual lead usage ledger data via internal notes</w:t>
      </w:r>
    </w:p>
    <w:p>
      <w:pPr>
        <w:pStyle w:val="ListParagraph"/>
        <w:numPr>
          <w:ilvl w:val="0"/>
          <w:numId w:val="3"/>
        </w:numPr>
        <w:spacing w:after="40" w:before="40"/>
      </w:pPr>
      <w:r>
        <w:rPr>
          <w:rFonts w:ascii="Arial" w:cs="Arial" w:eastAsia="Arial" w:hAnsi="Arial"/>
          <w:sz w:val="21"/>
          <w:szCs w:val="21"/>
        </w:rPr>
        <w:t xml:space="preserve">Full audit trail preserved on every ticket</w:t>
      </w:r>
    </w:p>
    <w:p>
      <w:r>
        <w:rPr>
          <w:sz w:val="20"/>
          <w:szCs w:val="20"/>
        </w:rPr>
        <w:t xml:space="preserve"/>
      </w:r>
    </w:p>
    <w:p>
      <w:pPr>
        <w:pStyle w:val="Heading2"/>
        <w:spacing w:after="120" w:before="240"/>
      </w:pPr>
      <w:r>
        <w:rPr>
          <w:rFonts w:ascii="Arial" w:cs="Arial" w:eastAsia="Arial" w:hAnsi="Arial"/>
          <w:b/>
          <w:bCs/>
          <w:color w:val="0D7377"/>
          <w:sz w:val="26"/>
          <w:szCs w:val="26"/>
        </w:rPr>
        <w:t xml:space="preserve">Phase 2 — MUA Self-Service Portal</w:t>
      </w:r>
    </w:p>
    <w:p>
      <w:pPr>
        <w:spacing w:after="80" w:before="80"/>
        <w:jc w:val="left"/>
      </w:pPr>
      <w:r>
        <w:rPr>
          <w:rFonts w:ascii="Arial" w:cs="Arial" w:eastAsia="Arial" w:hAnsi="Arial"/>
          <w:b w:val="false"/>
          <w:bCs w:val="false"/>
          <w:color w:val="000000"/>
          <w:sz w:val="22"/>
          <w:szCs w:val="22"/>
        </w:rPr>
        <w:t xml:space="preserve">MUAs gain the ability to raise tickets themselves and track progress through a login-gated panel on olready.in. Email notifications include a tracking link to their ticket status page.</w:t>
      </w:r>
    </w:p>
    <w:p>
      <w:pPr>
        <w:pStyle w:val="ListParagraph"/>
        <w:numPr>
          <w:ilvl w:val="0"/>
          <w:numId w:val="3"/>
        </w:numPr>
        <w:spacing w:after="40" w:before="40"/>
      </w:pPr>
      <w:r>
        <w:rPr>
          <w:rFonts w:ascii="Arial" w:cs="Arial" w:eastAsia="Arial" w:hAnsi="Arial"/>
          <w:sz w:val="21"/>
          <w:szCs w:val="21"/>
        </w:rPr>
        <w:t xml:space="preserve">Ticket submission form on olready.in (MUA login required)</w:t>
      </w:r>
    </w:p>
    <w:p>
      <w:pPr>
        <w:pStyle w:val="ListParagraph"/>
        <w:numPr>
          <w:ilvl w:val="0"/>
          <w:numId w:val="3"/>
        </w:numPr>
        <w:spacing w:after="40" w:before="40"/>
      </w:pPr>
      <w:r>
        <w:rPr>
          <w:rFonts w:ascii="Arial" w:cs="Arial" w:eastAsia="Arial" w:hAnsi="Arial"/>
          <w:sz w:val="21"/>
          <w:szCs w:val="21"/>
        </w:rPr>
        <w:t xml:space="preserve">Status tracking page visible to the MUA — shows current status and last update</w:t>
      </w:r>
    </w:p>
    <w:p>
      <w:pPr>
        <w:pStyle w:val="ListParagraph"/>
        <w:numPr>
          <w:ilvl w:val="0"/>
          <w:numId w:val="3"/>
        </w:numPr>
        <w:spacing w:after="40" w:before="40"/>
      </w:pPr>
      <w:r>
        <w:rPr>
          <w:rFonts w:ascii="Arial" w:cs="Arial" w:eastAsia="Arial" w:hAnsi="Arial"/>
          <w:sz w:val="21"/>
          <w:szCs w:val="21"/>
        </w:rPr>
        <w:t xml:space="preserve">Email notifications at each status transition</w:t>
      </w:r>
    </w:p>
    <w:p>
      <w:pPr>
        <w:pStyle w:val="ListParagraph"/>
        <w:numPr>
          <w:ilvl w:val="0"/>
          <w:numId w:val="3"/>
        </w:numPr>
        <w:spacing w:after="40" w:before="40"/>
      </w:pPr>
      <w:r>
        <w:rPr>
          <w:rFonts w:ascii="Arial" w:cs="Arial" w:eastAsia="Arial" w:hAnsi="Arial"/>
          <w:sz w:val="21"/>
          <w:szCs w:val="21"/>
        </w:rPr>
        <w:t xml:space="preserve">Outbound response visible to MUA in their portal</w:t>
      </w:r>
    </w:p>
    <w:p>
      <w:pPr>
        <w:pStyle w:val="ListParagraph"/>
        <w:numPr>
          <w:ilvl w:val="0"/>
          <w:numId w:val="3"/>
        </w:numPr>
        <w:spacing w:after="40" w:before="40"/>
      </w:pPr>
      <w:r>
        <w:rPr>
          <w:rFonts w:ascii="Arial" w:cs="Arial" w:eastAsia="Arial" w:hAnsi="Arial"/>
          <w:sz w:val="21"/>
          <w:szCs w:val="21"/>
        </w:rPr>
        <w:t xml:space="preserve">Same internal process, same Admin authority — only the intake and visibility changes</w:t>
      </w:r>
    </w:p>
    <w:p>
      <w:r>
        <w:rPr>
          <w:sz w:val="20"/>
          <w:szCs w:val="20"/>
        </w:rPr>
        <w:t xml:space="preserve"/>
      </w:r>
    </w:p>
    <w:p>
      <w:pPr>
        <w:pStyle w:val="Heading2"/>
        <w:spacing w:after="120" w:before="240"/>
      </w:pPr>
      <w:r>
        <w:rPr>
          <w:rFonts w:ascii="Arial" w:cs="Arial" w:eastAsia="Arial" w:hAnsi="Arial"/>
          <w:b/>
          <w:bCs/>
          <w:color w:val="0D7377"/>
          <w:sz w:val="26"/>
          <w:szCs w:val="26"/>
        </w:rPr>
        <w:t xml:space="preserve">Phase 3 — Sales Integration</w:t>
      </w:r>
    </w:p>
    <w:p>
      <w:pPr>
        <w:spacing w:after="80" w:before="80"/>
        <w:jc w:val="left"/>
      </w:pPr>
      <w:r>
        <w:rPr>
          <w:rFonts w:ascii="Arial" w:cs="Arial" w:eastAsia="Arial" w:hAnsi="Arial"/>
          <w:b w:val="false"/>
          <w:bCs w:val="false"/>
          <w:color w:val="000000"/>
          <w:sz w:val="22"/>
          <w:szCs w:val="22"/>
        </w:rPr>
        <w:t xml:space="preserve">Sales users are added as a role in the CRM. Tickets in the Sales-fault and False Promise categories can be routed to Sales for their input, removing the current dependency on Support to bridge that gap.</w:t>
      </w:r>
    </w:p>
    <w:p>
      <w:pPr>
        <w:pStyle w:val="ListParagraph"/>
        <w:numPr>
          <w:ilvl w:val="0"/>
          <w:numId w:val="3"/>
        </w:numPr>
        <w:spacing w:after="40" w:before="40"/>
      </w:pPr>
      <w:r>
        <w:rPr>
          <w:rFonts w:ascii="Arial" w:cs="Arial" w:eastAsia="Arial" w:hAnsi="Arial"/>
          <w:sz w:val="21"/>
          <w:szCs w:val="21"/>
        </w:rPr>
        <w:t xml:space="preserve">Sales role in CRM with ticket access</w:t>
      </w:r>
    </w:p>
    <w:p>
      <w:pPr>
        <w:pStyle w:val="ListParagraph"/>
        <w:numPr>
          <w:ilvl w:val="0"/>
          <w:numId w:val="3"/>
        </w:numPr>
        <w:spacing w:after="40" w:before="40"/>
      </w:pPr>
      <w:r>
        <w:rPr>
          <w:rFonts w:ascii="Arial" w:cs="Arial" w:eastAsia="Arial" w:hAnsi="Arial"/>
          <w:sz w:val="21"/>
          <w:szCs w:val="21"/>
        </w:rPr>
        <w:t xml:space="preserve">Routing logic updated: sales-related categories assigned to Sales user as Action Task</w:t>
      </w:r>
    </w:p>
    <w:p>
      <w:pPr>
        <w:pStyle w:val="ListParagraph"/>
        <w:numPr>
          <w:ilvl w:val="0"/>
          <w:numId w:val="3"/>
        </w:numPr>
        <w:spacing w:after="40" w:before="40"/>
      </w:pPr>
      <w:r>
        <w:rPr>
          <w:rFonts w:ascii="Arial" w:cs="Arial" w:eastAsia="Arial" w:hAnsi="Arial"/>
          <w:sz w:val="21"/>
          <w:szCs w:val="21"/>
        </w:rPr>
        <w:t xml:space="preserve">Lead Usage Ledger automated fetch (if ledger is imported into CRM DB by this point)</w:t>
      </w:r>
    </w:p>
    <w:p>
      <w:pPr>
        <w:pBdr>
          <w:bottom w:val="single" w:color="CBD5E1" w:sz="4" w:space="1"/>
        </w:pBdr>
        <w:spacing w:after="120" w:before="120"/>
      </w:pPr>
    </w:p>
    <w:p>
      <w:pPr>
        <w:pStyle w:val="Heading1"/>
        <w:spacing w:after="160" w:before="320"/>
      </w:pPr>
      <w:r>
        <w:rPr>
          <w:rFonts w:ascii="Arial" w:cs="Arial" w:eastAsia="Arial" w:hAnsi="Arial"/>
          <w:b/>
          <w:bCs/>
          <w:color w:val="1B2A4A"/>
          <w:sz w:val="32"/>
          <w:szCs w:val="32"/>
        </w:rPr>
        <w:t xml:space="preserve">12. Open Questions &amp; Things to Verify</w:t>
      </w:r>
    </w:p>
    <w:p>
      <w:pPr>
        <w:spacing w:after="80" w:before="80"/>
        <w:jc w:val="left"/>
      </w:pPr>
      <w:r>
        <w:rPr>
          <w:rFonts w:ascii="Arial" w:cs="Arial" w:eastAsia="Arial" w:hAnsi="Arial"/>
          <w:b w:val="false"/>
          <w:bCs w:val="false"/>
          <w:color w:val="000000"/>
          <w:sz w:val="22"/>
          <w:szCs w:val="22"/>
        </w:rPr>
        <w:t xml:space="preserve">The following items should be confirmed or decided before development begins.</w:t>
      </w:r>
    </w:p>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526"/>
        <w:gridCol w:w="3000"/>
      </w:tblGrid>
      <w:tr>
        <w:tc>
          <w:tcPr>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w:t>
            </w:r>
          </w:p>
        </w:tc>
        <w:tc>
          <w:tcPr>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Question</w:t>
            </w:r>
          </w:p>
        </w:tc>
        <w:tc>
          <w:tcPr>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Why It Matters</w:t>
            </w:r>
          </w:p>
        </w:tc>
      </w:tr>
      <w:tr>
        <w:tc>
          <w:tcPr>
            <w:tcW w:type="dxa" w:w="5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center"/>
            </w:pPr>
            <w:r>
              <w:rPr>
                <w:rFonts w:ascii="Arial" w:cs="Arial" w:eastAsia="Arial" w:hAnsi="Arial"/>
                <w:b/>
                <w:bCs/>
                <w:color w:val="000000"/>
                <w:sz w:val="19"/>
                <w:szCs w:val="19"/>
              </w:rPr>
              <w:t xml:space="preserve">1</w:t>
            </w:r>
          </w:p>
        </w:tc>
        <w:tc>
          <w:tcPr>
            <w:tcW w:type="dxa" w:w="55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Where does the Lead Usage Ledger currently live? (Spreadsheet, separate tool, drive?)</w:t>
            </w:r>
          </w:p>
        </w:tc>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64748B"/>
                <w:sz w:val="19"/>
                <w:szCs w:val="19"/>
              </w:rPr>
              <w:t xml:space="preserve">Determines Phase 2 automation scope and data access method.</w:t>
            </w:r>
          </w:p>
        </w:tc>
      </w:tr>
      <w:tr>
        <w:tc>
          <w:tcPr>
            <w:tcW w:type="dxa" w:w="5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center"/>
            </w:pPr>
            <w:r>
              <w:rPr>
                <w:rFonts w:ascii="Arial" w:cs="Arial" w:eastAsia="Arial" w:hAnsi="Arial"/>
                <w:b/>
                <w:bCs/>
                <w:color w:val="000000"/>
                <w:sz w:val="19"/>
                <w:szCs w:val="19"/>
              </w:rPr>
              <w:t xml:space="preserve">2</w:t>
            </w:r>
          </w:p>
        </w:tc>
        <w:tc>
          <w:tcPr>
            <w:tcW w:type="dxa" w:w="55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Should the Support role be formally separated from the Lead Uploader role immediately, or is the dual role acceptable for Phase 1?</w:t>
            </w:r>
          </w:p>
        </w:tc>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64748B"/>
                <w:sz w:val="19"/>
                <w:szCs w:val="19"/>
              </w:rPr>
              <w:t xml:space="preserve">Affects user management and the permissions model in the CRM.</w:t>
            </w:r>
          </w:p>
        </w:tc>
      </w:tr>
      <w:tr>
        <w:tc>
          <w:tcPr>
            <w:tcW w:type="dxa" w:w="5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center"/>
            </w:pPr>
            <w:r>
              <w:rPr>
                <w:rFonts w:ascii="Arial" w:cs="Arial" w:eastAsia="Arial" w:hAnsi="Arial"/>
                <w:b/>
                <w:bCs/>
                <w:color w:val="000000"/>
                <w:sz w:val="19"/>
                <w:szCs w:val="19"/>
              </w:rPr>
              <w:t xml:space="preserve">3</w:t>
            </w:r>
          </w:p>
        </w:tc>
        <w:tc>
          <w:tcPr>
            <w:tcW w:type="dxa" w:w="55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Who writes and maintains the initial set of Response Templates? How many categories need templates at launch?</w:t>
            </w:r>
          </w:p>
        </w:tc>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64748B"/>
                <w:sz w:val="19"/>
                <w:szCs w:val="19"/>
              </w:rPr>
              <w:t xml:space="preserve">Templates are needed before the system can go live. Needs an owner.</w:t>
            </w:r>
          </w:p>
        </w:tc>
      </w:tr>
      <w:tr>
        <w:tc>
          <w:tcPr>
            <w:tcW w:type="dxa" w:w="5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center"/>
            </w:pPr>
            <w:r>
              <w:rPr>
                <w:rFonts w:ascii="Arial" w:cs="Arial" w:eastAsia="Arial" w:hAnsi="Arial"/>
                <w:b/>
                <w:bCs/>
                <w:color w:val="000000"/>
                <w:sz w:val="19"/>
                <w:szCs w:val="19"/>
              </w:rPr>
              <w:t xml:space="preserve">4</w:t>
            </w:r>
          </w:p>
        </w:tc>
        <w:tc>
          <w:tcPr>
            <w:tcW w:type="dxa" w:w="55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Is there a formal SLA commitment to MUAs for complaint response time, or is urgency internal only?</w:t>
            </w:r>
          </w:p>
        </w:tc>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64748B"/>
                <w:sz w:val="19"/>
                <w:szCs w:val="19"/>
              </w:rPr>
              <w:t xml:space="preserve">If SLA is communicated externally, the system needs SLA breach alerting.</w:t>
            </w:r>
          </w:p>
        </w:tc>
      </w:tr>
      <w:tr>
        <w:tc>
          <w:tcPr>
            <w:tcW w:type="dxa" w:w="5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center"/>
            </w:pPr>
            <w:r>
              <w:rPr>
                <w:rFonts w:ascii="Arial" w:cs="Arial" w:eastAsia="Arial" w:hAnsi="Arial"/>
                <w:b/>
                <w:bCs/>
                <w:color w:val="000000"/>
                <w:sz w:val="19"/>
                <w:szCs w:val="19"/>
              </w:rPr>
              <w:t xml:space="preserve">5</w:t>
            </w:r>
          </w:p>
        </w:tc>
        <w:tc>
          <w:tcPr>
            <w:tcW w:type="dxa" w:w="55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Does the Owner want to be notified on all tickets, or only legal-risk and escalated ones?</w:t>
            </w:r>
          </w:p>
        </w:tc>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64748B"/>
                <w:sz w:val="19"/>
                <w:szCs w:val="19"/>
              </w:rPr>
              <w:t xml:space="preserve">Determines notification scope for the Owner role.</w:t>
            </w:r>
          </w:p>
        </w:tc>
      </w:tr>
      <w:tr>
        <w:tc>
          <w:tcPr>
            <w:tcW w:type="dxa" w:w="5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center"/>
            </w:pPr>
            <w:r>
              <w:rPr>
                <w:rFonts w:ascii="Arial" w:cs="Arial" w:eastAsia="Arial" w:hAnsi="Arial"/>
                <w:b/>
                <w:bCs/>
                <w:color w:val="000000"/>
                <w:sz w:val="19"/>
                <w:szCs w:val="19"/>
              </w:rPr>
              <w:t xml:space="preserve">6</w:t>
            </w:r>
          </w:p>
        </w:tc>
        <w:tc>
          <w:tcPr>
            <w:tcW w:type="dxa" w:w="55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Should the AI legal guidance reference Olready’s actual subscription T&amp;Cs? If yes, those need to be provided as context.</w:t>
            </w:r>
          </w:p>
        </w:tc>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64748B"/>
                <w:sz w:val="19"/>
                <w:szCs w:val="19"/>
              </w:rPr>
              <w:t xml:space="preserve">Strengthens the quality and accuracy of legal guidance significantly.</w:t>
            </w:r>
          </w:p>
        </w:tc>
      </w:tr>
      <w:tr>
        <w:tc>
          <w:tcPr>
            <w:tcW w:type="dxa" w:w="5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center"/>
            </w:pPr>
            <w:r>
              <w:rPr>
                <w:rFonts w:ascii="Arial" w:cs="Arial" w:eastAsia="Arial" w:hAnsi="Arial"/>
                <w:b/>
                <w:bCs/>
                <w:color w:val="000000"/>
                <w:sz w:val="19"/>
                <w:szCs w:val="19"/>
              </w:rPr>
              <w:t xml:space="preserve">7</w:t>
            </w:r>
          </w:p>
        </w:tc>
        <w:tc>
          <w:tcPr>
            <w:tcW w:type="dxa" w:w="55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What is the expected response on complaints about leads (brides)? Is there a separate category or do they follow the same ticket flow?</w:t>
            </w:r>
          </w:p>
        </w:tc>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64748B"/>
                <w:sz w:val="19"/>
                <w:szCs w:val="19"/>
              </w:rPr>
              <w:t xml:space="preserve">Leads are a minor case. Confirming whether they share the MUA flow or need a separate path.</w:t>
            </w:r>
          </w:p>
        </w:tc>
      </w:tr>
      <w:tr>
        <w:tc>
          <w:tcPr>
            <w:tcW w:type="dxa" w:w="5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center"/>
            </w:pPr>
            <w:r>
              <w:rPr>
                <w:rFonts w:ascii="Arial" w:cs="Arial" w:eastAsia="Arial" w:hAnsi="Arial"/>
                <w:b/>
                <w:bCs/>
                <w:color w:val="000000"/>
                <w:sz w:val="19"/>
                <w:szCs w:val="19"/>
              </w:rPr>
              <w:t xml:space="preserve">8</w:t>
            </w:r>
          </w:p>
        </w:tc>
        <w:tc>
          <w:tcPr>
            <w:tcW w:type="dxa" w:w="55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At Phase 2, will MUAs see the full response thread or only the approved outbound message?</w:t>
            </w:r>
          </w:p>
        </w:tc>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64748B"/>
                <w:sz w:val="19"/>
                <w:szCs w:val="19"/>
              </w:rPr>
              <w:t xml:space="preserve">Determines how much of the internal deliberation needs to be kept strictly separate from any future portal view.</w:t>
            </w:r>
          </w:p>
        </w:tc>
      </w:tr>
    </w:tbl>
    <w:p>
      <w:pPr>
        <w:pBdr>
          <w:bottom w:val="single" w:color="CBD5E1" w:sz="4" w:space="1"/>
        </w:pBdr>
        <w:spacing w:after="120" w:before="120"/>
      </w:pPr>
    </w:p>
    <w:p>
      <w:pPr>
        <w:pStyle w:val="Heading1"/>
        <w:spacing w:after="160" w:before="320"/>
      </w:pPr>
      <w:r>
        <w:rPr>
          <w:rFonts w:ascii="Arial" w:cs="Arial" w:eastAsia="Arial" w:hAnsi="Arial"/>
          <w:b/>
          <w:bCs/>
          <w:color w:val="1B2A4A"/>
          <w:sz w:val="32"/>
          <w:szCs w:val="32"/>
        </w:rPr>
        <w:t xml:space="preserve">Appendix — Quick Reference</w:t>
      </w:r>
    </w:p>
    <w:p>
      <w:pPr>
        <w:pStyle w:val="Heading2"/>
        <w:spacing w:after="120" w:before="240"/>
      </w:pPr>
      <w:r>
        <w:rPr>
          <w:rFonts w:ascii="Arial" w:cs="Arial" w:eastAsia="Arial" w:hAnsi="Arial"/>
          <w:b/>
          <w:bCs/>
          <w:color w:val="0D7377"/>
          <w:sz w:val="26"/>
          <w:szCs w:val="26"/>
        </w:rPr>
        <w:t xml:space="preserve">Ticket Status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left"/>
            </w:pPr>
            <w:r>
              <w:rPr>
                <w:rFonts w:ascii="Arial" w:cs="Arial" w:eastAsia="Arial" w:hAnsi="Arial"/>
                <w:b/>
                <w:bCs/>
                <w:color w:val="000000"/>
                <w:sz w:val="19"/>
                <w:szCs w:val="19"/>
              </w:rPr>
              <w:t xml:space="preserve">Open</w:t>
            </w:r>
          </w:p>
        </w:tc>
        <w:tc>
          <w:tcPr>
            <w:tcW w:type="dxa" w:w="63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Waiting for Admin to review and direct. No action taken yet.</w:t>
            </w:r>
          </w:p>
        </w:tc>
      </w:tr>
      <w:tr>
        <w:tc>
          <w:tcPr>
            <w:tcW w:type="dxa" w:w="27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left"/>
            </w:pPr>
            <w:r>
              <w:rPr>
                <w:rFonts w:ascii="Arial" w:cs="Arial" w:eastAsia="Arial" w:hAnsi="Arial"/>
                <w:b/>
                <w:bCs/>
                <w:color w:val="000000"/>
                <w:sz w:val="19"/>
                <w:szCs w:val="19"/>
              </w:rPr>
              <w:t xml:space="preserve">In Investigation</w:t>
            </w:r>
          </w:p>
        </w:tc>
        <w:tc>
          <w:tcPr>
            <w:tcW w:type="dxa" w:w="63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Action tasks assigned. Waiting on RM and/or Support inputs.</w:t>
            </w:r>
          </w:p>
        </w:tc>
      </w:tr>
      <w:tr>
        <w:tc>
          <w:tcPr>
            <w:tcW w:type="dxa" w:w="27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left"/>
            </w:pPr>
            <w:r>
              <w:rPr>
                <w:rFonts w:ascii="Arial" w:cs="Arial" w:eastAsia="Arial" w:hAnsi="Arial"/>
                <w:b/>
                <w:bCs/>
                <w:color w:val="000000"/>
                <w:sz w:val="19"/>
                <w:szCs w:val="19"/>
              </w:rPr>
              <w:t xml:space="preserve">Pending Compilation</w:t>
            </w:r>
          </w:p>
        </w:tc>
        <w:tc>
          <w:tcPr>
            <w:tcW w:type="dxa" w:w="63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All inputs received. Support to compile AI-assisted draft response.</w:t>
            </w:r>
          </w:p>
        </w:tc>
      </w:tr>
      <w:tr>
        <w:tc>
          <w:tcPr>
            <w:tcW w:type="dxa" w:w="27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left"/>
            </w:pPr>
            <w:r>
              <w:rPr>
                <w:rFonts w:ascii="Arial" w:cs="Arial" w:eastAsia="Arial" w:hAnsi="Arial"/>
                <w:b/>
                <w:bCs/>
                <w:color w:val="000000"/>
                <w:sz w:val="19"/>
                <w:szCs w:val="19"/>
              </w:rPr>
              <w:t xml:space="preserve">Pending Approval</w:t>
            </w:r>
          </w:p>
        </w:tc>
        <w:tc>
          <w:tcPr>
            <w:tcW w:type="dxa" w:w="63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Draft submitted to Admin for review and approval.</w:t>
            </w:r>
          </w:p>
        </w:tc>
      </w:tr>
      <w:tr>
        <w:tc>
          <w:tcPr>
            <w:tcW w:type="dxa" w:w="27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left"/>
            </w:pPr>
            <w:r>
              <w:rPr>
                <w:rFonts w:ascii="Arial" w:cs="Arial" w:eastAsia="Arial" w:hAnsi="Arial"/>
                <w:b/>
                <w:bCs/>
                <w:color w:val="000000"/>
                <w:sz w:val="19"/>
                <w:szCs w:val="19"/>
              </w:rPr>
              <w:t xml:space="preserve">Revision Requested</w:t>
            </w:r>
          </w:p>
        </w:tc>
        <w:tc>
          <w:tcPr>
            <w:tcW w:type="dxa" w:w="63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Admin returned the draft with notes. Support revising.</w:t>
            </w:r>
          </w:p>
        </w:tc>
      </w:tr>
      <w:tr>
        <w:tc>
          <w:tcPr>
            <w:tcW w:type="dxa" w:w="27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left"/>
            </w:pPr>
            <w:r>
              <w:rPr>
                <w:rFonts w:ascii="Arial" w:cs="Arial" w:eastAsia="Arial" w:hAnsi="Arial"/>
                <w:b/>
                <w:bCs/>
                <w:color w:val="000000"/>
                <w:sz w:val="19"/>
                <w:szCs w:val="19"/>
              </w:rPr>
              <w:t xml:space="preserve">Approved</w:t>
            </w:r>
          </w:p>
        </w:tc>
        <w:tc>
          <w:tcPr>
            <w:tcW w:type="dxa" w:w="63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Admin has approved. Support to send response to MUA.</w:t>
            </w:r>
          </w:p>
        </w:tc>
      </w:tr>
      <w:tr>
        <w:tc>
          <w:tcPr>
            <w:tcW w:type="dxa" w:w="27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left"/>
            </w:pPr>
            <w:r>
              <w:rPr>
                <w:rFonts w:ascii="Arial" w:cs="Arial" w:eastAsia="Arial" w:hAnsi="Arial"/>
                <w:b/>
                <w:bCs/>
                <w:color w:val="000000"/>
                <w:sz w:val="19"/>
                <w:szCs w:val="19"/>
              </w:rPr>
              <w:t xml:space="preserve">Closed</w:t>
            </w:r>
          </w:p>
        </w:tc>
        <w:tc>
          <w:tcPr>
            <w:tcW w:type="dxa" w:w="63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Sent and resolved. Record preserved on MUA profile.</w:t>
            </w:r>
          </w:p>
        </w:tc>
      </w:tr>
    </w:tbl>
    <w:p>
      <w:r>
        <w:rPr>
          <w:sz w:val="20"/>
          <w:szCs w:val="20"/>
        </w:rPr>
        <w:t xml:space="preserve"/>
      </w:r>
    </w:p>
    <w:p>
      <w:pPr>
        <w:pStyle w:val="Heading2"/>
        <w:spacing w:after="120" w:before="240"/>
      </w:pPr>
      <w:r>
        <w:rPr>
          <w:rFonts w:ascii="Arial" w:cs="Arial" w:eastAsia="Arial" w:hAnsi="Arial"/>
          <w:b/>
          <w:bCs/>
          <w:color w:val="0D7377"/>
          <w:sz w:val="26"/>
          <w:szCs w:val="26"/>
        </w:rPr>
        <w:t xml:space="preserve">Urgency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left"/>
            </w:pPr>
            <w:r>
              <w:rPr>
                <w:rFonts w:ascii="Arial" w:cs="Arial" w:eastAsia="Arial" w:hAnsi="Arial"/>
                <w:b/>
                <w:bCs/>
                <w:color w:val="000000"/>
                <w:sz w:val="19"/>
                <w:szCs w:val="19"/>
              </w:rPr>
              <w:t xml:space="preserve">High</w:t>
            </w:r>
          </w:p>
        </w:tc>
        <w:tc>
          <w:tcPr>
            <w:tcW w:type="dxa" w:w="63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24h response target. Auto-applied to all legal-risk tickets. Owner notified.</w:t>
            </w:r>
          </w:p>
        </w:tc>
      </w:tr>
      <w:tr>
        <w:tc>
          <w:tcPr>
            <w:tcW w:type="dxa" w:w="27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left"/>
            </w:pPr>
            <w:r>
              <w:rPr>
                <w:rFonts w:ascii="Arial" w:cs="Arial" w:eastAsia="Arial" w:hAnsi="Arial"/>
                <w:b/>
                <w:bCs/>
                <w:color w:val="000000"/>
                <w:sz w:val="19"/>
                <w:szCs w:val="19"/>
              </w:rPr>
              <w:t xml:space="preserve">Medium</w:t>
            </w:r>
          </w:p>
        </w:tc>
        <w:tc>
          <w:tcPr>
            <w:tcW w:type="dxa" w:w="63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48h response target. Default for most operational complaints.</w:t>
            </w:r>
          </w:p>
        </w:tc>
      </w:tr>
      <w:tr>
        <w:tc>
          <w:tcPr>
            <w:tcW w:type="dxa" w:w="27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left"/>
            </w:pPr>
            <w:r>
              <w:rPr>
                <w:rFonts w:ascii="Arial" w:cs="Arial" w:eastAsia="Arial" w:hAnsi="Arial"/>
                <w:b/>
                <w:bCs/>
                <w:color w:val="000000"/>
                <w:sz w:val="19"/>
                <w:szCs w:val="19"/>
              </w:rPr>
              <w:t xml:space="preserve">Low</w:t>
            </w:r>
          </w:p>
        </w:tc>
        <w:tc>
          <w:tcPr>
            <w:tcW w:type="dxa" w:w="63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72h response target. Account queries, general information requests.</w:t>
            </w:r>
          </w:p>
        </w:tc>
      </w:tr>
    </w:tbl>
    <w:p>
      <w:r>
        <w:rPr>
          <w:sz w:val="20"/>
          <w:szCs w:val="20"/>
        </w:rPr>
        <w:t xml:space="preserve"/>
      </w:r>
    </w:p>
    <w:p>
      <w:pPr>
        <w:pStyle w:val="Heading2"/>
        <w:spacing w:after="120" w:before="240"/>
      </w:pPr>
      <w:r>
        <w:rPr>
          <w:rFonts w:ascii="Arial" w:cs="Arial" w:eastAsia="Arial" w:hAnsi="Arial"/>
          <w:b/>
          <w:bCs/>
          <w:color w:val="0D7377"/>
          <w:sz w:val="26"/>
          <w:szCs w:val="26"/>
        </w:rPr>
        <w:t xml:space="preserve">AI Panel — Support vs Admin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left"/>
            </w:pPr>
            <w:r>
              <w:rPr>
                <w:rFonts w:ascii="Arial" w:cs="Arial" w:eastAsia="Arial" w:hAnsi="Arial"/>
                <w:b/>
                <w:bCs/>
                <w:color w:val="000000"/>
                <w:sz w:val="19"/>
                <w:szCs w:val="19"/>
              </w:rPr>
              <w:t xml:space="preserve">Support Mode</w:t>
            </w:r>
          </w:p>
        </w:tc>
        <w:tc>
          <w:tcPr>
            <w:tcW w:type="dxa" w:w="63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Generates a full draft outbound response based on template, RM input, and ledger data. Support reviews and submits to Admin.</w:t>
            </w:r>
          </w:p>
        </w:tc>
      </w:tr>
      <w:tr>
        <w:tc>
          <w:tcPr>
            <w:tcW w:type="dxa" w:w="27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left"/>
            </w:pPr>
            <w:r>
              <w:rPr>
                <w:rFonts w:ascii="Arial" w:cs="Arial" w:eastAsia="Arial" w:hAnsi="Arial"/>
                <w:b/>
                <w:bCs/>
                <w:color w:val="000000"/>
                <w:sz w:val="19"/>
                <w:szCs w:val="19"/>
              </w:rPr>
              <w:t xml:space="preserve">Admin Mode</w:t>
            </w:r>
          </w:p>
        </w:tc>
        <w:tc>
          <w:tcPr>
            <w:tcW w:type="dxa" w:w="63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Reviews compiled response for tone, completeness, legal risk, and adequacy. Provides guidance on difficult or sensitive complaints. Suggests revisions.</w:t>
            </w:r>
          </w:p>
        </w:tc>
      </w:tr>
      <w:tr>
        <w:tc>
          <w:tcPr>
            <w:tcW w:type="dxa" w:w="2700"/>
            <w:tcBorders>
              <w:top w:val="single" w:color="CBD5E1" w:sz="1"/>
              <w:left w:val="single" w:color="CBD5E1" w:sz="1"/>
              <w:bottom w:val="single" w:color="CBD5E1" w:sz="1"/>
              <w:right w:val="single" w:color="CBD5E1" w:sz="1"/>
            </w:tcBorders>
            <w:shd w:fill="E8EDF4" w:val="clear"/>
            <w:tcMar>
              <w:top w:type="dxa" w:w="100"/>
              <w:left w:type="dxa" w:w="140"/>
              <w:bottom w:type="dxa" w:w="100"/>
              <w:right w:type="dxa" w:w="140"/>
            </w:tcMar>
            <w:vAlign w:val="top"/>
          </w:tcPr>
          <w:p>
            <w:pPr>
              <w:jc w:val="left"/>
            </w:pPr>
            <w:r>
              <w:rPr>
                <w:rFonts w:ascii="Arial" w:cs="Arial" w:eastAsia="Arial" w:hAnsi="Arial"/>
                <w:b/>
                <w:bCs/>
                <w:color w:val="000000"/>
                <w:sz w:val="19"/>
                <w:szCs w:val="19"/>
              </w:rPr>
              <w:t xml:space="preserve">Both Modes</w:t>
            </w:r>
          </w:p>
        </w:tc>
        <w:tc>
          <w:tcPr>
            <w:tcW w:type="dxa" w:w="6326"/>
            <w:tcBorders>
              <w:top w:val="single" w:color="CBD5E1" w:sz="1"/>
              <w:left w:val="single" w:color="CBD5E1" w:sz="1"/>
              <w:bottom w:val="single" w:color="CBD5E1" w:sz="1"/>
              <w:right w:val="single" w:color="CBD5E1" w:sz="1"/>
            </w:tcBorders>
            <w:tcMar>
              <w:top w:type="dxa" w:w="100"/>
              <w:left w:type="dxa" w:w="140"/>
              <w:bottom w:type="dxa" w:w="100"/>
              <w:right w:type="dxa" w:w="140"/>
            </w:tcMar>
            <w:vAlign w:val="top"/>
          </w:tcPr>
          <w:p>
            <w:pPr>
              <w:jc w:val="left"/>
            </w:pPr>
            <w:r>
              <w:rPr>
                <w:rFonts w:ascii="Arial" w:cs="Arial" w:eastAsia="Arial" w:hAnsi="Arial"/>
                <w:b w:val="false"/>
                <w:bCs w:val="false"/>
                <w:color w:val="000000"/>
                <w:sz w:val="19"/>
                <w:szCs w:val="19"/>
              </w:rPr>
              <w:t xml:space="preserve">AI auto-reads full ticket context. No manual input required. Every AI interaction is logged as an internal comment.</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80"/>
    </w:pPr>
    <w:r>
      <w:rPr>
        <w:rFonts w:ascii="Arial" w:cs="Arial" w:eastAsia="Arial" w:hAnsi="Arial"/>
        <w:color w:val="64748B"/>
        <w:sz w:val="16"/>
        <w:szCs w:val="16"/>
      </w:rPr>
      <w:t xml:space="preserve">Internal Use Only  —  Olready 2025</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spacing w:after="120"/>
    </w:pPr>
    <w:r>
      <w:rPr>
        <w:rFonts w:ascii="Arial" w:cs="Arial" w:eastAsia="Arial" w:hAnsi="Arial"/>
        <w:b/>
        <w:bCs/>
        <w:color w:val="1B2A4A"/>
        <w:sz w:val="18"/>
        <w:szCs w:val="18"/>
      </w:rPr>
      <w:t xml:space="preserve">Olready CRM</w:t>
    </w:r>
    <w:r>
      <w:rPr>
        <w:rFonts w:ascii="Arial" w:cs="Arial" w:eastAsia="Arial" w:hAnsi="Arial"/>
        <w:color w:val="64748B"/>
        <w:sz w:val="16"/>
        <w:szCs w:val="16"/>
      </w:rPr>
      <w:t xml:space="preserve">	Ticketing &amp; Grievance System  |  Soft PRD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D7377"/>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2026-05-21T09:14:54.005Z</dcterms:created>
  <dcterms:modified xsi:type="dcterms:W3CDTF">2026-05-21T09:14:54.005Z</dcterms:modified>
</cp:coreProperties>
</file>

<file path=docProps/custom.xml><?xml version="1.0" encoding="utf-8"?>
<Properties xmlns="http://schemas.openxmlformats.org/officeDocument/2006/custom-properties" xmlns:vt="http://schemas.openxmlformats.org/officeDocument/2006/docPropsVTypes"/>
</file>