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91CE8" w14:textId="77777777" w:rsidR="00656232" w:rsidRDefault="00656232">
      <w:pPr>
        <w:pStyle w:val="a8"/>
        <w:rPr>
          <w:rFonts w:ascii="한컴바탕" w:eastAsia="한컴바탕" w:cs="한컴바탕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11"/>
        <w:gridCol w:w="7425"/>
      </w:tblGrid>
      <w:tr w:rsidR="00656232" w14:paraId="0AE558CF" w14:textId="77777777">
        <w:trPr>
          <w:trHeight w:val="842"/>
        </w:trPr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FB6E7DF" w14:textId="77777777" w:rsidR="00656232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sz w:val="26"/>
                <w:szCs w:val="26"/>
              </w:rPr>
            </w:pPr>
            <w:r>
              <w:rPr>
                <w:rFonts w:ascii="맑은 고딕" w:eastAsia="맑은 고딕" w:cs="맑은 고딕"/>
                <w:sz w:val="26"/>
                <w:szCs w:val="26"/>
              </w:rPr>
              <w:t>작품명</w:t>
            </w:r>
          </w:p>
        </w:tc>
        <w:tc>
          <w:tcPr>
            <w:tcW w:w="7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widowControl/>
              <w:spacing w:before="0" w:after="0" w:line="300" w:lineRule="auto"/>
              <w:jc w:val="left"/>
            </w:pPr>
            <w:r>
              <w:rPr>
                <w:rFonts w:ascii="Arial" w:hAnsi="Arial" w:eastAsia="맑은 고딕" w:cs="Arial"/>
                <w:color w:val="000000"/>
                <w:sz w:val="22"/>
                <w:szCs w:val="22"/>
              </w:rPr>
              <w:t>침수퇴로 AI 공공 재난안전데이터 기반 실시간 침수 안전대피 경로 추천 서비스</w:t>
            </w:r>
          </w:p>
        </w:tc>
      </w:tr>
      <w:tr w:rsidR="00656232" w14:paraId="21F81AAB" w14:textId="77777777">
        <w:trPr>
          <w:trHeight w:val="13014"/>
        </w:trPr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top"/>
          </w:tcPr>
          <w:p w14:paraId="1B8CC6DB" w14:textId="77777777" w:rsidR="00656232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sz w:val="26"/>
                <w:szCs w:val="26"/>
              </w:rPr>
            </w:pPr>
            <w:r>
              <w:rPr>
                <w:rFonts w:ascii="맑은 고딕" w:eastAsia="맑은 고딕" w:cs="맑은 고딕"/>
                <w:sz w:val="26"/>
                <w:szCs w:val="26"/>
              </w:rPr>
              <w:lastRenderedPageBreak/>
              <w:t>작품 요약</w:t>
            </w:r>
          </w:p>
        </w:tc>
        <w:tc>
          <w:tcPr>
            <w:tcW w:w="7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top"/>
          </w:tcPr>
          <w:p>
            <w:pPr>
              <w:widowControl/>
              <w:spacing w:before="10" w:after="45" w:line="270" w:lineRule="auto"/>
              <w:keepNext/>
            </w:pPr>
            <w:r>
              <w:rPr>
                <w:rFonts w:ascii="Arial" w:hAnsi="Arial" w:eastAsia="맑은 고딕" w:cs="Arial"/>
                <w:b/>
                <w:bCs/>
                <w:color w:val="000000"/>
                <w:sz w:val="24"/>
                <w:szCs w:val="24"/>
              </w:rPr>
              <w:t>서비스 개요</w:t>
            </w:r>
          </w:p>
          <w:p>
            <w:pPr>
              <w:widowControl/>
              <w:spacing w:before="0" w:after="55" w:line="265" w:lineRule="auto"/>
            </w:pPr>
            <w:r>
              <w:rPr>
                <w:rFonts w:ascii="Arial" w:hAnsi="Arial" w:eastAsia="맑은 고딕" w:cs="Arial"/>
                <w:color w:val="000000"/>
                <w:sz w:val="19"/>
                <w:szCs w:val="19"/>
              </w:rPr>
              <w:t>침수퇴로 AI는 집중호우·하천 범람 시 사용자의 위치에서 이동 여부와 대피 방향을 판단하도록 돕는 모바일 PWA입니다. 공공 재난데이터와 민간 지도·AI를 연계해 위험 근거, 행동요령, 대피소, 안전 경로와 6시간 전망을 한 흐름으로 제공합니다.</w:t>
            </w:r>
          </w:p>
          <w:p>
            <w:pPr>
              <w:widowControl/>
              <w:spacing w:before="90" w:after="45" w:line="270" w:lineRule="auto"/>
              <w:keepNext/>
            </w:pPr>
            <w:r>
              <w:rPr>
                <w:rFonts w:ascii="Arial" w:hAnsi="Arial" w:eastAsia="맑은 고딕" w:cs="Arial"/>
                <w:b/>
                <w:bCs/>
                <w:color w:val="000000"/>
                <w:sz w:val="24"/>
                <w:szCs w:val="24"/>
              </w:rPr>
              <w:t>해결하려는 사회 문제</w:t>
            </w:r>
          </w:p>
          <w:p>
            <w:pPr>
              <w:widowControl/>
              <w:spacing w:before="0" w:after="55" w:line="265" w:lineRule="auto"/>
            </w:pPr>
            <w:r>
              <w:rPr>
                <w:rFonts w:ascii="Arial" w:hAnsi="Arial" w:eastAsia="맑은 고딕" w:cs="Arial"/>
                <w:color w:val="000000"/>
                <w:sz w:val="19"/>
                <w:szCs w:val="19"/>
              </w:rPr>
              <w:t>재난문자·기상·수위·도로 통제·대피소 정보가 흩어져 있어 시민이 실제 이동 경로의 위험을 판단하기 어렵습니다. 지하차도와 저지대는 같은 지역 안에서도 위험 차이가 커 최단거리 안내만으로는 부족합니다.</w:t>
            </w:r>
          </w:p>
          <w:p>
            <w:pPr>
              <w:widowControl/>
              <w:spacing w:before="90" w:after="45" w:line="270" w:lineRule="auto"/>
              <w:keepNext/>
            </w:pPr>
            <w:r>
              <w:rPr>
                <w:rFonts w:ascii="Arial" w:hAnsi="Arial" w:eastAsia="맑은 고딕" w:cs="Arial"/>
                <w:b/>
                <w:bCs/>
                <w:color w:val="000000"/>
                <w:sz w:val="24"/>
                <w:szCs w:val="24"/>
              </w:rPr>
              <w:t>서비스 작동 방식</w:t>
            </w:r>
          </w:p>
          <w:p>
            <w:pPr>
              <w:widowControl/>
              <w:spacing w:before="0" w:after="35" w:line="260" w:lineRule="auto"/>
              <w:ind w:left="280" w:hanging="160"/>
            </w:pPr>
            <w:r>
              <w:rPr>
                <w:rFonts w:ascii="Arial" w:hAnsi="Arial" w:eastAsia="맑은 고딕" w:cs="Arial"/>
                <w:b/>
                <w:bCs/>
                <w:color w:val="3226A8"/>
                <w:sz w:val="19"/>
                <w:szCs w:val="19"/>
              </w:rPr>
              <w:t xml:space="preserve">• </w:t>
            </w:r>
            <w:r>
              <w:rPr>
                <w:rFonts w:ascii="Arial" w:hAnsi="Arial" w:eastAsia="맑은 고딕" w:cs="Arial"/>
                <w:color w:val="000000"/>
                <w:sz w:val="19"/>
                <w:szCs w:val="19"/>
              </w:rPr>
              <w:t>기상청 예보·특보, 홍수통제소 수위·강우, 긴급재난문자와 SafeMap 침수정보로 위치별 위험 점수를 계산합니다.</w:t>
            </w:r>
          </w:p>
          <w:p>
            <w:pPr>
              <w:widowControl/>
              <w:spacing w:before="0" w:after="35" w:line="260" w:lineRule="auto"/>
              <w:ind w:left="280" w:hanging="160"/>
            </w:pPr>
            <w:r>
              <w:rPr>
                <w:rFonts w:ascii="Arial" w:hAnsi="Arial" w:eastAsia="맑은 고딕" w:cs="Arial"/>
                <w:b/>
                <w:bCs/>
                <w:color w:val="3226A8"/>
                <w:sz w:val="19"/>
                <w:szCs w:val="19"/>
              </w:rPr>
              <w:t xml:space="preserve">• </w:t>
            </w:r>
            <w:r>
              <w:rPr>
                <w:rFonts w:ascii="Arial" w:hAnsi="Arial" w:eastAsia="맑은 고딕" w:cs="Arial"/>
                <w:color w:val="000000"/>
                <w:sz w:val="19"/>
                <w:szCs w:val="19"/>
              </w:rPr>
              <w:t>TMAP 보행·NAVER 차량 경로에 침수·통제·지하차도 위험을 반영해 대피소별 안전점수를 비교합니다.</w:t>
            </w:r>
          </w:p>
          <w:p>
            <w:pPr>
              <w:widowControl/>
              <w:spacing w:before="0" w:after="35" w:line="260" w:lineRule="auto"/>
              <w:ind w:left="280" w:hanging="160"/>
            </w:pPr>
            <w:r>
              <w:rPr>
                <w:rFonts w:ascii="Arial" w:hAnsi="Arial" w:eastAsia="맑은 고딕" w:cs="Arial"/>
                <w:b/>
                <w:bCs/>
                <w:color w:val="3226A8"/>
                <w:sz w:val="19"/>
                <w:szCs w:val="19"/>
              </w:rPr>
              <w:t xml:space="preserve">• </w:t>
            </w:r>
            <w:r>
              <w:rPr>
                <w:rFonts w:ascii="Arial" w:hAnsi="Arial" w:eastAsia="맑은 고딕" w:cs="Arial"/>
                <w:color w:val="000000"/>
                <w:sz w:val="19"/>
                <w:szCs w:val="19"/>
              </w:rPr>
              <w:t>근거의 기준시각과 데이터 상태를 표시하고 즉시 행동, 대체 대피소와 6시간 전망을 안내합니다.</w:t>
            </w:r>
          </w:p>
          <w:p>
            <w:pPr>
              <w:widowControl/>
              <w:spacing w:before="0" w:after="35" w:line="260" w:lineRule="auto"/>
              <w:ind w:left="280" w:hanging="160"/>
            </w:pPr>
            <w:r>
              <w:rPr>
                <w:rFonts w:ascii="Arial" w:hAnsi="Arial" w:eastAsia="맑은 고딕" w:cs="Arial"/>
                <w:b/>
                <w:bCs/>
                <w:color w:val="3226A8"/>
                <w:sz w:val="19"/>
                <w:szCs w:val="19"/>
              </w:rPr>
              <w:t xml:space="preserve">• </w:t>
            </w:r>
            <w:r>
              <w:rPr>
                <w:rFonts w:ascii="Arial" w:hAnsi="Arial" w:eastAsia="맑은 고딕" w:cs="Arial"/>
                <w:color w:val="000000"/>
                <w:sz w:val="19"/>
                <w:szCs w:val="19"/>
              </w:rPr>
              <w:t>규칙 기반 엔진이 위험도와 경로 순위를 정하고 Gemini가 계산 근거를 설명합니다.</w:t>
            </w:r>
          </w:p>
          <w:p>
            <w:pPr>
              <w:widowControl/>
              <w:spacing w:before="90" w:after="45" w:line="270" w:lineRule="auto"/>
              <w:keepNext/>
            </w:pPr>
            <w:r>
              <w:rPr>
                <w:rFonts w:ascii="Arial" w:hAnsi="Arial" w:eastAsia="맑은 고딕" w:cs="Arial"/>
                <w:b/>
                <w:bCs/>
                <w:color w:val="000000"/>
                <w:sz w:val="24"/>
                <w:szCs w:val="24"/>
              </w:rPr>
              <w:t>민관 데이터 활용 구조</w:t>
            </w:r>
          </w:p>
          <w:tbl>
            <w:tblPr>
              <w:tblW w:w="6900" w:type="dxa"/>
              <w:tblLayout w:type="fixed"/>
              <w:tblBorders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  <w:insideH w:val="single" w:sz="4" w:space="0" w:color="D9D9D9"/>
                <w:insideV w:val="single" w:sz="4" w:space="0" w:color="D9D9D9"/>
              </w:tblBorders>
            </w:tblPr>
            <w:tblGrid>
              <w:gridCol w:w="1350"/>
              <w:gridCol w:w="2650"/>
              <w:gridCol w:w="2900"/>
            </w:tblGrid>
            <w:tr>
              <w:tc>
                <w:tcPr>
                  <w:tcW w:w="1350" w:type="dxa"/>
                  <w:tcMar>
                    <w:top w:w="90" w:type="dxa"/>
                    <w:left w:w="100" w:type="dxa"/>
                    <w:bottom w:w="90" w:type="dxa"/>
                    <w:right w:w="100" w:type="dxa"/>
                  </w:tcMar>
                  <w:shd w:val="clear" w:color="auto" w:fill="3226A8"/>
                  <w:vAlign w:val="center"/>
                </w:tcPr>
                <w:p>
                  <w:pPr>
                    <w:widowControl/>
                    <w:spacing w:before="0" w:after="0" w:line="260" w:lineRule="auto"/>
                    <w:jc w:val="center"/>
                  </w:pPr>
                  <w:r>
                    <w:rPr>
                      <w:rFonts w:ascii="Arial" w:hAnsi="Arial" w:eastAsia="맑은 고딕" w:cs="Arial"/>
                      <w:b/>
                      <w:bCs/>
                      <w:color w:val="FFFFFF"/>
                      <w:sz w:val="18"/>
                      <w:szCs w:val="18"/>
                    </w:rPr>
                    <w:t>구분</w:t>
                  </w:r>
                </w:p>
              </w:tc>
              <w:tc>
                <w:tcPr>
                  <w:tcW w:w="2650" w:type="dxa"/>
                  <w:tcMar>
                    <w:top w:w="90" w:type="dxa"/>
                    <w:left w:w="100" w:type="dxa"/>
                    <w:bottom w:w="90" w:type="dxa"/>
                    <w:right w:w="100" w:type="dxa"/>
                  </w:tcMar>
                  <w:shd w:val="clear" w:color="auto" w:fill="3226A8"/>
                  <w:vAlign w:val="center"/>
                </w:tcPr>
                <w:p>
                  <w:pPr>
                    <w:widowControl/>
                    <w:spacing w:before="0" w:after="0" w:line="260" w:lineRule="auto"/>
                    <w:jc w:val="center"/>
                  </w:pPr>
                  <w:r>
                    <w:rPr>
                      <w:rFonts w:ascii="Arial" w:hAnsi="Arial" w:eastAsia="맑은 고딕" w:cs="Arial"/>
                      <w:b/>
                      <w:bCs/>
                      <w:color w:val="FFFFFF"/>
                      <w:sz w:val="18"/>
                      <w:szCs w:val="18"/>
                    </w:rPr>
                    <w:t>활용 자원</w:t>
                  </w:r>
                </w:p>
              </w:tc>
              <w:tc>
                <w:tcPr>
                  <w:tcW w:w="2900" w:type="dxa"/>
                  <w:tcMar>
                    <w:top w:w="90" w:type="dxa"/>
                    <w:left w:w="100" w:type="dxa"/>
                    <w:bottom w:w="90" w:type="dxa"/>
                    <w:right w:w="100" w:type="dxa"/>
                  </w:tcMar>
                  <w:shd w:val="clear" w:color="auto" w:fill="3226A8"/>
                  <w:vAlign w:val="center"/>
                </w:tcPr>
                <w:p>
                  <w:pPr>
                    <w:widowControl/>
                    <w:spacing w:before="0" w:after="0" w:line="260" w:lineRule="auto"/>
                    <w:jc w:val="center"/>
                  </w:pPr>
                  <w:r>
                    <w:rPr>
                      <w:rFonts w:ascii="Arial" w:hAnsi="Arial" w:eastAsia="맑은 고딕" w:cs="Arial"/>
                      <w:b/>
                      <w:bCs/>
                      <w:color w:val="FFFFFF"/>
                      <w:sz w:val="18"/>
                      <w:szCs w:val="18"/>
                    </w:rPr>
                    <w:t>서비스 역할</w:t>
                  </w:r>
                </w:p>
              </w:tc>
            </w:tr>
            <w:tr>
              <w:tc>
                <w:tcPr>
                  <w:tcW w:w="1350" w:type="dxa"/>
                  <w:tcMar>
                    <w:top w:w="90" w:type="dxa"/>
                    <w:left w:w="100" w:type="dxa"/>
                    <w:bottom w:w="90" w:type="dxa"/>
                    <w:right w:w="100" w:type="dxa"/>
                  </w:tcMar>
                  <w:shd w:val="clear" w:color="auto" w:fill="FFFFFF"/>
                  <w:vAlign w:val="center"/>
                </w:tcPr>
                <w:p>
                  <w:pPr>
                    <w:widowControl/>
                    <w:spacing w:before="0" w:after="0" w:line="260" w:lineRule="auto"/>
                    <w:jc w:val="center"/>
                  </w:pPr>
                  <w:r>
                    <w:rPr>
                      <w:rFonts w:ascii="Arial" w:hAnsi="Arial" w:eastAsia="맑은 고딕" w:cs="Arial"/>
                      <w:b/>
                      <w:bCs/>
                      <w:color w:val="000000"/>
                      <w:sz w:val="18"/>
                      <w:szCs w:val="18"/>
                    </w:rPr>
                    <w:t>공공 데이터</w:t>
                  </w:r>
                </w:p>
              </w:tc>
              <w:tc>
                <w:tcPr>
                  <w:tcW w:w="2650" w:type="dxa"/>
                  <w:tcMar>
                    <w:top w:w="90" w:type="dxa"/>
                    <w:left w:w="100" w:type="dxa"/>
                    <w:bottom w:w="90" w:type="dxa"/>
                    <w:right w:w="100" w:type="dxa"/>
                  </w:tcMar>
                  <w:shd w:val="clear" w:color="auto" w:fill="FFFFFF"/>
                  <w:vAlign w:val="center"/>
                </w:tcPr>
                <w:p>
                  <w:pPr>
                    <w:widowControl/>
                    <w:spacing w:before="0" w:after="0" w:line="260" w:lineRule="auto"/>
                    <w:jc w:val="left"/>
                  </w:pPr>
                  <w:r>
                    <w:rPr>
                      <w:rFonts w:ascii="Arial" w:hAnsi="Arial" w:eastAsia="맑은 고딕" w:cs="Arial"/>
                      <w:color w:val="000000"/>
                      <w:sz w:val="18"/>
                      <w:szCs w:val="18"/>
                    </w:rPr>
                    <w:t>행정안전부 재난안전데이터 공유플랫폼</w:t>
                  </w:r>
                </w:p>
              </w:tc>
              <w:tc>
                <w:tcPr>
                  <w:tcW w:w="2900" w:type="dxa"/>
                  <w:tcMar>
                    <w:top w:w="90" w:type="dxa"/>
                    <w:left w:w="100" w:type="dxa"/>
                    <w:bottom w:w="90" w:type="dxa"/>
                    <w:right w:w="100" w:type="dxa"/>
                  </w:tcMar>
                  <w:shd w:val="clear" w:color="auto" w:fill="FFFFFF"/>
                  <w:vAlign w:val="center"/>
                </w:tcPr>
                <w:p>
                  <w:pPr>
                    <w:widowControl/>
                    <w:spacing w:before="0" w:after="0" w:line="260" w:lineRule="auto"/>
                    <w:jc w:val="left"/>
                  </w:pPr>
                  <w:r>
                    <w:rPr>
                      <w:rFonts w:ascii="Arial" w:hAnsi="Arial" w:eastAsia="맑은 고딕" w:cs="Arial"/>
                      <w:color w:val="000000"/>
                      <w:sz w:val="18"/>
                      <w:szCs w:val="18"/>
                    </w:rPr>
                    <w:t>긴급재난문자와 대피 판단 근거</w:t>
                  </w:r>
                </w:p>
              </w:tc>
            </w:tr>
            <w:tr>
              <w:tc>
                <w:tcPr>
                  <w:tcW w:w="1350" w:type="dxa"/>
                  <w:tcMar>
                    <w:top w:w="90" w:type="dxa"/>
                    <w:left w:w="100" w:type="dxa"/>
                    <w:bottom w:w="90" w:type="dxa"/>
                    <w:right w:w="100" w:type="dxa"/>
                  </w:tcMar>
                  <w:shd w:val="clear" w:color="auto" w:fill="F3F6FC"/>
                  <w:vAlign w:val="center"/>
                </w:tcPr>
                <w:p>
                  <w:pPr>
                    <w:widowControl/>
                    <w:spacing w:before="0" w:after="0" w:line="260" w:lineRule="auto"/>
                    <w:jc w:val="center"/>
                  </w:pPr>
                  <w:r>
                    <w:rPr>
                      <w:rFonts w:ascii="Arial" w:hAnsi="Arial" w:eastAsia="맑은 고딕" w:cs="Arial"/>
                      <w:b/>
                      <w:bCs/>
                      <w:color w:val="000000"/>
                      <w:sz w:val="18"/>
                      <w:szCs w:val="18"/>
                    </w:rPr>
                    <w:t>공공 데이터</w:t>
                  </w:r>
                </w:p>
              </w:tc>
              <w:tc>
                <w:tcPr>
                  <w:tcW w:w="2650" w:type="dxa"/>
                  <w:tcMar>
                    <w:top w:w="90" w:type="dxa"/>
                    <w:left w:w="100" w:type="dxa"/>
                    <w:bottom w:w="90" w:type="dxa"/>
                    <w:right w:w="100" w:type="dxa"/>
                  </w:tcMar>
                  <w:shd w:val="clear" w:color="auto" w:fill="F3F6FC"/>
                  <w:vAlign w:val="center"/>
                </w:tcPr>
                <w:p>
                  <w:pPr>
                    <w:widowControl/>
                    <w:spacing w:before="0" w:after="0" w:line="260" w:lineRule="auto"/>
                    <w:jc w:val="left"/>
                  </w:pPr>
                  <w:r>
                    <w:rPr>
                      <w:rFonts w:ascii="Arial" w:hAnsi="Arial" w:eastAsia="맑은 고딕" w:cs="Arial"/>
                      <w:color w:val="000000"/>
                      <w:sz w:val="18"/>
                      <w:szCs w:val="18"/>
                    </w:rPr>
                    <w:t>기상청·홍수통제소·SafeMap</w:t>
                  </w:r>
                </w:p>
              </w:tc>
              <w:tc>
                <w:tcPr>
                  <w:tcW w:w="2900" w:type="dxa"/>
                  <w:tcMar>
                    <w:top w:w="90" w:type="dxa"/>
                    <w:left w:w="100" w:type="dxa"/>
                    <w:bottom w:w="90" w:type="dxa"/>
                    <w:right w:w="100" w:type="dxa"/>
                  </w:tcMar>
                  <w:shd w:val="clear" w:color="auto" w:fill="F3F6FC"/>
                  <w:vAlign w:val="center"/>
                </w:tcPr>
                <w:p>
                  <w:pPr>
                    <w:widowControl/>
                    <w:spacing w:before="0" w:after="0" w:line="260" w:lineRule="auto"/>
                    <w:jc w:val="left"/>
                  </w:pPr>
                  <w:r>
                    <w:rPr>
                      <w:rFonts w:ascii="Arial" w:hAnsi="Arial" w:eastAsia="맑은 고딕" w:cs="Arial"/>
                      <w:color w:val="000000"/>
                      <w:sz w:val="18"/>
                      <w:szCs w:val="18"/>
                    </w:rPr>
                    <w:t>강우·특보·수위와 침수 취약 근거</w:t>
                  </w:r>
                </w:p>
              </w:tc>
            </w:tr>
            <w:tr>
              <w:tc>
                <w:tcPr>
                  <w:tcW w:w="1350" w:type="dxa"/>
                  <w:tcMar>
                    <w:top w:w="90" w:type="dxa"/>
                    <w:left w:w="100" w:type="dxa"/>
                    <w:bottom w:w="90" w:type="dxa"/>
                    <w:right w:w="100" w:type="dxa"/>
                  </w:tcMar>
                  <w:shd w:val="clear" w:color="auto" w:fill="FFFFFF"/>
                  <w:vAlign w:val="center"/>
                </w:tcPr>
                <w:p>
                  <w:pPr>
                    <w:widowControl/>
                    <w:spacing w:before="0" w:after="0" w:line="260" w:lineRule="auto"/>
                    <w:jc w:val="center"/>
                  </w:pPr>
                  <w:r>
                    <w:rPr>
                      <w:rFonts w:ascii="Arial" w:hAnsi="Arial" w:eastAsia="맑은 고딕" w:cs="Arial"/>
                      <w:b/>
                      <w:bCs/>
                      <w:color w:val="000000"/>
                      <w:sz w:val="18"/>
                      <w:szCs w:val="18"/>
                    </w:rPr>
                    <w:t>민간 기술</w:t>
                  </w:r>
                </w:p>
              </w:tc>
              <w:tc>
                <w:tcPr>
                  <w:tcW w:w="2650" w:type="dxa"/>
                  <w:tcMar>
                    <w:top w:w="90" w:type="dxa"/>
                    <w:left w:w="100" w:type="dxa"/>
                    <w:bottom w:w="90" w:type="dxa"/>
                    <w:right w:w="100" w:type="dxa"/>
                  </w:tcMar>
                  <w:shd w:val="clear" w:color="auto" w:fill="FFFFFF"/>
                  <w:vAlign w:val="center"/>
                </w:tcPr>
                <w:p>
                  <w:pPr>
                    <w:widowControl/>
                    <w:spacing w:before="0" w:after="0" w:line="260" w:lineRule="auto"/>
                    <w:jc w:val="left"/>
                  </w:pPr>
                  <w:r>
                    <w:rPr>
                      <w:rFonts w:ascii="Arial" w:hAnsi="Arial" w:eastAsia="맑은 고딕" w:cs="Arial"/>
                      <w:color w:val="000000"/>
                      <w:sz w:val="18"/>
                      <w:szCs w:val="18"/>
                    </w:rPr>
                    <w:t>TMAP·NAVER 지도</w:t>
                  </w:r>
                </w:p>
              </w:tc>
              <w:tc>
                <w:tcPr>
                  <w:tcW w:w="2900" w:type="dxa"/>
                  <w:tcMar>
                    <w:top w:w="90" w:type="dxa"/>
                    <w:left w:w="100" w:type="dxa"/>
                    <w:bottom w:w="90" w:type="dxa"/>
                    <w:right w:w="100" w:type="dxa"/>
                  </w:tcMar>
                  <w:shd w:val="clear" w:color="auto" w:fill="FFFFFF"/>
                  <w:vAlign w:val="center"/>
                </w:tcPr>
                <w:p>
                  <w:pPr>
                    <w:widowControl/>
                    <w:spacing w:before="0" w:after="0" w:line="260" w:lineRule="auto"/>
                    <w:jc w:val="left"/>
                  </w:pPr>
                  <w:r>
                    <w:rPr>
                      <w:rFonts w:ascii="Arial" w:hAnsi="Arial" w:eastAsia="맑은 고딕" w:cs="Arial"/>
                      <w:color w:val="000000"/>
                      <w:sz w:val="18"/>
                      <w:szCs w:val="18"/>
                    </w:rPr>
                    <w:t>보행·차량 경로 계산과 지도 시각화</w:t>
                  </w:r>
                </w:p>
              </w:tc>
            </w:tr>
            <w:tr>
              <w:tc>
                <w:tcPr>
                  <w:tcW w:w="1350" w:type="dxa"/>
                  <w:tcMar>
                    <w:top w:w="90" w:type="dxa"/>
                    <w:left w:w="100" w:type="dxa"/>
                    <w:bottom w:w="90" w:type="dxa"/>
                    <w:right w:w="100" w:type="dxa"/>
                  </w:tcMar>
                  <w:shd w:val="clear" w:color="auto" w:fill="F3F6FC"/>
                  <w:vAlign w:val="center"/>
                </w:tcPr>
                <w:p>
                  <w:pPr>
                    <w:widowControl/>
                    <w:spacing w:before="0" w:after="0" w:line="260" w:lineRule="auto"/>
                    <w:jc w:val="center"/>
                  </w:pPr>
                  <w:r>
                    <w:rPr>
                      <w:rFonts w:ascii="Arial" w:hAnsi="Arial" w:eastAsia="맑은 고딕" w:cs="Arial"/>
                      <w:b/>
                      <w:bCs/>
                      <w:color w:val="000000"/>
                      <w:sz w:val="18"/>
                      <w:szCs w:val="18"/>
                    </w:rPr>
                    <w:t>민간 기술</w:t>
                  </w:r>
                </w:p>
              </w:tc>
              <w:tc>
                <w:tcPr>
                  <w:tcW w:w="2650" w:type="dxa"/>
                  <w:tcMar>
                    <w:top w:w="90" w:type="dxa"/>
                    <w:left w:w="100" w:type="dxa"/>
                    <w:bottom w:w="90" w:type="dxa"/>
                    <w:right w:w="100" w:type="dxa"/>
                  </w:tcMar>
                  <w:shd w:val="clear" w:color="auto" w:fill="F3F6FC"/>
                  <w:vAlign w:val="center"/>
                </w:tcPr>
                <w:p>
                  <w:pPr>
                    <w:widowControl/>
                    <w:spacing w:before="0" w:after="0" w:line="260" w:lineRule="auto"/>
                    <w:jc w:val="left"/>
                  </w:pPr>
                  <w:r>
                    <w:rPr>
                      <w:rFonts w:ascii="Arial" w:hAnsi="Arial" w:eastAsia="맑은 고딕" w:cs="Arial"/>
                      <w:color w:val="000000"/>
                      <w:sz w:val="18"/>
                      <w:szCs w:val="18"/>
                    </w:rPr>
                    <w:t>Vertex AI Gemini</w:t>
                  </w:r>
                </w:p>
              </w:tc>
              <w:tc>
                <w:tcPr>
                  <w:tcW w:w="2900" w:type="dxa"/>
                  <w:tcMar>
                    <w:top w:w="90" w:type="dxa"/>
                    <w:left w:w="100" w:type="dxa"/>
                    <w:bottom w:w="90" w:type="dxa"/>
                    <w:right w:w="100" w:type="dxa"/>
                  </w:tcMar>
                  <w:shd w:val="clear" w:color="auto" w:fill="F3F6FC"/>
                  <w:vAlign w:val="center"/>
                </w:tcPr>
                <w:p>
                  <w:pPr>
                    <w:widowControl/>
                    <w:spacing w:before="0" w:after="0" w:line="260" w:lineRule="auto"/>
                    <w:jc w:val="left"/>
                  </w:pPr>
                  <w:r>
                    <w:rPr>
                      <w:rFonts w:ascii="Arial" w:hAnsi="Arial" w:eastAsia="맑은 고딕" w:cs="Arial"/>
                      <w:color w:val="000000"/>
                      <w:sz w:val="18"/>
                      <w:szCs w:val="18"/>
                    </w:rPr>
                    <w:t>계산 근거를 연결한 행동 안내 설명</w:t>
                  </w:r>
                </w:p>
              </w:tc>
            </w:tr>
          </w:tbl>
          <w:p>
            <w:pPr>
              <w:widowControl/>
              <w:spacing w:before="0" w:after="15" w:line="220" w:lineRule="auto"/>
            </w:pPr>
          </w:p>
          <w:p>
            <w:pPr>
              <w:widowControl/>
              <w:spacing w:before="70" w:after="45" w:line="270" w:lineRule="auto"/>
              <w:keepNext/>
            </w:pPr>
            <w:r>
              <w:rPr>
                <w:rFonts w:ascii="Arial" w:hAnsi="Arial" w:eastAsia="맑은 고딕" w:cs="Arial"/>
                <w:b/>
                <w:bCs/>
                <w:color w:val="000000"/>
                <w:sz w:val="24"/>
                <w:szCs w:val="24"/>
              </w:rPr>
              <w:t>구현 결과와 기대 효과</w:t>
            </w:r>
          </w:p>
          <w:p>
            <w:pPr>
              <w:widowControl/>
              <w:spacing w:before="0" w:after="40" w:line="265" w:lineRule="auto"/>
            </w:pPr>
            <w:r>
              <w:rPr>
                <w:rFonts w:ascii="Arial" w:hAnsi="Arial" w:eastAsia="맑은 고딕" w:cs="Arial"/>
                <w:color w:val="000000"/>
                <w:sz w:val="19"/>
                <w:szCs w:val="19"/>
              </w:rPr>
              <w:t>위험도·행동요령·대피소·경로·위험지도·6시간 전망을 한 화면에 구현했습니다. 시민의 신속한 판단과 지자체 주민 안내를 지원합니다.</w:t>
            </w:r>
          </w:p>
          <w:p>
            <w:r>
              <w:br w:type="page"/>
            </w:r>
          </w:p>
          <w:p>
            <w:pPr>
              <w:widowControl/>
              <w:spacing w:before="0" w:after="45" w:line="270" w:lineRule="auto"/>
              <w:keepNext/>
            </w:pPr>
            <w:r>
              <w:rPr>
                <w:rFonts w:ascii="Arial" w:hAnsi="Arial" w:eastAsia="맑은 고딕" w:cs="Arial"/>
                <w:b/>
                <w:bCs/>
                <w:color w:val="000000"/>
                <w:sz w:val="24"/>
                <w:szCs w:val="24"/>
              </w:rPr>
              <w:t>주요 구현 화면</w:t>
            </w:r>
          </w:p>
          <w:p>
            <w:pPr>
              <w:widowControl/>
              <w:spacing w:before="60" w:after="50" w:line="240" w:lineRule="auto"/>
              <w:jc w:val="center"/>
            </w:pPr>
            <w:r>
              <w:drawing>
                <wp:inline distT="0" distB="0" distL="0" distR="0">
                  <wp:extent cx="3474720" cy="6949440"/>
                  <wp:effectExtent l="0" t="0" r="0" b="0"/>
                  <wp:docPr id="1001" name="screen-01.png" descr="현재 위험도와 즉시 행동 안내. 현재 위험 점수와 시민이 먼저 해야 할 행동을 한 화면에서 확인"/>
                  <wp:cNvGraphicFramePr>
                    <ns2:graphicFrameLocks xmlns:ns2="http://schemas.openxmlformats.org/drawingml/2006/main" noChangeAspect="1"/>
                  </wp:cNvGraphicFramePr>
                  <ns3:graphic xmlns:ns3="http://schemas.openxmlformats.org/drawingml/2006/main">
                    <ns3:graphicData uri="http://schemas.openxmlformats.org/drawingml/2006/picture">
                      <ns4:pic xmlns:ns4="http://schemas.openxmlformats.org/drawingml/2006/picture">
                        <ns4:nvPicPr>
                          <ns4:cNvPr id="0" name="screen-01.png" descr="현재 위험도와 즉시 행동 안내. 현재 위험 점수와 시민이 먼저 해야 할 행동을 한 화면에서 확인"/>
                          <ns4:cNvPicPr/>
                        </ns4:nvPicPr>
                        <ns4:blipFill>
                          <ns3:blip r:embed="rId1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474720" cy="6949440"/>
                          </ns3:xfrm>
                          <ns3:prstGeom prst="rect">
                            <ns3:avLst/>
                          </ns3:prstGeom>
                          <ns3:ln w="9525">
                            <ns3:solidFill>
                              <ns3:srgbClr val="D9E0EA"/>
                            </ns3:solidFill>
                          </ns3:ln>
                        </ns4:spPr>
                      </ns4:pic>
                    </ns3:graphicData>
                  </ns3:graphic>
                </wp:inline>
              </w:drawing>
            </w:r>
          </w:p>
          <w:p>
            <w:pPr>
              <w:widowControl/>
              <w:spacing w:before="0" w:after="120" w:line="250" w:lineRule="auto"/>
              <w:jc w:val="center"/>
            </w:pPr>
            <w:r>
              <w:rPr>
                <w:rFonts w:ascii="Arial" w:hAnsi="Arial" w:eastAsia="맑은 고딕" w:cs="Arial"/>
                <w:color w:val="595959"/>
                <w:sz w:val="18"/>
                <w:szCs w:val="18"/>
              </w:rPr>
              <w:t xml:space="preserve">그림 1  현재 위험도와 즉시 행동 안내  |  현재 위험 점수와 시민이 먼저 해야 할 행동을 한 화면에서 확인</w:t>
            </w:r>
          </w:p>
          <w:p>
            <w:r>
              <w:br w:type="page"/>
            </w:r>
          </w:p>
          <w:p>
            <w:pPr>
              <w:widowControl/>
              <w:spacing w:before="60" w:after="50" w:line="240" w:lineRule="auto"/>
              <w:jc w:val="center"/>
            </w:pPr>
            <w:r>
              <w:drawing>
                <wp:inline distT="0" distB="0" distL="0" distR="0">
                  <wp:extent cx="3794760" cy="2925127"/>
                  <wp:effectExtent l="0" t="0" r="0" b="0"/>
                  <wp:docPr id="1002" name="screen-02.png" descr="침수 맞춤 행동요령 상세. 침수 상황에서 지켜야 할 행동을 짧고 구체적인 문장으로 제공"/>
                  <wp:cNvGraphicFramePr>
                    <ns2:graphicFrameLocks xmlns:ns2="http://schemas.openxmlformats.org/drawingml/2006/main" noChangeAspect="1"/>
                  </wp:cNvGraphicFramePr>
                  <ns3:graphic xmlns:ns3="http://schemas.openxmlformats.org/drawingml/2006/main">
                    <ns3:graphicData uri="http://schemas.openxmlformats.org/drawingml/2006/picture">
                      <ns4:pic xmlns:ns4="http://schemas.openxmlformats.org/drawingml/2006/picture">
                        <ns4:nvPicPr>
                          <ns4:cNvPr id="0" name="screen-02.png" descr="침수 맞춤 행동요령 상세. 침수 상황에서 지켜야 할 행동을 짧고 구체적인 문장으로 제공"/>
                          <ns4:cNvPicPr/>
                        </ns4:nvPicPr>
                        <ns4:blipFill>
                          <ns3:blip r:embed="rId11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794760" cy="2925127"/>
                          </ns3:xfrm>
                          <ns3:prstGeom prst="rect">
                            <ns3:avLst/>
                          </ns3:prstGeom>
                          <ns3:ln w="9525">
                            <ns3:solidFill>
                              <ns3:srgbClr val="D9E0EA"/>
                            </ns3:solidFill>
                          </ns3:ln>
                        </ns4:spPr>
                      </ns4:pic>
                    </ns3:graphicData>
                  </ns3:graphic>
                </wp:inline>
              </w:drawing>
            </w:r>
          </w:p>
          <w:p>
            <w:pPr>
              <w:widowControl/>
              <w:spacing w:before="0" w:after="120" w:line="250" w:lineRule="auto"/>
              <w:jc w:val="center"/>
            </w:pPr>
            <w:r>
              <w:rPr>
                <w:rFonts w:ascii="Arial" w:hAnsi="Arial" w:eastAsia="맑은 고딕" w:cs="Arial"/>
                <w:color w:val="595959"/>
                <w:sz w:val="18"/>
                <w:szCs w:val="18"/>
              </w:rPr>
              <w:t xml:space="preserve">그림 2  침수 맞춤 행동요령 상세  |  침수 상황에서 지켜야 할 행동을 짧고 구체적인 문장으로 제공</w:t>
            </w:r>
          </w:p>
          <w:p>
            <w:pPr>
              <w:widowControl/>
              <w:spacing w:before="60" w:after="50" w:line="240" w:lineRule="auto"/>
              <w:jc w:val="center"/>
            </w:pPr>
            <w:r>
              <w:drawing>
                <wp:inline distT="0" distB="0" distL="0" distR="0">
                  <wp:extent cx="3566160" cy="2360814"/>
                  <wp:effectExtent l="0" t="0" r="0" b="0"/>
                  <wp:docPr id="1003" name="screen-05.png" descr="침수 위험지도 범례. 예상 침수 깊이를 색상으로 구분해 경로 주변 위험을 확인"/>
                  <wp:cNvGraphicFramePr>
                    <ns2:graphicFrameLocks xmlns:ns2="http://schemas.openxmlformats.org/drawingml/2006/main" noChangeAspect="1"/>
                  </wp:cNvGraphicFramePr>
                  <ns3:graphic xmlns:ns3="http://schemas.openxmlformats.org/drawingml/2006/main">
                    <ns3:graphicData uri="http://schemas.openxmlformats.org/drawingml/2006/picture">
                      <ns4:pic xmlns:ns4="http://schemas.openxmlformats.org/drawingml/2006/picture">
                        <ns4:nvPicPr>
                          <ns4:cNvPr id="0" name="screen-05.png" descr="침수 위험지도 범례. 예상 침수 깊이를 색상으로 구분해 경로 주변 위험을 확인"/>
                          <ns4:cNvPicPr/>
                        </ns4:nvPicPr>
                        <ns4:blipFill>
                          <ns3:blip r:embed="rId14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566160" cy="2360814"/>
                          </ns3:xfrm>
                          <ns3:prstGeom prst="rect">
                            <ns3:avLst/>
                          </ns3:prstGeom>
                          <ns3:ln w="9525">
                            <ns3:solidFill>
                              <ns3:srgbClr val="D9E0EA"/>
                            </ns3:solidFill>
                          </ns3:ln>
                        </ns4:spPr>
                      </ns4:pic>
                    </ns3:graphicData>
                  </ns3:graphic>
                </wp:inline>
              </w:drawing>
            </w:r>
          </w:p>
          <w:p>
            <w:pPr>
              <w:widowControl/>
              <w:spacing w:before="0" w:after="120" w:line="250" w:lineRule="auto"/>
              <w:jc w:val="center"/>
            </w:pPr>
            <w:r>
              <w:rPr>
                <w:rFonts w:ascii="Arial" w:hAnsi="Arial" w:eastAsia="맑은 고딕" w:cs="Arial"/>
                <w:color w:val="595959"/>
                <w:sz w:val="18"/>
                <w:szCs w:val="18"/>
              </w:rPr>
              <w:t xml:space="preserve">그림 3  침수 위험지도 범례  |  예상 침수 깊이를 색상으로 구분해 경로 주변 위험을 확인</w:t>
            </w:r>
          </w:p>
          <w:p>
            <w:r>
              <w:br w:type="page"/>
            </w:r>
          </w:p>
          <w:p>
            <w:pPr>
              <w:widowControl/>
              <w:spacing w:before="60" w:after="50" w:line="240" w:lineRule="auto"/>
              <w:jc w:val="center"/>
            </w:pPr>
            <w:r>
              <w:drawing>
                <wp:inline distT="0" distB="0" distL="0" distR="0">
                  <wp:extent cx="3703320" cy="6689330"/>
                  <wp:effectExtent l="0" t="0" r="0" b="0"/>
                  <wp:docPr id="1004" name="screen-03.png" descr="추천 대피소와 안전 경로. 대피소 운영 상태, 거리, 안전점수와 이동 주의사항을 함께 비교"/>
                  <wp:cNvGraphicFramePr>
                    <ns2:graphicFrameLocks xmlns:ns2="http://schemas.openxmlformats.org/drawingml/2006/main" noChangeAspect="1"/>
                  </wp:cNvGraphicFramePr>
                  <ns3:graphic xmlns:ns3="http://schemas.openxmlformats.org/drawingml/2006/main">
                    <ns3:graphicData uri="http://schemas.openxmlformats.org/drawingml/2006/picture">
                      <ns4:pic xmlns:ns4="http://schemas.openxmlformats.org/drawingml/2006/picture">
                        <ns4:nvPicPr>
                          <ns4:cNvPr id="0" name="screen-03.png" descr="추천 대피소와 안전 경로. 대피소 운영 상태, 거리, 안전점수와 이동 주의사항을 함께 비교"/>
                          <ns4:cNvPicPr/>
                        </ns4:nvPicPr>
                        <ns4:blipFill>
                          <ns3:blip r:embed="rId12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703320" cy="6689330"/>
                          </ns3:xfrm>
                          <ns3:prstGeom prst="rect">
                            <ns3:avLst/>
                          </ns3:prstGeom>
                          <ns3:ln w="9525">
                            <ns3:solidFill>
                              <ns3:srgbClr val="D9E0EA"/>
                            </ns3:solidFill>
                          </ns3:ln>
                        </ns4:spPr>
                      </ns4:pic>
                    </ns3:graphicData>
                  </ns3:graphic>
                </wp:inline>
              </w:drawing>
            </w:r>
          </w:p>
          <w:p>
            <w:pPr>
              <w:widowControl/>
              <w:spacing w:before="0" w:after="120" w:line="250" w:lineRule="auto"/>
              <w:jc w:val="center"/>
            </w:pPr>
            <w:r>
              <w:rPr>
                <w:rFonts w:ascii="Arial" w:hAnsi="Arial" w:eastAsia="맑은 고딕" w:cs="Arial"/>
                <w:color w:val="595959"/>
                <w:sz w:val="18"/>
                <w:szCs w:val="18"/>
              </w:rPr>
              <w:t xml:space="preserve">그림 4  추천 대피소와 안전 경로  |  대피소 운영 상태, 거리, 안전점수와 이동 주의사항을 함께 비교</w:t>
            </w:r>
          </w:p>
          <w:p>
            <w:r>
              <w:br w:type="page"/>
            </w:r>
          </w:p>
          <w:p>
            <w:pPr>
              <w:widowControl/>
              <w:spacing w:before="60" w:after="50" w:line="240" w:lineRule="auto"/>
              <w:jc w:val="center"/>
            </w:pPr>
            <w:r>
              <w:drawing>
                <wp:inline distT="0" distB="0" distL="0" distR="0">
                  <wp:extent cx="3840480" cy="5419274"/>
                  <wp:effectExtent l="0" t="0" r="0" b="0"/>
                  <wp:docPr id="1005" name="screen-04.png" descr="대체 대피소와 경로 지도. 대체 대피소, 침수 깊이 기반 경로와 실시간 기상 정보를 통합 표시"/>
                  <wp:cNvGraphicFramePr>
                    <ns2:graphicFrameLocks xmlns:ns2="http://schemas.openxmlformats.org/drawingml/2006/main" noChangeAspect="1"/>
                  </wp:cNvGraphicFramePr>
                  <ns3:graphic xmlns:ns3="http://schemas.openxmlformats.org/drawingml/2006/main">
                    <ns3:graphicData uri="http://schemas.openxmlformats.org/drawingml/2006/picture">
                      <ns4:pic xmlns:ns4="http://schemas.openxmlformats.org/drawingml/2006/picture">
                        <ns4:nvPicPr>
                          <ns4:cNvPr id="0" name="screen-04.png" descr="대체 대피소와 경로 지도. 대체 대피소, 침수 깊이 기반 경로와 실시간 기상 정보를 통합 표시"/>
                          <ns4:cNvPicPr/>
                        </ns4:nvPicPr>
                        <ns4:blipFill>
                          <ns3:blip r:embed="rId13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840480" cy="5419274"/>
                          </ns3:xfrm>
                          <ns3:prstGeom prst="rect">
                            <ns3:avLst/>
                          </ns3:prstGeom>
                          <ns3:ln w="9525">
                            <ns3:solidFill>
                              <ns3:srgbClr val="D9E0EA"/>
                            </ns3:solidFill>
                          </ns3:ln>
                        </ns4:spPr>
                      </ns4:pic>
                    </ns3:graphicData>
                  </ns3:graphic>
                </wp:inline>
              </w:drawing>
            </w:r>
          </w:p>
          <w:p>
            <w:pPr>
              <w:widowControl/>
              <w:spacing w:before="0" w:after="120" w:line="250" w:lineRule="auto"/>
              <w:jc w:val="center"/>
            </w:pPr>
            <w:r>
              <w:rPr>
                <w:rFonts w:ascii="Arial" w:hAnsi="Arial" w:eastAsia="맑은 고딕" w:cs="Arial"/>
                <w:color w:val="595959"/>
                <w:sz w:val="18"/>
                <w:szCs w:val="18"/>
              </w:rPr>
              <w:t xml:space="preserve">그림 5  대체 대피소와 경로 지도  |  대체 대피소, 침수 깊이 기반 경로와 실시간 기상 정보를 통합 표시</w:t>
            </w:r>
          </w:p>
          <w:p>
            <w:r>
              <w:br w:type="page"/>
            </w:r>
          </w:p>
          <w:p>
            <w:pPr>
              <w:widowControl/>
              <w:spacing w:before="60" w:after="50" w:line="240" w:lineRule="auto"/>
              <w:jc w:val="center"/>
            </w:pPr>
            <w:r>
              <w:drawing>
                <wp:inline distT="0" distB="0" distL="0" distR="0">
                  <wp:extent cx="3657600" cy="6320332"/>
                  <wp:effectExtent l="0" t="0" r="0" b="0"/>
                  <wp:docPr id="1006" name="screen-06.png" descr="가까운 대피소 비교. 거리, 도보 시간, 수용 인원과 안전점수로 대피소 후보를 비교"/>
                  <wp:cNvGraphicFramePr>
                    <ns2:graphicFrameLocks xmlns:ns2="http://schemas.openxmlformats.org/drawingml/2006/main" noChangeAspect="1"/>
                  </wp:cNvGraphicFramePr>
                  <ns3:graphic xmlns:ns3="http://schemas.openxmlformats.org/drawingml/2006/main">
                    <ns3:graphicData uri="http://schemas.openxmlformats.org/drawingml/2006/picture">
                      <ns4:pic xmlns:ns4="http://schemas.openxmlformats.org/drawingml/2006/picture">
                        <ns4:nvPicPr>
                          <ns4:cNvPr id="0" name="screen-06.png" descr="가까운 대피소 비교. 거리, 도보 시간, 수용 인원과 안전점수로 대피소 후보를 비교"/>
                          <ns4:cNvPicPr/>
                        </ns4:nvPicPr>
                        <ns4:blipFill>
                          <ns3:blip r:embed="rId1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657600" cy="6320332"/>
                          </ns3:xfrm>
                          <ns3:prstGeom prst="rect">
                            <ns3:avLst/>
                          </ns3:prstGeom>
                          <ns3:ln w="9525">
                            <ns3:solidFill>
                              <ns3:srgbClr val="D9E0EA"/>
                            </ns3:solidFill>
                          </ns3:ln>
                        </ns4:spPr>
                      </ns4:pic>
                    </ns3:graphicData>
                  </ns3:graphic>
                </wp:inline>
              </w:drawing>
            </w:r>
          </w:p>
          <w:p>
            <w:pPr>
              <w:widowControl/>
              <w:spacing w:before="0" w:after="120" w:line="250" w:lineRule="auto"/>
              <w:jc w:val="center"/>
            </w:pPr>
            <w:r>
              <w:rPr>
                <w:rFonts w:ascii="Arial" w:hAnsi="Arial" w:eastAsia="맑은 고딕" w:cs="Arial"/>
                <w:color w:val="595959"/>
                <w:sz w:val="18"/>
                <w:szCs w:val="18"/>
              </w:rPr>
              <w:t xml:space="preserve">그림 6  가까운 대피소 비교  |  거리, 도보 시간, 수용 인원과 안전점수로 대피소 후보를 비교</w:t>
            </w:r>
          </w:p>
          <w:p>
            <w:r>
              <w:br w:type="page"/>
            </w:r>
          </w:p>
          <w:p>
            <w:pPr>
              <w:widowControl/>
              <w:spacing w:before="60" w:after="50" w:line="240" w:lineRule="auto"/>
              <w:jc w:val="center"/>
            </w:pPr>
            <w:r>
              <w:drawing>
                <wp:inline distT="0" distB="0" distL="0" distR="0">
                  <wp:extent cx="3703320" cy="6217304"/>
                  <wp:effectExtent l="0" t="0" r="0" b="0"/>
                  <wp:docPr id="1007" name="screen-07.png" descr="향후 6시간 위험 전망. 강우 예보와 수위·통제 근거로 시간대별 침수 위험을 미리 안내"/>
                  <wp:cNvGraphicFramePr>
                    <ns2:graphicFrameLocks xmlns:ns2="http://schemas.openxmlformats.org/drawingml/2006/main" noChangeAspect="1"/>
                  </wp:cNvGraphicFramePr>
                  <ns3:graphic xmlns:ns3="http://schemas.openxmlformats.org/drawingml/2006/main">
                    <ns3:graphicData uri="http://schemas.openxmlformats.org/drawingml/2006/picture">
                      <ns4:pic xmlns:ns4="http://schemas.openxmlformats.org/drawingml/2006/picture">
                        <ns4:nvPicPr>
                          <ns4:cNvPr id="0" name="screen-07.png" descr="향후 6시간 위험 전망. 강우 예보와 수위·통제 근거로 시간대별 침수 위험을 미리 안내"/>
                          <ns4:cNvPicPr/>
                        </ns4:nvPicPr>
                        <ns4:blipFill>
                          <ns3:blip r:embed="rId16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703320" cy="6217304"/>
                          </ns3:xfrm>
                          <ns3:prstGeom prst="rect">
                            <ns3:avLst/>
                          </ns3:prstGeom>
                          <ns3:ln w="9525">
                            <ns3:solidFill>
                              <ns3:srgbClr val="D9E0EA"/>
                            </ns3:solidFill>
                          </ns3:ln>
                        </ns4:spPr>
                      </ns4:pic>
                    </ns3:graphicData>
                  </ns3:graphic>
                </wp:inline>
              </w:drawing>
            </w:r>
          </w:p>
          <w:p>
            <w:pPr>
              <w:widowControl/>
              <w:spacing w:before="0" w:after="120" w:line="250" w:lineRule="auto"/>
              <w:jc w:val="center"/>
            </w:pPr>
            <w:r>
              <w:rPr>
                <w:rFonts w:ascii="Arial" w:hAnsi="Arial" w:eastAsia="맑은 고딕" w:cs="Arial"/>
                <w:color w:val="595959"/>
                <w:sz w:val="18"/>
                <w:szCs w:val="18"/>
              </w:rPr>
              <w:t xml:space="preserve">그림 7  향후 6시간 위험 전망  |  강우 예보와 수위·통제 근거로 시간대별 침수 위험을 미리 안내</w:t>
            </w:r>
          </w:p>
          <w:p>
            <w:pPr>
              <w:widowControl/>
              <w:spacing w:before="0" w:after="0" w:line="220" w:lineRule="auto"/>
            </w:pPr>
          </w:p>
        </w:tc>
      </w:tr>
    </w:tbl>
    <w:p w14:paraId="4623E105" w14:textId="77777777" w:rsidR="00656232" w:rsidRDefault="00656232">
      <w:pPr>
        <w:rPr>
          <w:sz w:val="2"/>
        </w:rPr>
      </w:pPr>
    </w:p>
    <w:sectPr w:rsidR="00656232">
      <w:headerReference w:type="default" r:id="rId7"/>
      <w:endnotePr>
        <w:numFmt w:val="decimal"/>
      </w:endnotePr>
      <w:pgSz w:w="11905" w:h="16837"/>
      <w:pgMar w:top="1417" w:right="1133" w:bottom="1417" w:left="1133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F919D" w14:textId="77777777" w:rsidR="00F14635" w:rsidRDefault="00F14635">
      <w:r>
        <w:separator/>
      </w:r>
    </w:p>
  </w:endnote>
  <w:endnote w:type="continuationSeparator" w:id="0">
    <w:p w14:paraId="75E88EF1" w14:textId="77777777" w:rsidR="00F14635" w:rsidRDefault="00F14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바탕"/>
    <w:panose1 w:val="00000000000000000000"/>
    <w:charset w:val="81"/>
    <w:family w:val="roman"/>
    <w:notTrueType/>
    <w:pitch w:val="default"/>
  </w:font>
  <w:font w:name="함초롬돋움">
    <w:altName w:val="바탕"/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 태고딕"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Pub돋움체 Light">
    <w:panose1 w:val="00000000000000000000"/>
    <w:charset w:val="81"/>
    <w:family w:val="roman"/>
    <w:notTrueType/>
    <w:pitch w:val="default"/>
  </w:font>
  <w:font w:name="한컴바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EA2B6" w14:textId="77777777" w:rsidR="00F14635" w:rsidRDefault="00F14635">
      <w:r>
        <w:separator/>
      </w:r>
    </w:p>
  </w:footnote>
  <w:footnote w:type="continuationSeparator" w:id="0">
    <w:p w14:paraId="705308FF" w14:textId="77777777" w:rsidR="00F14635" w:rsidRDefault="00F14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0D1D6" w14:textId="77777777" w:rsidR="00656232" w:rsidRDefault="00656232">
    <w:pPr>
      <w:pStyle w:val="ab"/>
    </w:pPr>
  </w:p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28" w:type="dxa"/>
        <w:bottom w:w="28" w:type="dxa"/>
        <w:right w:w="28" w:type="dxa"/>
      </w:tblCellMar>
      <w:tblLook w:val="04A0" w:firstRow="1" w:lastRow="0" w:firstColumn="1" w:lastColumn="0" w:noHBand="0" w:noVBand="1"/>
    </w:tblPr>
    <w:tblGrid>
      <w:gridCol w:w="1193"/>
      <w:gridCol w:w="113"/>
      <w:gridCol w:w="8325"/>
    </w:tblGrid>
    <w:tr w:rsidR="00656232" w14:paraId="444F0CC2" w14:textId="77777777">
      <w:trPr>
        <w:trHeight w:val="566"/>
      </w:trPr>
      <w:tc>
        <w:tcPr>
          <w:tcW w:w="1193" w:type="dxa"/>
          <w:tcBorders>
            <w:top w:val="single" w:sz="11" w:space="0" w:color="1B1760"/>
            <w:left w:val="single" w:sz="11" w:space="0" w:color="1B1760"/>
            <w:bottom w:val="single" w:sz="11" w:space="0" w:color="1B1760"/>
            <w:right w:val="single" w:sz="11" w:space="0" w:color="1B1760"/>
            <w:tl2br w:val="nil"/>
            <w:tr2bl w:val="nil"/>
          </w:tcBorders>
          <w:shd w:val="clear" w:color="auto" w:fill="342DBE"/>
          <w:vAlign w:val="center"/>
        </w:tcPr>
        <w:p w14:paraId="2D1EEF96" w14:textId="77777777" w:rsidR="00656232" w:rsidRDefault="00000000">
          <w:pPr>
            <w:pStyle w:val="a8"/>
            <w:wordWrap/>
            <w:ind w:left="465" w:hanging="465"/>
            <w:jc w:val="center"/>
            <w:rPr>
              <w:rFonts w:ascii="HY헤드라인M" w:eastAsia="HY헤드라인M" w:cs="HY헤드라인M"/>
              <w:color w:val="FFFFFF"/>
              <w:spacing w:val="-14"/>
              <w:position w:val="1"/>
              <w:sz w:val="32"/>
              <w:szCs w:val="32"/>
            </w:rPr>
          </w:pPr>
          <w:r>
            <w:rPr>
              <w:rFonts w:ascii="HY헤드라인M" w:eastAsia="HY헤드라인M" w:cs="HY헤드라인M"/>
              <w:color w:val="FFFFFF"/>
              <w:spacing w:val="-14"/>
              <w:position w:val="1"/>
              <w:sz w:val="32"/>
              <w:szCs w:val="32"/>
            </w:rPr>
            <w:t>분야1</w:t>
          </w:r>
        </w:p>
      </w:tc>
      <w:tc>
        <w:tcPr>
          <w:tcW w:w="113" w:type="dxa"/>
          <w:tcBorders>
            <w:top w:val="nil"/>
            <w:left w:val="single" w:sz="11" w:space="0" w:color="1B1760"/>
            <w:bottom w:val="nil"/>
            <w:right w:val="nil"/>
            <w:tl2br w:val="nil"/>
            <w:tr2bl w:val="nil"/>
          </w:tcBorders>
          <w:vAlign w:val="center"/>
        </w:tcPr>
        <w:p w14:paraId="16DA161A" w14:textId="77777777" w:rsidR="00656232" w:rsidRDefault="00656232">
          <w:pPr>
            <w:pStyle w:val="a8"/>
            <w:rPr>
              <w:rFonts w:ascii="HY헤드라인M" w:eastAsia="HY헤드라인M" w:cs="HY헤드라인M"/>
              <w:sz w:val="31"/>
              <w:szCs w:val="31"/>
            </w:rPr>
          </w:pPr>
        </w:p>
      </w:tc>
      <w:tc>
        <w:tcPr>
          <w:tcW w:w="8325" w:type="dxa"/>
          <w:tcBorders>
            <w:top w:val="single" w:sz="11" w:space="0" w:color="1B1760"/>
            <w:left w:val="nil"/>
            <w:bottom w:val="single" w:sz="11" w:space="0" w:color="1B1760"/>
            <w:right w:val="nil"/>
            <w:tl2br w:val="nil"/>
            <w:tr2bl w:val="nil"/>
          </w:tcBorders>
          <w:vAlign w:val="center"/>
        </w:tcPr>
        <w:p w14:paraId="478E974C" w14:textId="77777777" w:rsidR="00656232" w:rsidRDefault="00000000">
          <w:pPr>
            <w:pStyle w:val="a8"/>
            <w:spacing w:line="240" w:lineRule="auto"/>
            <w:rPr>
              <w:rFonts w:ascii="맑은 고딕" w:eastAsia="맑은 고딕" w:cs="맑은 고딕"/>
              <w:b/>
              <w:bCs/>
              <w:spacing w:val="-23"/>
              <w:sz w:val="26"/>
              <w:szCs w:val="26"/>
            </w:rPr>
          </w:pPr>
          <w:r>
            <w:rPr>
              <w:rFonts w:ascii="HY헤드라인M" w:eastAsia="HY헤드라인M" w:cs="HY헤드라인M"/>
              <w:spacing w:val="-14"/>
              <w:sz w:val="32"/>
              <w:szCs w:val="32"/>
            </w:rPr>
            <w:t xml:space="preserve"> </w:t>
          </w:r>
          <w:r>
            <w:rPr>
              <w:rFonts w:ascii="맑은 고딕" w:eastAsia="맑은 고딕" w:cs="맑은 고딕"/>
              <w:b/>
              <w:bCs/>
              <w:spacing w:val="-15"/>
              <w:sz w:val="26"/>
              <w:szCs w:val="26"/>
            </w:rPr>
            <w:t>‘</w:t>
          </w:r>
          <w:r>
            <w:rPr>
              <w:rFonts w:ascii="맑은 고딕" w:eastAsia="맑은 고딕" w:cs="맑은 고딕"/>
              <w:b/>
              <w:bCs/>
              <w:spacing w:val="-20"/>
              <w:sz w:val="26"/>
              <w:szCs w:val="26"/>
            </w:rPr>
            <w:t>민관협력 지원 플랫폼 활용</w:t>
          </w:r>
          <w:r>
            <w:rPr>
              <w:rFonts w:ascii="맑은 고딕" w:eastAsia="맑은 고딕" w:cs="맑은 고딕"/>
              <w:b/>
              <w:bCs/>
              <w:spacing w:val="-20"/>
              <w:sz w:val="26"/>
              <w:szCs w:val="26"/>
            </w:rPr>
            <w:t>’</w:t>
          </w:r>
          <w:r>
            <w:rPr>
              <w:rFonts w:ascii="맑은 고딕" w:eastAsia="맑은 고딕" w:cs="맑은 고딕"/>
              <w:b/>
              <w:bCs/>
              <w:spacing w:val="-20"/>
              <w:sz w:val="26"/>
              <w:szCs w:val="26"/>
            </w:rPr>
            <w:t xml:space="preserve"> 기반</w:t>
          </w:r>
          <w:r>
            <w:rPr>
              <w:rFonts w:ascii="맑은 고딕" w:eastAsia="맑은 고딕" w:cs="맑은 고딕"/>
              <w:b/>
              <w:bCs/>
              <w:spacing w:val="-23"/>
              <w:sz w:val="26"/>
              <w:szCs w:val="26"/>
            </w:rPr>
            <w:t xml:space="preserve"> 사회 현안 해결 </w:t>
          </w:r>
          <w:r>
            <w:rPr>
              <w:rFonts w:ascii="맑은 고딕" w:eastAsia="맑은 고딕" w:cs="맑은 고딕"/>
              <w:b/>
              <w:bCs/>
              <w:spacing w:val="-23"/>
              <w:sz w:val="26"/>
              <w:szCs w:val="26"/>
            </w:rPr>
            <w:t>’</w:t>
          </w:r>
          <w:r>
            <w:rPr>
              <w:rFonts w:ascii="맑은 고딕" w:eastAsia="맑은 고딕" w:cs="맑은 고딕"/>
              <w:b/>
              <w:bCs/>
              <w:spacing w:val="-23"/>
              <w:sz w:val="26"/>
              <w:szCs w:val="26"/>
            </w:rPr>
            <w:t>서비스 개발</w:t>
          </w:r>
          <w:r>
            <w:rPr>
              <w:rFonts w:ascii="맑은 고딕" w:eastAsia="맑은 고딕" w:cs="맑은 고딕"/>
              <w:b/>
              <w:bCs/>
              <w:spacing w:val="-23"/>
              <w:sz w:val="26"/>
              <w:szCs w:val="26"/>
            </w:rPr>
            <w:t>’</w:t>
          </w:r>
          <w:r>
            <w:rPr>
              <w:rFonts w:ascii="맑은 고딕" w:eastAsia="맑은 고딕" w:cs="맑은 고딕"/>
              <w:b/>
              <w:bCs/>
              <w:spacing w:val="-23"/>
              <w:sz w:val="26"/>
              <w:szCs w:val="26"/>
            </w:rPr>
            <w:t xml:space="preserve"> 기획서</w:t>
          </w:r>
        </w:p>
      </w:tc>
    </w:tr>
  </w:tbl>
  <w:p w14:paraId="27A959A0" w14:textId="77777777" w:rsidR="00656232" w:rsidRDefault="00656232">
    <w:pPr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5940"/>
    <w:multiLevelType w:val="multilevel"/>
    <w:tmpl w:val="F1247E8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48D25E3"/>
    <w:multiLevelType w:val="multilevel"/>
    <w:tmpl w:val="6B3081DA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9254700"/>
    <w:multiLevelType w:val="multilevel"/>
    <w:tmpl w:val="0396110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89573850">
    <w:abstractNumId w:val="0"/>
  </w:num>
  <w:num w:numId="2" w16cid:durableId="1859655042">
    <w:abstractNumId w:val="2"/>
  </w:num>
  <w:num w:numId="3" w16cid:durableId="593050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32"/>
    <w:rsid w:val="00040C95"/>
    <w:rsid w:val="00656232"/>
    <w:rsid w:val="006B2DBF"/>
    <w:rsid w:val="007051DD"/>
    <w:rsid w:val="0091742C"/>
    <w:rsid w:val="00F14635"/>
    <w:rsid w:val="00F6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34623"/>
  <w15:docId w15:val="{98E1C239-8919-4CD4-AE76-03C0FA18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굴림" w:eastAsia="굴림" w:hAnsi="Arial Unicode MS" w:cs="굴림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10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50">
    <w:name w:val="바탕글 사본5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">
    <w:name w:val="가"/>
    <w:qFormat/>
    <w:pPr>
      <w:widowControl w:val="0"/>
      <w:wordWrap w:val="0"/>
      <w:autoSpaceDE w:val="0"/>
      <w:autoSpaceDN w:val="0"/>
      <w:snapToGrid w:val="0"/>
      <w:spacing w:line="312" w:lineRule="auto"/>
      <w:ind w:left="200"/>
      <w:jc w:val="both"/>
    </w:pPr>
    <w:rPr>
      <w:rFonts w:ascii="신명 태고딕" w:eastAsia="신명 태고딕" w:hAnsi="Arial Unicode MS" w:cs="신명 태고딕"/>
      <w:color w:val="000000"/>
      <w:sz w:val="28"/>
      <w:szCs w:val="28"/>
    </w:rPr>
  </w:style>
  <w:style w:type="paragraph" w:customStyle="1" w:styleId="MsoTitle0">
    <w:name w:val="MsoTitle"/>
    <w:qFormat/>
    <w:pPr>
      <w:widowControl w:val="0"/>
      <w:wordWrap w:val="0"/>
      <w:autoSpaceDE w:val="0"/>
      <w:autoSpaceDN w:val="0"/>
      <w:jc w:val="center"/>
    </w:pPr>
    <w:rPr>
      <w:rFonts w:ascii="Arial" w:eastAsia="바탕" w:hAnsi="Arial Unicode MS" w:cs="바탕"/>
      <w:b/>
      <w:bCs/>
      <w:color w:val="000000"/>
      <w:sz w:val="40"/>
      <w:szCs w:val="40"/>
    </w:rPr>
  </w:style>
  <w:style w:type="paragraph" w:customStyle="1" w:styleId="60">
    <w:name w:val="바탕글 사본6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xl65">
    <w:name w:val="xl65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13">
    <w:name w:val="본문 13"/>
    <w:qFormat/>
    <w:pPr>
      <w:widowControl w:val="0"/>
      <w:wordWrap w:val="0"/>
      <w:autoSpaceDE w:val="0"/>
      <w:autoSpaceDN w:val="0"/>
      <w:spacing w:line="249" w:lineRule="auto"/>
      <w:ind w:left="400" w:hanging="400"/>
      <w:jc w:val="both"/>
    </w:pPr>
    <w:rPr>
      <w:rFonts w:ascii="KoPub돋움체 Light" w:eastAsia="KoPub돋움체 Light" w:hAnsi="Arial Unicode MS" w:cs="KoPub돋움체 Light"/>
      <w:color w:val="000000"/>
      <w:sz w:val="26"/>
      <w:szCs w:val="26"/>
    </w:rPr>
  </w:style>
  <w:style w:type="paragraph" w:customStyle="1" w:styleId="xl68">
    <w:name w:val="xl68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굴림" w:eastAsia="굴림" w:hAnsi="Arial Unicode MS" w:cs="굴림"/>
      <w:color w:val="000000"/>
      <w:szCs w:val="22"/>
    </w:rPr>
  </w:style>
  <w:style w:type="paragraph" w:customStyle="1" w:styleId="xl67">
    <w:name w:val="xl67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66">
    <w:name w:val="xl66"/>
    <w:qFormat/>
    <w:pPr>
      <w:widowControl w:val="0"/>
      <w:shd w:val="clear" w:color="auto" w:fill="FFFF0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69">
    <w:name w:val="xl69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0">
    <w:name w:val="xl70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맑은 고딕" w:eastAsia="맑은 고딕" w:hAnsi="Arial Unicode MS" w:cs="맑은 고딕"/>
      <w:color w:val="00000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screen-01.png"/><Relationship Id="rId11" Type="http://schemas.openxmlformats.org/officeDocument/2006/relationships/image" Target="media/screen-02.png"/><Relationship Id="rId12" Type="http://schemas.openxmlformats.org/officeDocument/2006/relationships/image" Target="media/screen-03.png"/><Relationship Id="rId13" Type="http://schemas.openxmlformats.org/officeDocument/2006/relationships/image" Target="media/screen-04.png"/><Relationship Id="rId14" Type="http://schemas.openxmlformats.org/officeDocument/2006/relationships/image" Target="media/screen-05.png"/><Relationship Id="rId15" Type="http://schemas.openxmlformats.org/officeDocument/2006/relationships/image" Target="media/screen-06.png"/><Relationship Id="rId16" Type="http://schemas.openxmlformats.org/officeDocument/2006/relationships/image" Target="media/screen-0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PC1-04</dc:creator>
  <cp:lastModifiedBy>창재 유</cp:lastModifiedBy>
  <cp:revision>3</cp:revision>
  <dcterms:created xsi:type="dcterms:W3CDTF">2026-09-05T07:20:00Z</dcterms:created>
  <dcterms:modified xsi:type="dcterms:W3CDTF">2026-09-05T07:45:00Z</dcterms:modified>
</cp:coreProperties>
</file>