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F0FF"/>
  <w:body>
    <w:p w:rsidR="00000000" w:rsidDel="00000000" w:rsidP="00000000" w:rsidRDefault="00000000" w:rsidRPr="00000000" w14:paraId="00000001">
      <w:pPr>
        <w:spacing w:after="100" w:line="240" w:lineRule="auto"/>
        <w:rPr>
          <w:rFonts w:ascii="Inter" w:cs="Inter" w:eastAsia="Inter" w:hAnsi="Inter"/>
          <w:b w:val="1"/>
          <w:bCs w:val="1"/>
          <w:color w:val="0f4761"/>
          <w:sz w:val="60"/>
          <w:szCs w:val="60"/>
        </w:rPr>
      </w:pPr>
      <w:r w:rsidDel="00000000" w:rsidR="00000000" w:rsidRPr="00000000">
        <w:rPr>
          <w:rtl w:val="0"/>
        </w:rPr>
      </w:r>
    </w:p>
    <w:p w:rsidR="00000000" w:rsidDel="00000000" w:rsidP="00000000" w:rsidRDefault="00000000" w:rsidRPr="00000000" w14:paraId="00000002">
      <w:pPr>
        <w:spacing w:after="100" w:line="240" w:lineRule="auto"/>
        <w:rPr>
          <w:rFonts w:ascii="Inter" w:cs="Inter" w:eastAsia="Inter" w:hAnsi="Inter"/>
          <w:b w:val="1"/>
          <w:bCs w:val="1"/>
          <w:color w:val="0f4761"/>
          <w:sz w:val="60"/>
          <w:szCs w:val="60"/>
        </w:rPr>
      </w:pPr>
      <w:r w:rsidDel="00000000" w:rsidR="00000000" w:rsidRPr="00000000">
        <w:rPr>
          <w:rFonts w:ascii="Inter" w:cs="Inter" w:eastAsia="Inter" w:hAnsi="Inter"/>
          <w:b w:val="1"/>
          <w:bCs w:val="1"/>
          <w:color w:val="0f4761"/>
          <w:sz w:val="60"/>
          <w:szCs w:val="60"/>
          <w:rtl w:val="0"/>
        </w:rPr>
        <w:t xml:space="preserve">Partner Due Diligence Questionnaire</w:t>
      </w:r>
    </w:p>
    <w:p w:rsidR="00000000" w:rsidDel="00000000" w:rsidP="00000000" w:rsidRDefault="00000000" w:rsidRPr="00000000" w14:paraId="00000003">
      <w:pPr>
        <w:spacing w:after="10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04">
      <w:pPr>
        <w:spacing w:after="120" w:line="240" w:lineRule="auto"/>
        <w:rPr>
          <w:rFonts w:ascii="Inter" w:cs="Inter" w:eastAsia="Inter" w:hAnsi="Inter"/>
          <w:color w:val="2d2d2d"/>
        </w:rPr>
      </w:pPr>
      <w:r w:rsidDel="00000000" w:rsidR="00000000" w:rsidRPr="00000000">
        <w:rPr>
          <w:rFonts w:ascii="Inter" w:cs="Inter" w:eastAsia="Inter" w:hAnsi="Inter"/>
          <w:color w:val="0f4761"/>
          <w:sz w:val="26"/>
          <w:szCs w:val="26"/>
          <w:rtl w:val="0"/>
        </w:rPr>
        <w:t xml:space="preserve">Wolfsberg CBDDQ-Aligned</w:t>
      </w:r>
      <w:r w:rsidDel="00000000" w:rsidR="00000000" w:rsidRPr="00000000">
        <w:rPr>
          <w:rtl w:val="0"/>
        </w:rPr>
      </w:r>
    </w:p>
    <w:p w:rsidR="00000000" w:rsidDel="00000000" w:rsidP="00000000" w:rsidRDefault="00000000" w:rsidRPr="00000000" w14:paraId="00000005">
      <w:pPr>
        <w:spacing w:after="60" w:line="240" w:lineRule="auto"/>
        <w:rPr>
          <w:rFonts w:ascii="Inter" w:cs="Inter" w:eastAsia="Inter" w:hAnsi="Inter"/>
          <w:color w:val="2d2d2d"/>
        </w:rPr>
      </w:pPr>
      <w:r w:rsidDel="00000000" w:rsidR="00000000" w:rsidRPr="00000000">
        <w:rPr>
          <w:rFonts w:ascii="Inter" w:cs="Inter" w:eastAsia="Inter" w:hAnsi="Inter"/>
          <w:b w:val="1"/>
          <w:bCs w:val="1"/>
          <w:color w:val="0f4761"/>
          <w:sz w:val="26"/>
          <w:szCs w:val="26"/>
          <w:rtl w:val="0"/>
        </w:rPr>
        <w:t xml:space="preserve">MAL MONEY INC.  (Trade Name: Mal Money)</w:t>
      </w:r>
      <w:r w:rsidDel="00000000" w:rsidR="00000000" w:rsidRPr="00000000">
        <w:rPr>
          <w:rtl w:val="0"/>
        </w:rPr>
      </w:r>
    </w:p>
    <w:p w:rsidR="00000000" w:rsidDel="00000000" w:rsidP="00000000" w:rsidRDefault="00000000" w:rsidRPr="00000000" w14:paraId="00000006">
      <w:pPr>
        <w:spacing w:after="60" w:line="240" w:lineRule="auto"/>
        <w:rPr>
          <w:rFonts w:ascii="Inter" w:cs="Inter" w:eastAsia="Inter" w:hAnsi="Inter"/>
          <w:color w:val="2d2d2d"/>
        </w:rPr>
      </w:pPr>
      <w:r w:rsidDel="00000000" w:rsidR="00000000" w:rsidRPr="00000000">
        <w:rPr>
          <w:rFonts w:ascii="Inter" w:cs="Inter" w:eastAsia="Inter" w:hAnsi="Inter"/>
          <w:color w:val="78787a"/>
          <w:rtl w:val="0"/>
        </w:rPr>
        <w:t xml:space="preserve">BaaS Program Manager  -  Anti-Money Laundering and Counter-Terrorism Financing</w:t>
      </w:r>
      <w:r w:rsidDel="00000000" w:rsidR="00000000" w:rsidRPr="00000000">
        <w:rPr>
          <w:rtl w:val="0"/>
        </w:rPr>
      </w:r>
    </w:p>
    <w:p w:rsidR="00000000" w:rsidDel="00000000" w:rsidP="00000000" w:rsidRDefault="00000000" w:rsidRPr="00000000" w14:paraId="00000007">
      <w:pPr>
        <w:spacing w:after="300" w:line="240" w:lineRule="auto"/>
        <w:rPr>
          <w:rFonts w:ascii="Inter" w:cs="Inter" w:eastAsia="Inter" w:hAnsi="Inter"/>
          <w:color w:val="2d2d2d"/>
        </w:rPr>
      </w:pPr>
      <w:r w:rsidDel="00000000" w:rsidR="00000000" w:rsidRPr="00000000">
        <w:rPr>
          <w:rFonts w:ascii="Inter" w:cs="Inter" w:eastAsia="Inter" w:hAnsi="Inter"/>
          <w:color w:val="78787a"/>
          <w:rtl w:val="0"/>
        </w:rPr>
        <w:t xml:space="preserve">EIN: 16878389  |  Montana Corporation  |  821 N 27th St #2066, Billings, MT 59101-1121, USA</w:t>
      </w:r>
      <w:r w:rsidDel="00000000" w:rsidR="00000000" w:rsidRPr="00000000">
        <w:rPr>
          <w:rtl w:val="0"/>
        </w:rPr>
      </w:r>
    </w:p>
    <w:tbl>
      <w:tblPr>
        <w:tblStyle w:val="Table1"/>
        <w:tblW w:w="9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7121"/>
        <w:tblGridChange w:id="0">
          <w:tblGrid>
            <w:gridCol w:w="2515"/>
            <w:gridCol w:w="7121"/>
          </w:tblGrid>
        </w:tblGridChange>
      </w:tblGrid>
      <w:tr>
        <w:trPr>
          <w:cantSplit w:val="0"/>
          <w:trHeight w:val="358" w:hRule="atLeast"/>
          <w:tblHeader w:val="0"/>
        </w:trPr>
        <w:tc>
          <w:tcPr>
            <w:gridSpan w:val="2"/>
            <w:tcBorders>
              <w:top w:color="215e99" w:space="0" w:sz="4" w:val="single"/>
              <w:left w:color="215e99" w:space="0" w:sz="4" w:val="single"/>
              <w:bottom w:color="215e99" w:space="0" w:sz="4" w:val="single"/>
              <w:right w:color="215e99" w:space="0" w:sz="4" w:val="single"/>
            </w:tcBorders>
            <w:shd w:fill="215e99" w:val="clear"/>
            <w:tcMar>
              <w:top w:w="80.0" w:type="dxa"/>
              <w:left w:w="200.0" w:type="dxa"/>
              <w:bottom w:w="80.0" w:type="dxa"/>
              <w:right w:w="200.0" w:type="dxa"/>
            </w:tcMar>
          </w:tcPr>
          <w:p w:rsidR="00000000" w:rsidDel="00000000" w:rsidP="00000000" w:rsidRDefault="00000000" w:rsidRPr="00000000" w14:paraId="00000008">
            <w:pPr>
              <w:tabs>
                <w:tab w:val="center" w:leader="none" w:pos="6280"/>
                <w:tab w:val="left" w:leader="none" w:pos="7948"/>
                <w:tab w:val="left" w:leader="none" w:pos="8303"/>
              </w:tabs>
              <w:spacing w:line="240" w:lineRule="auto"/>
              <w:jc w:val="center"/>
              <w:rPr>
                <w:rFonts w:ascii="Inter" w:cs="Inter" w:eastAsia="Inter" w:hAnsi="Inter"/>
                <w:color w:val="2d2d2d"/>
              </w:rPr>
            </w:pPr>
            <w:r w:rsidDel="00000000" w:rsidR="00000000" w:rsidRPr="00000000">
              <w:rPr>
                <w:rFonts w:ascii="Inter" w:cs="Inter" w:eastAsia="Inter" w:hAnsi="Inter"/>
                <w:b w:val="1"/>
                <w:bCs w:val="1"/>
                <w:color w:val="ffffff"/>
                <w:rtl w:val="0"/>
              </w:rPr>
              <w:t xml:space="preserve">DOCUMENT CONTROL</w:t>
            </w:r>
            <w:r w:rsidDel="00000000" w:rsidR="00000000" w:rsidRPr="00000000">
              <w:rPr>
                <w:rtl w:val="0"/>
              </w:rPr>
            </w:r>
          </w:p>
        </w:tc>
      </w:tr>
      <w:tr>
        <w:trPr>
          <w:cantSplit w:val="0"/>
          <w:trHeight w:val="332"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A">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Document Title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Partner Due Diligence Questionnaire - Wolfsberg CBDDQ-Aligned </w:t>
            </w:r>
            <w:r w:rsidDel="00000000" w:rsidR="00000000" w:rsidRPr="00000000">
              <w:rPr>
                <w:rtl w:val="0"/>
              </w:rPr>
            </w:r>
          </w:p>
        </w:tc>
      </w:tr>
      <w:tr>
        <w:trPr>
          <w:cantSplit w:val="0"/>
          <w:trHeight w:val="332"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C">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Subject Institution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MAL MONEY INC. (Trade Name: Mal Money)</w:t>
            </w:r>
            <w:r w:rsidDel="00000000" w:rsidR="00000000" w:rsidRPr="00000000">
              <w:rPr>
                <w:rtl w:val="0"/>
              </w:rPr>
            </w:r>
          </w:p>
        </w:tc>
      </w:tr>
      <w:tr>
        <w:trPr>
          <w:cantSplit w:val="0"/>
          <w:trHeight w:val="332"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0E">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EIN / Registration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0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16878389 | Montana Corporation</w:t>
            </w:r>
            <w:r w:rsidDel="00000000" w:rsidR="00000000" w:rsidRPr="00000000">
              <w:rPr>
                <w:rtl w:val="0"/>
              </w:rPr>
            </w:r>
          </w:p>
        </w:tc>
      </w:tr>
      <w:tr>
        <w:trPr>
          <w:cantSplit w:val="0"/>
          <w:trHeight w:val="639"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0">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Institution Type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BaaS Program Manager - compliance framework structured consistent with MSB AML obligations to the extent applicable</w:t>
            </w:r>
            <w:r w:rsidDel="00000000" w:rsidR="00000000" w:rsidRPr="00000000">
              <w:rPr>
                <w:rtl w:val="0"/>
              </w:rPr>
            </w:r>
          </w:p>
        </w:tc>
      </w:tr>
      <w:tr>
        <w:trPr>
          <w:cantSplit w:val="0"/>
          <w:trHeight w:val="332"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2">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Format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Partner-adapted DDQ aligned to Wolfsberg Group CBDDQ / FCCQ structure</w:t>
            </w:r>
            <w:r w:rsidDel="00000000" w:rsidR="00000000" w:rsidRPr="00000000">
              <w:rPr>
                <w:rtl w:val="0"/>
              </w:rPr>
            </w:r>
          </w:p>
        </w:tc>
      </w:tr>
      <w:tr>
        <w:trPr>
          <w:cantSplit w:val="0"/>
          <w:trHeight w:val="332"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4">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Version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1.0 | FATF language corrected; SAR allocation conditional; CIP basis corrected; 314(b) conditional</w:t>
            </w:r>
            <w:r w:rsidDel="00000000" w:rsidR="00000000" w:rsidRPr="00000000">
              <w:rPr>
                <w:rtl w:val="0"/>
              </w:rPr>
            </w:r>
          </w:p>
        </w:tc>
      </w:tr>
      <w:tr>
        <w:trPr>
          <w:cantSplit w:val="0"/>
          <w:trHeight w:val="332" w:hRule="atLeast"/>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6">
            <w:pPr>
              <w:spacing w:line="240" w:lineRule="auto"/>
              <w:rPr>
                <w:rFonts w:ascii="Inter" w:cs="Inter" w:eastAsia="Inter" w:hAnsi="Inter"/>
                <w:color w:val="2d2d2d"/>
              </w:rPr>
            </w:pPr>
            <w:r w:rsidDel="00000000" w:rsidR="00000000" w:rsidRPr="00000000">
              <w:rPr>
                <w:rFonts w:ascii="Inter" w:cs="Inter" w:eastAsia="Inter" w:hAnsi="Inter"/>
                <w:b w:val="1"/>
                <w:bCs w:val="1"/>
                <w:color w:val="0f4761"/>
                <w:sz w:val="20"/>
                <w:szCs w:val="20"/>
                <w:rtl w:val="0"/>
              </w:rPr>
              <w:t xml:space="preserve">Completion Date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1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March 31, 2026</w:t>
            </w:r>
            <w:r w:rsidDel="00000000" w:rsidR="00000000" w:rsidRPr="00000000">
              <w:rPr>
                <w:rtl w:val="0"/>
              </w:rPr>
            </w:r>
          </w:p>
        </w:tc>
      </w:tr>
    </w:tbl>
    <w:p w:rsidR="00000000" w:rsidDel="00000000" w:rsidP="00000000" w:rsidRDefault="00000000" w:rsidRPr="00000000" w14:paraId="00000018">
      <w:pPr>
        <w:spacing w:after="8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19">
      <w:pPr>
        <w:spacing w:after="80" w:before="80" w:line="240" w:lineRule="auto"/>
        <w:jc w:val="both"/>
        <w:rPr>
          <w:rFonts w:ascii="Inter" w:cs="Inter" w:eastAsia="Inter" w:hAnsi="Inter"/>
          <w:i w:val="1"/>
          <w:iCs w:val="1"/>
          <w:color w:val="555555"/>
          <w:sz w:val="18"/>
          <w:szCs w:val="18"/>
        </w:rPr>
      </w:pPr>
      <w:r w:rsidDel="00000000" w:rsidR="00000000" w:rsidRPr="00000000">
        <w:rPr>
          <w:rFonts w:ascii="Inter" w:cs="Inter" w:eastAsia="Inter" w:hAnsi="Inter"/>
          <w:i w:val="1"/>
          <w:iCs w:val="1"/>
          <w:color w:val="555555"/>
          <w:sz w:val="18"/>
          <w:szCs w:val="18"/>
          <w:rtl w:val="0"/>
        </w:rPr>
        <w:t xml:space="preserve">This DDQ reflects the Company’s current compliance framework design and governance posture as of the Completion Date. It must not be relied upon in isolation from the AML/BSA Compliance Program and the Governance, Regulatory Perimeter and Compliance Positioning Memorandum. Responses marked COND remain subject to confirmed perimeter determinations or final implementation status and will be updated upon confirmation. This document is provided on a confidential basis for due diligence purposes only.</w:t>
      </w:r>
    </w:p>
    <w:p w:rsidR="00000000" w:rsidDel="00000000" w:rsidP="00000000" w:rsidRDefault="00000000" w:rsidRPr="00000000" w14:paraId="0000001A">
      <w:pPr>
        <w:spacing w:line="240" w:lineRule="auto"/>
        <w:rPr>
          <w:rFonts w:ascii="Inter" w:cs="Inter" w:eastAsia="Inter" w:hAnsi="Inter"/>
          <w:color w:val="2d2d2d"/>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keepNext w:val="0"/>
        <w:keepLines w:val="0"/>
        <w:spacing w:after="100" w:before="240" w:line="240" w:lineRule="auto"/>
        <w:rPr>
          <w:b w:val="1"/>
          <w:bCs w:val="1"/>
          <w:color w:val="0f4761"/>
          <w:sz w:val="24"/>
          <w:szCs w:val="24"/>
          <w:u w:val="single"/>
        </w:rPr>
      </w:pPr>
      <w:r w:rsidDel="00000000" w:rsidR="00000000" w:rsidRPr="00000000">
        <w:rPr>
          <w:b w:val="1"/>
          <w:bCs w:val="1"/>
          <w:color w:val="0f4761"/>
          <w:sz w:val="24"/>
          <w:szCs w:val="24"/>
          <w:u w:val="single"/>
          <w:rtl w:val="0"/>
        </w:rPr>
        <w:t xml:space="preserve">Part 1 - Institution Profile: General Information</w:t>
      </w:r>
    </w:p>
    <w:tbl>
      <w:tblPr>
        <w:tblStyle w:val="Table2"/>
        <w:tblW w:w="102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5"/>
        <w:gridCol w:w="1008"/>
        <w:gridCol w:w="4895"/>
        <w:tblGridChange w:id="0">
          <w:tblGrid>
            <w:gridCol w:w="4365"/>
            <w:gridCol w:w="1008"/>
            <w:gridCol w:w="4895"/>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Question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1E">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Explanation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1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Full legal name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020">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MAL MONEY INC. - Montana corporation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Primary trade / brand name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023">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Mal Money</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Country / State of incorporation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026">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United States - Montana</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Registered address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029">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821 N 27th St #2066, Billings, MT 59101</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Primary regulatory body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02C">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2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FinCEN (U.S. Department of Treasury) - to the extent the Company is an MSB under 31 C.F.R. § 1010.100(ff); see Regulatory Perimeter Memo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2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Institution type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02F">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BaaS program manager; compliance framework consistent with MSB AML obligations to the extent applicable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MSB registration with FinCEN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032">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[Confirm: Filed / Pending / Analysis ongoing] - see Regulatory Perimeter Memo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Year established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035">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operational from 2025</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Primary business activities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038">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Cross-border stablecoin-to-fiat settlement; BaaS program management; payout orchestration across high-risk corridors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Corridors of operation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03B">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3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Pakistan, Egypt, Bangladesh, Turkey, UAE - all classified under Company's internal high-risk corridor framework</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Retail customer servicing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03E">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3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Framework designed to support end-user retail remittance customers. Status updated to YES upon confirmed live retail onboarding.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Institutional / B2B clients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041">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Framework designed to support BaaS partners, fintechs, and payment operators. Status updated to YES upon confirmed active institutional client relationships.</w:t>
            </w:r>
            <w:r w:rsidDel="00000000" w:rsidR="00000000" w:rsidRPr="00000000">
              <w:rPr>
                <w:rtl w:val="0"/>
              </w:rPr>
            </w:r>
          </w:p>
        </w:tc>
      </w:tr>
    </w:tbl>
    <w:p w:rsidR="00000000" w:rsidDel="00000000" w:rsidP="00000000" w:rsidRDefault="00000000" w:rsidRPr="00000000" w14:paraId="00000043">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44">
      <w:pPr>
        <w:pStyle w:val="Heading2"/>
        <w:keepNext w:val="0"/>
        <w:keepLines w:val="0"/>
        <w:spacing w:after="100" w:before="240" w:line="240" w:lineRule="auto"/>
        <w:rPr>
          <w:b w:val="1"/>
          <w:bCs w:val="1"/>
          <w:color w:val="0f4761"/>
          <w:sz w:val="24"/>
          <w:szCs w:val="24"/>
          <w:u w:val="single"/>
        </w:rPr>
      </w:pPr>
      <w:r w:rsidDel="00000000" w:rsidR="00000000" w:rsidRPr="00000000">
        <w:rPr>
          <w:b w:val="1"/>
          <w:bCs w:val="1"/>
          <w:color w:val="0f4761"/>
          <w:sz w:val="24"/>
          <w:szCs w:val="24"/>
          <w:u w:val="single"/>
          <w:rtl w:val="0"/>
        </w:rPr>
        <w:t xml:space="preserve">Part 1 - Institution Profile: Ownership and Control</w:t>
      </w:r>
    </w:p>
    <w:tbl>
      <w:tblPr>
        <w:tblStyle w:val="Table3"/>
        <w:tblW w:w="10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2"/>
        <w:gridCol w:w="1008"/>
        <w:gridCol w:w="4933"/>
        <w:tblGridChange w:id="0">
          <w:tblGrid>
            <w:gridCol w:w="4382"/>
            <w:gridCol w:w="1008"/>
            <w:gridCol w:w="4933"/>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4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Question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4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4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Explanation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Publicly listed?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2f3f4" w:val="clear"/>
            <w:tcMar>
              <w:top w:w="80.0" w:type="dxa"/>
              <w:left w:w="160.0" w:type="dxa"/>
              <w:bottom w:w="80.0" w:type="dxa"/>
              <w:right w:w="160.0" w:type="dxa"/>
            </w:tcMar>
          </w:tcPr>
          <w:p w:rsidR="00000000" w:rsidDel="00000000" w:rsidP="00000000" w:rsidRDefault="00000000" w:rsidRPr="00000000" w14:paraId="00000049">
            <w:pPr>
              <w:spacing w:line="240" w:lineRule="auto"/>
              <w:rPr>
                <w:rFonts w:ascii="Inter" w:cs="Inter" w:eastAsia="Inter" w:hAnsi="Inter"/>
                <w:color w:val="2d2d2d"/>
              </w:rPr>
            </w:pPr>
            <w:r w:rsidDel="00000000" w:rsidR="00000000" w:rsidRPr="00000000">
              <w:rPr>
                <w:rFonts w:ascii="Inter" w:cs="Inter" w:eastAsia="Inter" w:hAnsi="Inter"/>
                <w:b w:val="1"/>
                <w:bCs w:val="1"/>
                <w:color w:val="566573"/>
                <w:sz w:val="20"/>
                <w:szCs w:val="20"/>
                <w:rtl w:val="0"/>
              </w:rPr>
              <w:t xml:space="preserve">NO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Privately held Montana corporation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Beneficial ownership information available?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4C">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4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Available to verified partners and regulators on request with appropriate DD/NDA controls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4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Any beneficial owners who are PEPs?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2f3f4" w:val="clear"/>
            <w:tcMar>
              <w:top w:w="80.0" w:type="dxa"/>
              <w:left w:w="160.0" w:type="dxa"/>
              <w:bottom w:w="80.0" w:type="dxa"/>
              <w:right w:w="160.0" w:type="dxa"/>
            </w:tcMar>
          </w:tcPr>
          <w:p w:rsidR="00000000" w:rsidDel="00000000" w:rsidP="00000000" w:rsidRDefault="00000000" w:rsidRPr="00000000" w14:paraId="0000004F">
            <w:pPr>
              <w:spacing w:line="240" w:lineRule="auto"/>
              <w:rPr>
                <w:rFonts w:ascii="Inter" w:cs="Inter" w:eastAsia="Inter" w:hAnsi="Inter"/>
                <w:color w:val="2d2d2d"/>
              </w:rPr>
            </w:pPr>
            <w:r w:rsidDel="00000000" w:rsidR="00000000" w:rsidRPr="00000000">
              <w:rPr>
                <w:rFonts w:ascii="Inter" w:cs="Inter" w:eastAsia="Inter" w:hAnsi="Inter"/>
                <w:b w:val="1"/>
                <w:bCs w:val="1"/>
                <w:color w:val="566573"/>
                <w:sz w:val="20"/>
                <w:szCs w:val="20"/>
                <w:rtl w:val="0"/>
              </w:rPr>
              <w:t xml:space="preserve">NO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Confirmed by Board and BO certification as of this DDQ date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Any sanctioned persons in ownership or control?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2f3f4" w:val="clear"/>
            <w:tcMar>
              <w:top w:w="80.0" w:type="dxa"/>
              <w:left w:w="160.0" w:type="dxa"/>
              <w:bottom w:w="80.0" w:type="dxa"/>
              <w:right w:w="160.0" w:type="dxa"/>
            </w:tcMar>
          </w:tcPr>
          <w:p w:rsidR="00000000" w:rsidDel="00000000" w:rsidP="00000000" w:rsidRDefault="00000000" w:rsidRPr="00000000" w14:paraId="00000052">
            <w:pPr>
              <w:spacing w:line="240" w:lineRule="auto"/>
              <w:rPr>
                <w:rFonts w:ascii="Inter" w:cs="Inter" w:eastAsia="Inter" w:hAnsi="Inter"/>
                <w:color w:val="2d2d2d"/>
              </w:rPr>
            </w:pPr>
            <w:r w:rsidDel="00000000" w:rsidR="00000000" w:rsidRPr="00000000">
              <w:rPr>
                <w:rFonts w:ascii="Inter" w:cs="Inter" w:eastAsia="Inter" w:hAnsi="Inter"/>
                <w:b w:val="1"/>
                <w:bCs w:val="1"/>
                <w:color w:val="566573"/>
                <w:sz w:val="20"/>
                <w:szCs w:val="20"/>
                <w:rtl w:val="0"/>
              </w:rPr>
              <w:t xml:space="preserve">NO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Confirmed by OFAC screening of all owners and directors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Ownership structure transparent and verifiable?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55">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Full BO documentation available to partners on request</w:t>
            </w:r>
            <w:r w:rsidDel="00000000" w:rsidR="00000000" w:rsidRPr="00000000">
              <w:rPr>
                <w:rtl w:val="0"/>
              </w:rPr>
            </w:r>
          </w:p>
        </w:tc>
      </w:tr>
    </w:tbl>
    <w:p w:rsidR="00000000" w:rsidDel="00000000" w:rsidP="00000000" w:rsidRDefault="00000000" w:rsidRPr="00000000" w14:paraId="00000057">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58">
      <w:pPr>
        <w:pStyle w:val="Heading2"/>
        <w:keepNext w:val="0"/>
        <w:keepLines w:val="0"/>
        <w:spacing w:after="100" w:before="240" w:line="240" w:lineRule="auto"/>
        <w:rPr>
          <w:b w:val="1"/>
          <w:bCs w:val="1"/>
          <w:color w:val="0f4761"/>
          <w:sz w:val="24"/>
          <w:szCs w:val="24"/>
          <w:u w:val="single"/>
        </w:rPr>
      </w:pPr>
      <w:r w:rsidDel="00000000" w:rsidR="00000000" w:rsidRPr="00000000">
        <w:rPr>
          <w:b w:val="1"/>
          <w:bCs w:val="1"/>
          <w:color w:val="0f4761"/>
          <w:sz w:val="24"/>
          <w:szCs w:val="24"/>
          <w:u w:val="single"/>
          <w:rtl w:val="0"/>
        </w:rPr>
        <w:t xml:space="preserve">Part 2 - AML/BSA Compliance Program: Governance</w:t>
      </w:r>
    </w:p>
    <w:tbl>
      <w:tblPr>
        <w:tblStyle w:val="Table4"/>
        <w:tblW w:w="10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78"/>
        <w:gridCol w:w="1008"/>
        <w:gridCol w:w="4937"/>
        <w:tblGridChange w:id="0">
          <w:tblGrid>
            <w:gridCol w:w="4378"/>
            <w:gridCol w:w="1008"/>
            <w:gridCol w:w="4937"/>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5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Question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5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5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Explanation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Written AML/BSA Compliance Program?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5D">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5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Board-Grade Policy; Board-approved; reviewed at least annually and upon material change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5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Program structured consistent with 31 C.F.R. § 1022.210?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60">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6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Implements four AML program pillars to the extent applicable as a BaaS program manager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Designated AML/BSA CO?</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63">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U.S.-based CO; appointed by Board; direct Board reporting; independent from revenue functions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6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reports directly to Board?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66">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6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Functional independence confirmed; CO does not report through CEO or any revenue function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Independent AML audit commitment?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69">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Formal commitment: independent testing within 12 months of launch; risk-based thereafter; third-party independent of CO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6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employee AML/CTF training?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6C">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6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Annual baseline; role-specific; new-hire onboarding within 30 days; records retained 5 years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6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Committee for high-risk cases?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6F">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 designated senior management representative; decisions documented; pre-filing QA review on all SAR packages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quarterly compliance dashboard?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72">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Quarterly metrics: SARs, CTRs, alert SLA (P1/P2/P3), issues log, KYC tier distribution, training completion, audit status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Issues and exceptions management framework?</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75">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Severity levels (Critical/High/Medium/Low/Exception); SLAs; Board visibility for Critical and High; quarterly issues log</w:t>
            </w:r>
            <w:r w:rsidDel="00000000" w:rsidR="00000000" w:rsidRPr="00000000">
              <w:rPr>
                <w:rtl w:val="0"/>
              </w:rPr>
            </w:r>
          </w:p>
        </w:tc>
      </w:tr>
    </w:tbl>
    <w:p w:rsidR="00000000" w:rsidDel="00000000" w:rsidP="00000000" w:rsidRDefault="00000000" w:rsidRPr="00000000" w14:paraId="00000077">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78">
      <w:pPr>
        <w:pStyle w:val="Heading2"/>
        <w:keepNext w:val="0"/>
        <w:keepLines w:val="0"/>
        <w:spacing w:after="100" w:before="240" w:line="240" w:lineRule="auto"/>
        <w:rPr>
          <w:b w:val="1"/>
          <w:bCs w:val="1"/>
          <w:color w:val="0f4761"/>
          <w:sz w:val="24"/>
          <w:szCs w:val="24"/>
          <w:u w:val="single"/>
        </w:rPr>
      </w:pPr>
      <w:r w:rsidDel="00000000" w:rsidR="00000000" w:rsidRPr="00000000">
        <w:rPr>
          <w:b w:val="1"/>
          <w:bCs w:val="1"/>
          <w:color w:val="0f4761"/>
          <w:sz w:val="24"/>
          <w:szCs w:val="24"/>
          <w:u w:val="single"/>
          <w:rtl w:val="0"/>
        </w:rPr>
        <w:t xml:space="preserve">Part 2 - AML/BSA Compliance Program: Customer Due Diligence</w:t>
      </w:r>
    </w:p>
    <w:tbl>
      <w:tblPr>
        <w:tblStyle w:val="Table5"/>
        <w:tblW w:w="104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73"/>
        <w:gridCol w:w="1152"/>
        <w:gridCol w:w="4909"/>
        <w:tblGridChange w:id="0">
          <w:tblGrid>
            <w:gridCol w:w="4373"/>
            <w:gridCol w:w="1152"/>
            <w:gridCol w:w="4909"/>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7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Question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7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7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Explanation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Risk-based KYC/CDD framework?</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7D">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7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Three-tier onboarding model (Tier 1 Standard; Tier 2 Elevated; Tier 3 EDD) consistent with U.S. AML expectations and partner requirements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7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Note on CIP rule basis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080">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Company's KYC/CDD is not claimed as direct implementation of 31 C.F.R. § 1020.220 (bank CIP rule); it is a risk-based framework appropriate for a BaaS program manager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Beneficial ownership identification and verification?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83">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25% threshold Tier 1/2; internal enhanced standard 10% threshold for Tier 3 EDD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EDD for high-risk customers?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86">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Mandatory Tier 3 EDD: SoF/SoW documentation; independent background investigation; Senior Management approval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PEP screening at onboarding and periodic refresh?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89">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PEP database at onboarding and each KYC refresh cycle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Adverse media screening?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8C">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8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At onboarding and re-screened at each KYC refresh cycle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8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OFAC/sanctions screening at onboarding?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8F">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Real-time SDN plus applicable OFAC program-specific lists; fuzzy name matching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Periodic KYC refresh?</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92">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Tier 1: annual; Tier 2: semi-annual; Tier 3: quarterly + event-driven triggers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Prohibited customer types documented?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95">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Includes OFAC-listed persons; shell banks; unregistered MSBs; mixers/tumblers; cannabis; anonymous accounts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Customer offboarding procedure?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98">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9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Documented SOP; SAR review mandatory before Tier 2/3 termination; records retained 5 years from closure</w:t>
            </w:r>
            <w:r w:rsidDel="00000000" w:rsidR="00000000" w:rsidRPr="00000000">
              <w:rPr>
                <w:rtl w:val="0"/>
              </w:rPr>
            </w:r>
          </w:p>
        </w:tc>
      </w:tr>
    </w:tbl>
    <w:p w:rsidR="00000000" w:rsidDel="00000000" w:rsidP="00000000" w:rsidRDefault="00000000" w:rsidRPr="00000000" w14:paraId="0000009A">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9B">
      <w:pPr>
        <w:pStyle w:val="Heading2"/>
        <w:keepNext w:val="0"/>
        <w:keepLines w:val="0"/>
        <w:spacing w:after="100" w:before="240" w:line="240" w:lineRule="auto"/>
        <w:rPr>
          <w:b w:val="1"/>
          <w:bCs w:val="1"/>
          <w:color w:val="0f4761"/>
          <w:sz w:val="24"/>
          <w:szCs w:val="24"/>
          <w:u w:val="single"/>
        </w:rPr>
      </w:pPr>
      <w:r w:rsidDel="00000000" w:rsidR="00000000" w:rsidRPr="00000000">
        <w:rPr>
          <w:b w:val="1"/>
          <w:bCs w:val="1"/>
          <w:color w:val="0f4761"/>
          <w:sz w:val="24"/>
          <w:szCs w:val="24"/>
          <w:u w:val="single"/>
          <w:rtl w:val="0"/>
        </w:rPr>
        <w:t xml:space="preserve">Part 2 - AML/BSA Compliance Program: Transaction Monitoring</w:t>
      </w:r>
    </w:p>
    <w:tbl>
      <w:tblPr>
        <w:tblStyle w:val="Table6"/>
        <w:tblW w:w="10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6"/>
        <w:gridCol w:w="1152"/>
        <w:gridCol w:w="4894"/>
        <w:tblGridChange w:id="0">
          <w:tblGrid>
            <w:gridCol w:w="4366"/>
            <w:gridCol w:w="1152"/>
            <w:gridCol w:w="4894"/>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9C">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Question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9D">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9E">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Explanation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9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Formal TM program?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A0">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TM Procedures; automated rules + behavioral analytics + blockchain analytics; P1/P2/P3 severity model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A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P1/P2/P3 alert severity model?</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A3">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A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P1: 4-hour CO review; P2: 24-hour CO review; P3: 48-hour analyst review; SLA breach escalation and Board reporting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TM covers fiat and digital assets?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A6">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ACH; wire; card; stablecoin (USDT, USDC, other pegged assets)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A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Blockchain analytics for digital assets?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0A9">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A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Blockchain analytics platform is incorporated into the Company's control framework design. Status updated to YES upon confirmed live digital asset transaction processing.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Mixer/tumbler detection?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0AC">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A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Exposure above configured blockchain analytics threshold triggers P1 alert and hold. Status updated to YES upon confirmed live operations.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A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ACH return and recall fraud controls?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AF">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R10/R29 P2 triggers; CO recall queue mandatory; 0.5% return rate threshold; recall fraud pattern P1 escalation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CVC kiosk scam typologies (FIN-2025-CVCKIOSK)?</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B2">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Incorporated as monitoring scenarios per FinCEN Notice dated August 4, 2025</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Chinese ML network typologies (FIN-2025-A003)?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B5">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Incorporated as monitoring scenarios per FinCEN Advisory dated August 28, 2025</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filing - direct (where Company is filing institution)?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0B8">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Where Company is the regulated MSB filing institution: SARs filed within 30 days at $2,000 threshold. See Regulatory Perimeter Memo.</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escalation (where Banking Partner is filer)?</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BB">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B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Company detects, investigates, prepares escalation package, transmits within ~20 days; all escalations logged with outcome tracking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 filing?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0BE">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B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CTR obligations apply to the extent Company is a filing institution. See Regulatory Perimeter Memo for filing allocation.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Continuing activity SARs?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C1">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Risk-based approach; ~90-day review cycle where Company is filer</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TM rule tuning and QA?</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C4">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Quarterly review; post-SAR review; annual risk assessment integration; FinCEN advisory 30-day incorporation</w:t>
            </w:r>
            <w:r w:rsidDel="00000000" w:rsidR="00000000" w:rsidRPr="00000000">
              <w:rPr>
                <w:rtl w:val="0"/>
              </w:rPr>
            </w:r>
          </w:p>
        </w:tc>
      </w:tr>
    </w:tbl>
    <w:p w:rsidR="00000000" w:rsidDel="00000000" w:rsidP="00000000" w:rsidRDefault="00000000" w:rsidRPr="00000000" w14:paraId="000000C6">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C7">
      <w:pPr>
        <w:pStyle w:val="Heading2"/>
        <w:keepNext w:val="0"/>
        <w:keepLines w:val="0"/>
        <w:spacing w:after="100" w:before="240" w:line="240" w:lineRule="auto"/>
        <w:rPr>
          <w:b w:val="1"/>
          <w:bCs w:val="1"/>
          <w:color w:val="0f4761"/>
          <w:sz w:val="24"/>
          <w:szCs w:val="24"/>
          <w:u w:val="single"/>
        </w:rPr>
      </w:pPr>
      <w:r w:rsidDel="00000000" w:rsidR="00000000" w:rsidRPr="00000000">
        <w:rPr>
          <w:b w:val="1"/>
          <w:bCs w:val="1"/>
          <w:color w:val="0f4761"/>
          <w:sz w:val="24"/>
          <w:szCs w:val="24"/>
          <w:u w:val="single"/>
          <w:rtl w:val="0"/>
        </w:rPr>
        <w:t xml:space="preserve">Part 2 - AML/BSA Compliance Program: Sanctions Compliance</w:t>
      </w:r>
    </w:p>
    <w:tbl>
      <w:tblPr>
        <w:tblStyle w:val="Table7"/>
        <w:tblW w:w="10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4"/>
        <w:gridCol w:w="1152"/>
        <w:gridCol w:w="4896"/>
        <w:tblGridChange w:id="0">
          <w:tblGrid>
            <w:gridCol w:w="4364"/>
            <w:gridCol w:w="1152"/>
            <w:gridCol w:w="4896"/>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C8">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Question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C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C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Explanation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Formal OFAC sanctions compliance program?</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CC">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C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Tracks OFAC's five-component framework: management commitment; risk assessment; internal controls; testing/audit; training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C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SDN screening at onboarding and ongoing?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CF">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D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Real-time SDN; updated daily; fuzzy name matching; counterparty screening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Transaction screening against OFAC lists?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D2">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Real-time transaction screening; all corridors; all asset classes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D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Enhanced sanctions and illicit finance screening?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D5">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D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SDGT; SDNTK; NPWMD; E.O. 13224; E.O. 13268; country-specific OFAC programs; UN Consolidated List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50 Percent Rule applied?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D8">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Entities 50%+ owned by SDNs treated as blocked per OFAC guidance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D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Digital asset wallet OFAC screening?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0DB">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D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Blockchain analytics OFAC virtual currency address screening is incorporated into the Company's control framework design. Status updated to YES upon confirmed live digital asset transaction processing.</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blocking / rejection reports filed within 10 business days?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0DE">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D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Where Company is responsible for OFAC actions: filed within 10 business days. See Regulatory Perimeter Memo for scope.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No-shell-bank policy?</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E1">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Documented prohibition; shell bank correspondent relationships prohibited</w:t>
            </w:r>
            <w:r w:rsidDel="00000000" w:rsidR="00000000" w:rsidRPr="00000000">
              <w:rPr>
                <w:rtl w:val="0"/>
              </w:rPr>
            </w:r>
          </w:p>
        </w:tc>
      </w:tr>
    </w:tbl>
    <w:p w:rsidR="00000000" w:rsidDel="00000000" w:rsidP="00000000" w:rsidRDefault="00000000" w:rsidRPr="00000000" w14:paraId="000000E3">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E4">
      <w:pPr>
        <w:pStyle w:val="Heading2"/>
        <w:keepNext w:val="0"/>
        <w:keepLines w:val="0"/>
        <w:spacing w:after="100" w:before="240" w:line="240" w:lineRule="auto"/>
        <w:rPr>
          <w:b w:val="1"/>
          <w:bCs w:val="1"/>
          <w:color w:val="0f4761"/>
          <w:sz w:val="24"/>
          <w:szCs w:val="24"/>
          <w:u w:val="single"/>
        </w:rPr>
      </w:pPr>
      <w:r w:rsidDel="00000000" w:rsidR="00000000" w:rsidRPr="00000000">
        <w:rPr>
          <w:b w:val="1"/>
          <w:bCs w:val="1"/>
          <w:color w:val="0f4761"/>
          <w:sz w:val="24"/>
          <w:szCs w:val="24"/>
          <w:u w:val="single"/>
          <w:rtl w:val="0"/>
        </w:rPr>
        <w:t xml:space="preserve">Part 2 - AML/BSA Compliance Program: Recordkeeping</w:t>
      </w:r>
    </w:p>
    <w:tbl>
      <w:tblPr>
        <w:tblStyle w:val="Table8"/>
        <w:tblW w:w="10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2"/>
        <w:gridCol w:w="1152"/>
        <w:gridCol w:w="4898"/>
        <w:tblGridChange w:id="0">
          <w:tblGrid>
            <w:gridCol w:w="4362"/>
            <w:gridCol w:w="1152"/>
            <w:gridCol w:w="4898"/>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Question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E7">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Explanation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AML records retained minimum 5 years?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E9">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 C.F.R. Chapter X; measured from account closure or transaction completion date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SAR filings and supporting documents retained?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EC">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E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 from filing date; copies maintained separate from FinCEN e-filing system</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E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Travel Rule / funds transmittal records (31 C.F.R. § 1010.410)?</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0EF">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Recordkeeping framework for transmittals at $3,000+ is incorporated into TM Procedures. Operational retention applies upon commencement of qualifying transmittals.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records retained?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F2">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Screening results; adjudications; blocking/rejection records; 5 years from action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Training records retained?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F5">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5 years; attendance; materials; competency assessments</w:t>
            </w:r>
            <w:r w:rsidDel="00000000" w:rsidR="00000000" w:rsidRPr="00000000">
              <w:rPr>
                <w:rtl w:val="0"/>
              </w:rPr>
            </w:r>
          </w:p>
        </w:tc>
      </w:tr>
    </w:tbl>
    <w:p w:rsidR="00000000" w:rsidDel="00000000" w:rsidP="00000000" w:rsidRDefault="00000000" w:rsidRPr="00000000" w14:paraId="000000F7">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0F8">
      <w:pPr>
        <w:pStyle w:val="Heading2"/>
        <w:keepNext w:val="0"/>
        <w:keepLines w:val="0"/>
        <w:spacing w:after="100" w:before="240" w:line="240" w:lineRule="auto"/>
        <w:rPr>
          <w:b w:val="1"/>
          <w:bCs w:val="1"/>
          <w:color w:val="0f4761"/>
          <w:sz w:val="24"/>
          <w:szCs w:val="24"/>
          <w:u w:val="single"/>
        </w:rPr>
      </w:pPr>
      <w:r w:rsidDel="00000000" w:rsidR="00000000" w:rsidRPr="00000000">
        <w:rPr>
          <w:b w:val="1"/>
          <w:bCs w:val="1"/>
          <w:color w:val="0f4761"/>
          <w:sz w:val="24"/>
          <w:szCs w:val="24"/>
          <w:u w:val="single"/>
          <w:rtl w:val="0"/>
        </w:rPr>
        <w:t xml:space="preserve">Part 3 - Information Sharing: FinCEN 314(a) and 314(b)</w:t>
      </w:r>
    </w:p>
    <w:tbl>
      <w:tblPr>
        <w:tblStyle w:val="Table9"/>
        <w:tblW w:w="10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4"/>
        <w:gridCol w:w="1152"/>
        <w:gridCol w:w="4896"/>
        <w:tblGridChange w:id="0">
          <w:tblGrid>
            <w:gridCol w:w="4364"/>
            <w:gridCol w:w="1152"/>
            <w:gridCol w:w="4896"/>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F9">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Question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FA">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0FB">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Explanation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314(a) designated contact established?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0FD">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0F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 designated as FinCEN 314(a) contact; records searched within allotted timeframe (~2 weeks); positive matches reported; strictly confidential</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0F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314(b) voluntary information sharing - does institution participate?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100">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Framework established. All sharing subject to: FinCEN notice; counterparty verification; limitation to ML/TF; documentation. Update to YES only if FinCEN notice is confirmed filed.</w:t>
            </w:r>
            <w:r w:rsidDel="00000000" w:rsidR="00000000" w:rsidRPr="00000000">
              <w:rPr>
                <w:rtl w:val="0"/>
              </w:rPr>
            </w:r>
          </w:p>
        </w:tc>
      </w:tr>
    </w:tbl>
    <w:p w:rsidR="00000000" w:rsidDel="00000000" w:rsidP="00000000" w:rsidRDefault="00000000" w:rsidRPr="00000000" w14:paraId="00000102">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03">
      <w:pPr>
        <w:pStyle w:val="Heading2"/>
        <w:keepNext w:val="0"/>
        <w:keepLines w:val="0"/>
        <w:spacing w:after="100" w:before="240" w:line="240" w:lineRule="auto"/>
        <w:rPr>
          <w:b w:val="1"/>
          <w:bCs w:val="1"/>
          <w:color w:val="0f4761"/>
          <w:sz w:val="24"/>
          <w:szCs w:val="24"/>
          <w:u w:val="single"/>
        </w:rPr>
      </w:pPr>
      <w:r w:rsidDel="00000000" w:rsidR="00000000" w:rsidRPr="00000000">
        <w:rPr>
          <w:b w:val="1"/>
          <w:bCs w:val="1"/>
          <w:color w:val="0f4761"/>
          <w:sz w:val="24"/>
          <w:szCs w:val="24"/>
          <w:u w:val="single"/>
          <w:rtl w:val="0"/>
        </w:rPr>
        <w:t xml:space="preserve">Part 4 - Corridors: Internal Corridor Risk Framework</w:t>
      </w:r>
    </w:p>
    <w:tbl>
      <w:tblPr>
        <w:tblStyle w:val="Table10"/>
        <w:tblW w:w="104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9"/>
        <w:gridCol w:w="1152"/>
        <w:gridCol w:w="4913"/>
        <w:tblGridChange w:id="0">
          <w:tblGrid>
            <w:gridCol w:w="4369"/>
            <w:gridCol w:w="1152"/>
            <w:gridCol w:w="4913"/>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0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Question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05">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06">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Explanation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Internal corridor risk assessment?</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108">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Comprehensive internal risk assessment; corridors classified Very High/High/Medium-High regardless of current FATF list status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Pakistan - current risk classification?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10B">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0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VERY HIGH - internal classification. NOT on FATF grey list (removed Oct 2022). Based on TF risk, hawala/hundi prevalence, and province-level risks (KPK/FATA/Balochistan).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Egypt - current risk classification?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10E">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0F">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 - internal classification. NOT on FATF grey list. Based on currency control evasion risk, informal economy, and limited AML enforcement.</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Bangladesh - current risk classification?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111">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2">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HIGH - internal classification. NOT on FATF grey list. Based on trade-based ML, remittance vulnerability, and NPO/charity TF exposure.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1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Turkey (Turkiye) - current risk classification?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114">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1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MEDIUM-HIGH - internal classification. NOT on grey list (removed June 2024). Based on gold/CVC trading risks and geographic position.</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UAE - current risk classification?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6eaf8" w:val="clear"/>
            <w:tcMar>
              <w:top w:w="80.0" w:type="dxa"/>
              <w:left w:w="160.0" w:type="dxa"/>
              <w:bottom w:w="80.0" w:type="dxa"/>
              <w:right w:w="160.0" w:type="dxa"/>
            </w:tcMar>
          </w:tcPr>
          <w:p w:rsidR="00000000" w:rsidDel="00000000" w:rsidP="00000000" w:rsidRDefault="00000000" w:rsidRPr="00000000" w14:paraId="00000117">
            <w:pPr>
              <w:spacing w:line="240" w:lineRule="auto"/>
              <w:rPr>
                <w:rFonts w:ascii="Inter" w:cs="Inter" w:eastAsia="Inter" w:hAnsi="Inter"/>
                <w:color w:val="2d2d2d"/>
              </w:rPr>
            </w:pPr>
            <w:r w:rsidDel="00000000" w:rsidR="00000000" w:rsidRPr="00000000">
              <w:rPr>
                <w:rFonts w:ascii="Inter" w:cs="Inter" w:eastAsia="Inter" w:hAnsi="Inter"/>
                <w:b w:val="1"/>
                <w:bCs w:val="1"/>
                <w:color w:val="1a5276"/>
                <w:sz w:val="20"/>
                <w:szCs w:val="20"/>
                <w:rtl w:val="0"/>
              </w:rPr>
              <w:t xml:space="preserve">NOTE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MEDIUM-HIGH - internal classification. NOT on grey list (removed Feb 2024). Based on trade finance ML risk and proximity to sanctioned jurisdictions.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19">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Province-level sub-risking (Pakistan)?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11A">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1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KPK/FATA/Balochistan: mandatory Tier 3 / Very High; Karachi/Sindh: Tier 3 default / High; Punjab: Tier 2+ / High; Islamabad: Tier 2 standard</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C">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Corridor Addendum process?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11D">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1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Board approval (Very High/High) or CO sign-off + Board notification (Medium-High) required before go-live; annual revalidation</w:t>
            </w:r>
            <w:r w:rsidDel="00000000" w:rsidR="00000000" w:rsidRPr="00000000">
              <w:rPr>
                <w:rtl w:val="0"/>
              </w:rPr>
            </w:r>
          </w:p>
        </w:tc>
      </w:tr>
    </w:tbl>
    <w:p w:rsidR="00000000" w:rsidDel="00000000" w:rsidP="00000000" w:rsidRDefault="00000000" w:rsidRPr="00000000" w14:paraId="0000011F">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20">
      <w:pPr>
        <w:pStyle w:val="Heading2"/>
        <w:keepNext w:val="0"/>
        <w:keepLines w:val="0"/>
        <w:spacing w:after="100" w:before="240" w:line="240" w:lineRule="auto"/>
        <w:rPr>
          <w:b w:val="1"/>
          <w:bCs w:val="1"/>
          <w:color w:val="0f4761"/>
          <w:sz w:val="24"/>
          <w:szCs w:val="24"/>
          <w:u w:val="single"/>
        </w:rPr>
      </w:pPr>
      <w:r w:rsidDel="00000000" w:rsidR="00000000" w:rsidRPr="00000000">
        <w:rPr>
          <w:rtl w:val="0"/>
        </w:rPr>
      </w:r>
    </w:p>
    <w:p w:rsidR="00000000" w:rsidDel="00000000" w:rsidP="00000000" w:rsidRDefault="00000000" w:rsidRPr="00000000" w14:paraId="00000121">
      <w:pPr>
        <w:pStyle w:val="Heading2"/>
        <w:keepNext w:val="0"/>
        <w:keepLines w:val="0"/>
        <w:spacing w:after="100" w:before="240" w:line="240" w:lineRule="auto"/>
        <w:rPr>
          <w:b w:val="1"/>
          <w:bCs w:val="1"/>
          <w:color w:val="0f4761"/>
          <w:sz w:val="24"/>
          <w:szCs w:val="24"/>
          <w:u w:val="single"/>
        </w:rPr>
      </w:pPr>
      <w:r w:rsidDel="00000000" w:rsidR="00000000" w:rsidRPr="00000000">
        <w:rPr>
          <w:b w:val="1"/>
          <w:bCs w:val="1"/>
          <w:color w:val="0f4761"/>
          <w:sz w:val="24"/>
          <w:szCs w:val="24"/>
          <w:u w:val="single"/>
          <w:rtl w:val="0"/>
        </w:rPr>
        <w:t xml:space="preserve">Part 4 - Digital Assets and Stablecoins</w:t>
      </w:r>
    </w:p>
    <w:tbl>
      <w:tblPr>
        <w:tblStyle w:val="Table11"/>
        <w:tblW w:w="10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8"/>
        <w:gridCol w:w="1152"/>
        <w:gridCol w:w="4892"/>
        <w:tblGridChange w:id="0">
          <w:tblGrid>
            <w:gridCol w:w="4368"/>
            <w:gridCol w:w="1152"/>
            <w:gridCol w:w="4892"/>
          </w:tblGrid>
        </w:tblGridChange>
      </w:tblGrid>
      <w:tr>
        <w:trPr>
          <w:cantSplit w:val="0"/>
          <w:tblHeader w:val="0"/>
        </w:trPr>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22">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Question</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23">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Status</w:t>
            </w:r>
            <w:r w:rsidDel="00000000" w:rsidR="00000000" w:rsidRPr="00000000">
              <w:rPr>
                <w:rtl w:val="0"/>
              </w:rPr>
            </w:r>
          </w:p>
        </w:tc>
        <w:tc>
          <w:tcPr>
            <w:tcBorders>
              <w:top w:color="215e99" w:space="0" w:sz="4" w:val="single"/>
              <w:left w:color="215e99" w:space="0" w:sz="4" w:val="single"/>
              <w:bottom w:color="215e99" w:space="0" w:sz="4" w:val="single"/>
              <w:right w:color="215e99" w:space="0" w:sz="4" w:val="single"/>
            </w:tcBorders>
            <w:shd w:fill="215e99" w:val="clear"/>
            <w:tcMar>
              <w:top w:w="80.0" w:type="dxa"/>
              <w:left w:w="160.0" w:type="dxa"/>
              <w:bottom w:w="80.0" w:type="dxa"/>
              <w:right w:w="160.0" w:type="dxa"/>
            </w:tcMar>
          </w:tcPr>
          <w:p w:rsidR="00000000" w:rsidDel="00000000" w:rsidP="00000000" w:rsidRDefault="00000000" w:rsidRPr="00000000" w14:paraId="00000124">
            <w:pPr>
              <w:spacing w:line="240" w:lineRule="auto"/>
              <w:rPr>
                <w:rFonts w:ascii="Inter" w:cs="Inter" w:eastAsia="Inter" w:hAnsi="Inter"/>
                <w:color w:val="2d2d2d"/>
              </w:rPr>
            </w:pPr>
            <w:r w:rsidDel="00000000" w:rsidR="00000000" w:rsidRPr="00000000">
              <w:rPr>
                <w:rFonts w:ascii="Inter" w:cs="Inter" w:eastAsia="Inter" w:hAnsi="Inter"/>
                <w:b w:val="1"/>
                <w:bCs w:val="1"/>
                <w:color w:val="ffffff"/>
                <w:sz w:val="20"/>
                <w:szCs w:val="20"/>
                <w:rtl w:val="0"/>
              </w:rPr>
              <w:t xml:space="preserve">Explanation / Notes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25">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Stablecoin / CVC transactions processed?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126">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27">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USDT, USDC, and other fiat-pegged assets are incorporated into the Company's compliance framework design as settlement instruments. Live processing subject to launch scope and corridor go-live status.</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28">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FATF Recommendation 16 / Travel Rule?</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129">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2A">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Travel Rule compliance framework is designed and incorporated into TM Procedures. Operational application depends on confirmed transaction scope and structure.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2B">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CVC kiosk scam typologies (FIN-2025-CVCKIOSK)?</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12C">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2D">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Incorporated per FinCEN Notice August 4, 2025</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2E">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Chinese ML network typologies (FIN-2025-A003)?</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d5f0e0" w:val="clear"/>
            <w:tcMar>
              <w:top w:w="80.0" w:type="dxa"/>
              <w:left w:w="160.0" w:type="dxa"/>
              <w:bottom w:w="80.0" w:type="dxa"/>
              <w:right w:w="160.0" w:type="dxa"/>
            </w:tcMar>
          </w:tcPr>
          <w:p w:rsidR="00000000" w:rsidDel="00000000" w:rsidP="00000000" w:rsidRDefault="00000000" w:rsidRPr="00000000" w14:paraId="0000012F">
            <w:pPr>
              <w:spacing w:line="240" w:lineRule="auto"/>
              <w:rPr>
                <w:rFonts w:ascii="Inter" w:cs="Inter" w:eastAsia="Inter" w:hAnsi="Inter"/>
                <w:color w:val="2d2d2d"/>
              </w:rPr>
            </w:pPr>
            <w:r w:rsidDel="00000000" w:rsidR="00000000" w:rsidRPr="00000000">
              <w:rPr>
                <w:rFonts w:ascii="Inter" w:cs="Inter" w:eastAsia="Inter" w:hAnsi="Inter"/>
                <w:b w:val="1"/>
                <w:bCs w:val="1"/>
                <w:color w:val="1e8449"/>
                <w:sz w:val="20"/>
                <w:szCs w:val="20"/>
                <w:rtl w:val="0"/>
              </w:rPr>
              <w:t xml:space="preserve">YES</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0">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Incorporated per FinCEN Advisory August 28, 2025</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1">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Mixer/tumbler exposure detection?</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132">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e8eef7" w:val="clear"/>
            <w:tcMar>
              <w:top w:w="80.0" w:type="dxa"/>
              <w:left w:w="160.0" w:type="dxa"/>
              <w:bottom w:w="80.0" w:type="dxa"/>
              <w:right w:w="160.0" w:type="dxa"/>
            </w:tcMar>
          </w:tcPr>
          <w:p w:rsidR="00000000" w:rsidDel="00000000" w:rsidP="00000000" w:rsidRDefault="00000000" w:rsidRPr="00000000" w14:paraId="00000133">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Above configured blockchain analytics threshold triggers P1; operational detection subject to confirmed live stablecoin processing scope.</w:t>
            </w:r>
            <w:r w:rsidDel="00000000" w:rsidR="00000000" w:rsidRPr="00000000">
              <w:rPr>
                <w:rtl w:val="0"/>
              </w:rPr>
            </w:r>
          </w:p>
        </w:tc>
      </w:tr>
      <w:tr>
        <w:trPr>
          <w:cantSplit w:val="0"/>
          <w:tblHeader w:val="0"/>
        </w:trPr>
        <w:tc>
          <w:tcPr>
            <w:tcBorders>
              <w:top w:color="c0c8d8" w:space="0" w:sz="4" w:val="single"/>
              <w:left w:color="215e99"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4">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OFAC digital asset wallet screening?</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de8cc" w:val="clear"/>
            <w:tcMar>
              <w:top w:w="80.0" w:type="dxa"/>
              <w:left w:w="160.0" w:type="dxa"/>
              <w:bottom w:w="80.0" w:type="dxa"/>
              <w:right w:w="160.0" w:type="dxa"/>
            </w:tcMar>
          </w:tcPr>
          <w:p w:rsidR="00000000" w:rsidDel="00000000" w:rsidP="00000000" w:rsidRDefault="00000000" w:rsidRPr="00000000" w14:paraId="00000135">
            <w:pPr>
              <w:spacing w:line="240" w:lineRule="auto"/>
              <w:rPr>
                <w:rFonts w:ascii="Inter" w:cs="Inter" w:eastAsia="Inter" w:hAnsi="Inter"/>
                <w:color w:val="2d2d2d"/>
              </w:rPr>
            </w:pPr>
            <w:r w:rsidDel="00000000" w:rsidR="00000000" w:rsidRPr="00000000">
              <w:rPr>
                <w:rFonts w:ascii="Inter" w:cs="Inter" w:eastAsia="Inter" w:hAnsi="Inter"/>
                <w:b w:val="1"/>
                <w:bCs w:val="1"/>
                <w:color w:val="784212"/>
                <w:sz w:val="20"/>
                <w:szCs w:val="20"/>
                <w:rtl w:val="0"/>
              </w:rPr>
              <w:t xml:space="preserve">COND</w:t>
            </w:r>
            <w:r w:rsidDel="00000000" w:rsidR="00000000" w:rsidRPr="00000000">
              <w:rPr>
                <w:rtl w:val="0"/>
              </w:rPr>
            </w:r>
          </w:p>
        </w:tc>
        <w:tc>
          <w:tcPr>
            <w:tcBorders>
              <w:top w:color="c0c8d8" w:space="0" w:sz="4" w:val="single"/>
              <w:left w:color="c0c8d8" w:space="0" w:sz="4" w:val="single"/>
              <w:bottom w:color="c0c8d8" w:space="0" w:sz="4" w:val="single"/>
              <w:right w:color="c0c8d8" w:space="0" w:sz="4" w:val="single"/>
            </w:tcBorders>
            <w:shd w:fill="ffffff" w:val="clear"/>
            <w:tcMar>
              <w:top w:w="80.0" w:type="dxa"/>
              <w:left w:w="160.0" w:type="dxa"/>
              <w:bottom w:w="80.0" w:type="dxa"/>
              <w:right w:w="160.0" w:type="dxa"/>
            </w:tcMar>
          </w:tcPr>
          <w:p w:rsidR="00000000" w:rsidDel="00000000" w:rsidP="00000000" w:rsidRDefault="00000000" w:rsidRPr="00000000" w14:paraId="00000136">
            <w:pPr>
              <w:spacing w:line="240" w:lineRule="auto"/>
              <w:rPr>
                <w:rFonts w:ascii="Inter" w:cs="Inter" w:eastAsia="Inter" w:hAnsi="Inter"/>
                <w:color w:val="2d2d2d"/>
              </w:rPr>
            </w:pPr>
            <w:r w:rsidDel="00000000" w:rsidR="00000000" w:rsidRPr="00000000">
              <w:rPr>
                <w:rFonts w:ascii="Inter" w:cs="Inter" w:eastAsia="Inter" w:hAnsi="Inter"/>
                <w:color w:val="2d2d2d"/>
                <w:sz w:val="20"/>
                <w:szCs w:val="20"/>
                <w:rtl w:val="0"/>
              </w:rPr>
              <w:t xml:space="preserve">All wallet addresses designed to be screened against OFAC CVC designations via blockchain analytics. Operational screening subject to confirmed live digital asset processing.</w:t>
            </w:r>
            <w:r w:rsidDel="00000000" w:rsidR="00000000" w:rsidRPr="00000000">
              <w:rPr>
                <w:rtl w:val="0"/>
              </w:rPr>
            </w:r>
          </w:p>
        </w:tc>
      </w:tr>
    </w:tbl>
    <w:p w:rsidR="00000000" w:rsidDel="00000000" w:rsidP="00000000" w:rsidRDefault="00000000" w:rsidRPr="00000000" w14:paraId="00000137">
      <w:pPr>
        <w:spacing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38">
      <w:pPr>
        <w:pStyle w:val="Heading2"/>
        <w:keepNext w:val="0"/>
        <w:keepLines w:val="0"/>
        <w:spacing w:after="100" w:before="240" w:line="240" w:lineRule="auto"/>
        <w:rPr>
          <w:b w:val="1"/>
          <w:bCs w:val="1"/>
          <w:color w:val="0f4761"/>
          <w:sz w:val="24"/>
          <w:szCs w:val="24"/>
          <w:u w:val="single"/>
        </w:rPr>
      </w:pPr>
      <w:r w:rsidDel="00000000" w:rsidR="00000000" w:rsidRPr="00000000">
        <w:rPr>
          <w:b w:val="1"/>
          <w:bCs w:val="1"/>
          <w:color w:val="0f4761"/>
          <w:sz w:val="24"/>
          <w:szCs w:val="24"/>
          <w:u w:val="single"/>
          <w:rtl w:val="0"/>
        </w:rPr>
        <w:t xml:space="preserve">Part 5 - Certification</w:t>
      </w:r>
    </w:p>
    <w:p w:rsidR="00000000" w:rsidDel="00000000" w:rsidP="00000000" w:rsidRDefault="00000000" w:rsidRPr="00000000" w14:paraId="00000139">
      <w:pPr>
        <w:spacing w:after="100" w:before="60" w:line="240" w:lineRule="auto"/>
        <w:ind w:right="-810"/>
        <w:jc w:val="both"/>
        <w:rPr>
          <w:rFonts w:ascii="Inter" w:cs="Inter" w:eastAsia="Inter" w:hAnsi="Inter"/>
          <w:color w:val="2d2d2d"/>
        </w:rPr>
      </w:pPr>
      <w:r w:rsidDel="00000000" w:rsidR="00000000" w:rsidRPr="00000000">
        <w:rPr>
          <w:rFonts w:ascii="Inter" w:cs="Inter" w:eastAsia="Inter" w:hAnsi="Inter"/>
          <w:color w:val="2d2d2d"/>
          <w:rtl w:val="0"/>
        </w:rPr>
        <w:t xml:space="preserve">The undersigned, as AML/BSA Compliance Officer of MAL MONEY INC., certifies that the responses in this DDQ reflect the Company's compliance framework design and current governance posture as of the Completion Date, subject to the COND items noted throughout.</w:t>
      </w:r>
    </w:p>
    <w:p w:rsidR="00000000" w:rsidDel="00000000" w:rsidP="00000000" w:rsidRDefault="00000000" w:rsidRPr="00000000" w14:paraId="0000013A">
      <w:pPr>
        <w:spacing w:after="100" w:before="60" w:line="240" w:lineRule="auto"/>
        <w:ind w:right="-810"/>
        <w:jc w:val="both"/>
        <w:rPr>
          <w:rFonts w:ascii="Inter" w:cs="Inter" w:eastAsia="Inter" w:hAnsi="Inter"/>
          <w:color w:val="2d2d2d"/>
        </w:rPr>
      </w:pPr>
      <w:r w:rsidDel="00000000" w:rsidR="00000000" w:rsidRPr="00000000">
        <w:rPr>
          <w:rFonts w:ascii="Inter" w:cs="Inter" w:eastAsia="Inter" w:hAnsi="Inter"/>
          <w:color w:val="2d2d2d"/>
          <w:rtl w:val="0"/>
        </w:rPr>
        <w:t xml:space="preserve">This DDQ is not a guarantee that all described controls are fully live in production at the Completion Date; it represents the Company’s compliance architecture and the status of implementation as of that date. Where responses are marked COND, updated confirmed responses will be provided upon completion of the Regulatory Perimeter Memorandum and implementation confirmation. This DDQ must not be relied upon in isolation from the AML/BSA Compliance Program and the Governance, Regulatory Perimeter and Compliance Positioning Memorandum, which together form the complete compliance framework documentation of MAL MONEY INC.</w:t>
      </w:r>
    </w:p>
    <w:p w:rsidR="00000000" w:rsidDel="00000000" w:rsidP="00000000" w:rsidRDefault="00000000" w:rsidRPr="00000000" w14:paraId="0000013B">
      <w:pPr>
        <w:spacing w:line="240" w:lineRule="auto"/>
        <w:rPr>
          <w:rFonts w:ascii="Inter" w:cs="Inter" w:eastAsia="Inter" w:hAnsi="Inter"/>
          <w:color w:val="2d2d2d"/>
        </w:rPr>
      </w:pPr>
      <w:r w:rsidDel="00000000" w:rsidR="00000000" w:rsidRPr="00000000">
        <w:rPr>
          <w:rtl w:val="0"/>
        </w:rPr>
      </w:r>
    </w:p>
    <w:tbl>
      <w:tblPr>
        <w:tblStyle w:val="Table12"/>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39"/>
        <w:gridCol w:w="5040"/>
        <w:tblGridChange w:id="0">
          <w:tblGrid>
            <w:gridCol w:w="5039"/>
            <w:gridCol w:w="5040"/>
          </w:tblGrid>
        </w:tblGridChange>
      </w:tblGrid>
      <w:tr>
        <w:trPr>
          <w:cantSplit w:val="0"/>
          <w:tblHeader w:val="0"/>
        </w:trPr>
        <w:tc>
          <w:tcPr>
            <w:tcBorders>
              <w:top w:color="0f4761" w:space="0" w:sz="4" w:val="single"/>
              <w:left w:color="0f4761" w:space="0" w:sz="4" w:val="single"/>
              <w:bottom w:color="0f4761" w:space="0" w:sz="4" w:val="single"/>
              <w:right w:color="0f4761" w:space="0" w:sz="4" w:val="single"/>
            </w:tcBorders>
            <w:shd w:fill="ffffff" w:val="clear"/>
            <w:tcMar>
              <w:top w:w="160.0" w:type="dxa"/>
              <w:left w:w="240.0" w:type="dxa"/>
              <w:bottom w:w="160.0" w:type="dxa"/>
              <w:right w:w="240.0" w:type="dxa"/>
            </w:tcMar>
          </w:tcPr>
          <w:p w:rsidR="00000000" w:rsidDel="00000000" w:rsidP="00000000" w:rsidRDefault="00000000" w:rsidRPr="00000000" w14:paraId="0000013C">
            <w:pPr>
              <w:spacing w:after="100" w:before="60" w:line="240" w:lineRule="auto"/>
              <w:rPr>
                <w:rFonts w:ascii="Inter" w:cs="Inter" w:eastAsia="Inter" w:hAnsi="Inter"/>
                <w:color w:val="2d2d2d"/>
              </w:rPr>
            </w:pPr>
            <w:r w:rsidDel="00000000" w:rsidR="00000000" w:rsidRPr="00000000">
              <w:rPr>
                <w:rFonts w:ascii="Inter" w:cs="Inter" w:eastAsia="Inter" w:hAnsi="Inter"/>
                <w:b w:val="1"/>
                <w:bCs w:val="1"/>
                <w:color w:val="0f4761"/>
                <w:rtl w:val="0"/>
              </w:rPr>
              <w:t xml:space="preserve">AML/BSA Compliance Officer</w:t>
            </w:r>
            <w:r w:rsidDel="00000000" w:rsidR="00000000" w:rsidRPr="00000000">
              <w:rPr>
                <w:rtl w:val="0"/>
              </w:rPr>
            </w:r>
          </w:p>
          <w:p w:rsidR="00000000" w:rsidDel="00000000" w:rsidP="00000000" w:rsidRDefault="00000000" w:rsidRPr="00000000" w14:paraId="0000013D">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3E">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Signature: ______________________________</w:t>
            </w:r>
          </w:p>
          <w:p w:rsidR="00000000" w:rsidDel="00000000" w:rsidP="00000000" w:rsidRDefault="00000000" w:rsidRPr="00000000" w14:paraId="0000013F">
            <w:pPr>
              <w:spacing w:after="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40">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Name: ______________________________</w:t>
            </w:r>
          </w:p>
          <w:p w:rsidR="00000000" w:rsidDel="00000000" w:rsidP="00000000" w:rsidRDefault="00000000" w:rsidRPr="00000000" w14:paraId="00000141">
            <w:pPr>
              <w:spacing w:after="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42">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Date: ______________________________</w:t>
            </w:r>
          </w:p>
        </w:tc>
        <w:tc>
          <w:tcPr>
            <w:tcBorders>
              <w:top w:color="0f4761" w:space="0" w:sz="4" w:val="single"/>
              <w:left w:color="0f4761" w:space="0" w:sz="4" w:val="single"/>
              <w:bottom w:color="0f4761" w:space="0" w:sz="4" w:val="single"/>
              <w:right w:color="0f4761" w:space="0" w:sz="4" w:val="single"/>
            </w:tcBorders>
            <w:shd w:fill="ffffff" w:val="clear"/>
            <w:tcMar>
              <w:top w:w="160.0" w:type="dxa"/>
              <w:left w:w="240.0" w:type="dxa"/>
              <w:bottom w:w="160.0" w:type="dxa"/>
              <w:right w:w="240.0" w:type="dxa"/>
            </w:tcMar>
          </w:tcPr>
          <w:p w:rsidR="00000000" w:rsidDel="00000000" w:rsidP="00000000" w:rsidRDefault="00000000" w:rsidRPr="00000000" w14:paraId="00000143">
            <w:pPr>
              <w:spacing w:after="100" w:before="60" w:line="240" w:lineRule="auto"/>
              <w:rPr>
                <w:rFonts w:ascii="Inter" w:cs="Inter" w:eastAsia="Inter" w:hAnsi="Inter"/>
                <w:color w:val="2d2d2d"/>
              </w:rPr>
            </w:pPr>
            <w:r w:rsidDel="00000000" w:rsidR="00000000" w:rsidRPr="00000000">
              <w:rPr>
                <w:rFonts w:ascii="Inter" w:cs="Inter" w:eastAsia="Inter" w:hAnsi="Inter"/>
                <w:b w:val="1"/>
                <w:bCs w:val="1"/>
                <w:color w:val="0f4761"/>
                <w:rtl w:val="0"/>
              </w:rPr>
              <w:t xml:space="preserve">Authorized Signatory</w:t>
            </w:r>
            <w:r w:rsidDel="00000000" w:rsidR="00000000" w:rsidRPr="00000000">
              <w:rPr>
                <w:rtl w:val="0"/>
              </w:rPr>
            </w:r>
          </w:p>
          <w:p w:rsidR="00000000" w:rsidDel="00000000" w:rsidP="00000000" w:rsidRDefault="00000000" w:rsidRPr="00000000" w14:paraId="00000144">
            <w:pPr>
              <w:spacing w:after="6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45">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Signature: ______________________________</w:t>
            </w:r>
          </w:p>
          <w:p w:rsidR="00000000" w:rsidDel="00000000" w:rsidP="00000000" w:rsidRDefault="00000000" w:rsidRPr="00000000" w14:paraId="00000146">
            <w:pPr>
              <w:spacing w:after="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47">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Title: ______________________________</w:t>
            </w:r>
          </w:p>
          <w:p w:rsidR="00000000" w:rsidDel="00000000" w:rsidP="00000000" w:rsidRDefault="00000000" w:rsidRPr="00000000" w14:paraId="00000148">
            <w:pPr>
              <w:spacing w:after="20"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49">
            <w:pPr>
              <w:spacing w:after="100" w:before="60" w:line="240" w:lineRule="auto"/>
              <w:rPr>
                <w:rFonts w:ascii="Inter" w:cs="Inter" w:eastAsia="Inter" w:hAnsi="Inter"/>
                <w:color w:val="2d2d2d"/>
              </w:rPr>
            </w:pPr>
            <w:r w:rsidDel="00000000" w:rsidR="00000000" w:rsidRPr="00000000">
              <w:rPr>
                <w:rFonts w:ascii="Inter" w:cs="Inter" w:eastAsia="Inter" w:hAnsi="Inter"/>
                <w:color w:val="2d2d2d"/>
                <w:rtl w:val="0"/>
              </w:rPr>
              <w:t xml:space="preserve">Date: ______________________________</w:t>
            </w:r>
          </w:p>
        </w:tc>
      </w:tr>
    </w:tbl>
    <w:p w:rsidR="00000000" w:rsidDel="00000000" w:rsidP="00000000" w:rsidRDefault="00000000" w:rsidRPr="00000000" w14:paraId="0000014A">
      <w:pPr>
        <w:spacing w:line="240" w:lineRule="auto"/>
        <w:rPr>
          <w:rFonts w:ascii="Inter" w:cs="Inter" w:eastAsia="Inter" w:hAnsi="Inter"/>
          <w:color w:val="2d2d2d"/>
        </w:rPr>
      </w:pPr>
      <w:r w:rsidDel="00000000" w:rsidR="00000000" w:rsidRPr="00000000">
        <w:rPr>
          <w:rtl w:val="0"/>
        </w:rPr>
      </w:r>
    </w:p>
    <w:p w:rsidR="00000000" w:rsidDel="00000000" w:rsidP="00000000" w:rsidRDefault="00000000" w:rsidRPr="00000000" w14:paraId="0000014B">
      <w:pPr>
        <w:rPr>
          <w:rFonts w:ascii="Inter" w:cs="Inter" w:eastAsia="Inter" w:hAnsi="Inter"/>
        </w:rPr>
      </w:pPr>
      <w:r w:rsidDel="00000000" w:rsidR="00000000" w:rsidRPr="00000000">
        <w:rPr>
          <w:rtl w:val="0"/>
        </w:rPr>
      </w:r>
    </w:p>
    <w:sectPr>
      <w:headerReference r:id="rId6" w:type="default"/>
      <w:footerReference r:id="rId7" w:type="default"/>
      <w:pgSz w:h="15840" w:w="12240" w:orient="portrait"/>
      <w:pgMar w:bottom="1440" w:top="2160" w:left="81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-542924</wp:posOffset>
          </wp:positionH>
          <wp:positionV relativeFrom="paragraph">
            <wp:posOffset>-457199</wp:posOffset>
          </wp:positionV>
          <wp:extent cx="7796213" cy="303847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96213" cy="30384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-228599</wp:posOffset>
          </wp:positionV>
          <wp:extent cx="1765300" cy="955675"/>
          <wp:effectExtent b="0" l="0" r="0" t="0"/>
          <wp:wrapNone/>
          <wp:docPr descr="A black and white logo&#10;&#10;AI-generated content may be incorrect." id="3" name="image3.png"/>
          <a:graphic>
            <a:graphicData uri="http://schemas.openxmlformats.org/drawingml/2006/picture">
              <pic:pic>
                <pic:nvPicPr>
                  <pic:cNvPr descr="A black and white logo&#10;&#10;AI-generated content may be incorrect." id="0" name="image3.png"/>
                  <pic:cNvPicPr preferRelativeResize="0"/>
                </pic:nvPicPr>
                <pic:blipFill>
                  <a:blip r:embed="rId2"/>
                  <a:srcRect b="0" l="0" r="0" t="0"/>
                  <a:stretch>
                    <a:fillRect/>
                  </a:stretch>
                </pic:blipFill>
                <pic:spPr>
                  <a:xfrm>
                    <a:off x="0" y="0"/>
                    <a:ext cx="1765300" cy="955675"/>
                  </a:xfrm>
                  <a:prstGeom prst="rect"/>
                  <a:ln/>
                </pic:spPr>
              </pic:pic>
            </a:graphicData>
          </a:graphic>
        </wp:anchor>
      </w:drawing>
    </w:r>
  </w:p>
  <w:p w:rsidR="00000000" w:rsidDel="00000000" w:rsidP="00000000" w:rsidRDefault="00000000" w:rsidRPr="00000000" w14:paraId="0000014D">
    <w:pPr>
      <w:rPr/>
    </w:pPr>
    <w:r w:rsidDel="00000000" w:rsidR="00000000" w:rsidRPr="00000000">
      <w:rPr/>
      <w:drawing>
        <wp:anchor allowOverlap="1" behindDoc="0" distB="0" distT="0" distL="114300" distR="114300" hidden="0" layoutInCell="1" locked="0" relativeHeight="0" simplePos="0">
          <wp:simplePos x="0" y="0"/>
          <wp:positionH relativeFrom="margin">
            <wp:posOffset>1447800</wp:posOffset>
          </wp:positionH>
          <wp:positionV relativeFrom="margin">
            <wp:posOffset>1662113</wp:posOffset>
          </wp:positionV>
          <wp:extent cx="4450824" cy="4450824"/>
          <wp:effectExtent b="0" l="0" r="0" t="0"/>
          <wp:wrapNone/>
          <wp:docPr descr="A black background with a black square&#10;&#10;AI-generated content may be incorrect." id="2" name="image1.png"/>
          <a:graphic>
            <a:graphicData uri="http://schemas.openxmlformats.org/drawingml/2006/picture">
              <pic:pic>
                <pic:nvPicPr>
                  <pic:cNvPr descr="A black background with a black square&#10;&#10;AI-generated content may be incorrect." id="0" name="image1.png"/>
                  <pic:cNvPicPr preferRelativeResize="0"/>
                </pic:nvPicPr>
                <pic:blipFill>
                  <a:blip r:embed="rId3"/>
                  <a:srcRect b="0" l="0" r="0" t="0"/>
                  <a:stretch>
                    <a:fillRect/>
                  </a:stretch>
                </pic:blipFill>
                <pic:spPr>
                  <a:xfrm>
                    <a:off x="0" y="0"/>
                    <a:ext cx="4450824" cy="445082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w:cs="Inter" w:eastAsia="Inter" w:hAnsi="Inter"/>
      <w:sz w:val="32"/>
      <w:szCs w:val="32"/>
    </w:rPr>
  </w:style>
  <w:style w:type="paragraph" w:styleId="Heading2">
    <w:name w:val="heading 2"/>
    <w:basedOn w:val="Normal"/>
    <w:next w:val="Normal"/>
    <w:pPr>
      <w:keepNext w:val="1"/>
      <w:keepLines w:val="1"/>
      <w:spacing w:after="120" w:before="360" w:lineRule="auto"/>
    </w:pPr>
    <w:rPr>
      <w:rFonts w:ascii="Inter" w:cs="Inter" w:eastAsia="Inter" w:hAnsi="Inter"/>
      <w:sz w:val="28"/>
      <w:szCs w:val="28"/>
    </w:rPr>
  </w:style>
  <w:style w:type="paragraph" w:styleId="Heading3">
    <w:name w:val="heading 3"/>
    <w:basedOn w:val="Normal"/>
    <w:next w:val="Normal"/>
    <w:pPr>
      <w:keepNext w:val="1"/>
      <w:keepLines w:val="1"/>
      <w:spacing w:after="80" w:before="320" w:lineRule="auto"/>
    </w:pPr>
    <w:rPr>
      <w:rFonts w:ascii="Inter" w:cs="Inter" w:eastAsia="Inter" w:hAnsi="Inte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Inter" w:cs="Inter" w:eastAsia="Inter" w:hAnsi="Inte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