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8D9" w:rsidRDefault="009558D9">
      <w:pPr>
        <w:spacing w:after="360"/>
      </w:pPr>
    </w:p>
    <w:p w:rsidR="009558D9" w:rsidRDefault="00000000">
      <w:pPr>
        <w:spacing w:after="100"/>
      </w:pPr>
      <w:r>
        <w:rPr>
          <w:b/>
          <w:bCs/>
          <w:color w:val="0F4761"/>
          <w:sz w:val="60"/>
          <w:szCs w:val="60"/>
        </w:rPr>
        <w:t>Standard Operating Procedures</w:t>
      </w:r>
    </w:p>
    <w:p w:rsidR="009558D9" w:rsidRDefault="00000000">
      <w:pPr>
        <w:spacing w:after="120"/>
      </w:pPr>
      <w:r>
        <w:rPr>
          <w:color w:val="0F4761"/>
          <w:sz w:val="26"/>
          <w:szCs w:val="26"/>
        </w:rPr>
        <w:t>AML/BSA Compliance SOP Pack</w:t>
      </w:r>
    </w:p>
    <w:p w:rsidR="009558D9" w:rsidRDefault="00000000">
      <w:pPr>
        <w:spacing w:after="60"/>
      </w:pPr>
      <w:r>
        <w:rPr>
          <w:b/>
          <w:bCs/>
          <w:color w:val="0F4761"/>
          <w:sz w:val="26"/>
          <w:szCs w:val="26"/>
        </w:rPr>
        <w:t>MAL MONEY INC.  (Trade Name: Mal Money)</w:t>
      </w:r>
    </w:p>
    <w:p w:rsidR="009558D9" w:rsidRDefault="00000000">
      <w:pPr>
        <w:spacing w:after="60"/>
      </w:pPr>
      <w:r>
        <w:rPr>
          <w:color w:val="78787A"/>
        </w:rPr>
        <w:t xml:space="preserve">BaaS Program </w:t>
      </w:r>
      <w:proofErr w:type="gramStart"/>
      <w:r>
        <w:rPr>
          <w:color w:val="78787A"/>
        </w:rPr>
        <w:t>Manager  -</w:t>
      </w:r>
      <w:proofErr w:type="gramEnd"/>
      <w:r>
        <w:rPr>
          <w:color w:val="78787A"/>
        </w:rPr>
        <w:t xml:space="preserve">  Anti-Money Laundering and Counter-Terrorism Financing</w:t>
      </w:r>
    </w:p>
    <w:p w:rsidR="009558D9" w:rsidRDefault="00000000">
      <w:pPr>
        <w:spacing w:after="300"/>
      </w:pPr>
      <w:r>
        <w:rPr>
          <w:color w:val="78787A"/>
        </w:rPr>
        <w:t xml:space="preserve">EIN: </w:t>
      </w:r>
      <w:proofErr w:type="gramStart"/>
      <w:r>
        <w:rPr>
          <w:color w:val="78787A"/>
        </w:rPr>
        <w:t>16878389  |</w:t>
      </w:r>
      <w:proofErr w:type="gramEnd"/>
      <w:r>
        <w:rPr>
          <w:color w:val="78787A"/>
        </w:rPr>
        <w:t xml:space="preserve">  Montana </w:t>
      </w:r>
      <w:proofErr w:type="gramStart"/>
      <w:r>
        <w:rPr>
          <w:color w:val="78787A"/>
        </w:rPr>
        <w:t>Corporation  |</w:t>
      </w:r>
      <w:proofErr w:type="gramEnd"/>
      <w:r>
        <w:rPr>
          <w:color w:val="78787A"/>
        </w:rPr>
        <w:t xml:space="preserve">  821 N 27th St #2066, Billings, MT 59101-1121, USA</w:t>
      </w:r>
    </w:p>
    <w:tbl>
      <w:tblPr>
        <w:tblW w:w="10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7705"/>
      </w:tblGrid>
      <w:tr w:rsidR="009558D9" w:rsidTr="00A338B9">
        <w:trPr>
          <w:trHeight w:val="324"/>
        </w:trPr>
        <w:tc>
          <w:tcPr>
            <w:tcW w:w="10230" w:type="dxa"/>
            <w:gridSpan w:val="2"/>
            <w:tcBorders>
              <w:top w:val="single" w:sz="1" w:space="0" w:color="215E99"/>
              <w:left w:val="single" w:sz="1" w:space="0" w:color="215E99"/>
              <w:bottom w:val="single" w:sz="1" w:space="0" w:color="215E99"/>
              <w:right w:val="single" w:sz="1" w:space="0" w:color="215E99"/>
            </w:tcBorders>
            <w:shd w:val="clear" w:color="auto" w:fill="215E99"/>
            <w:tcMar>
              <w:top w:w="80" w:type="dxa"/>
              <w:left w:w="200" w:type="dxa"/>
              <w:bottom w:w="80" w:type="dxa"/>
              <w:right w:w="200" w:type="dxa"/>
            </w:tcMar>
          </w:tcPr>
          <w:p w:rsidR="009558D9" w:rsidRDefault="00000000" w:rsidP="00A338B9">
            <w:pPr>
              <w:ind w:right="2315"/>
              <w:jc w:val="center"/>
            </w:pPr>
            <w:r>
              <w:rPr>
                <w:b/>
                <w:bCs/>
                <w:color w:val="FFFFFF"/>
              </w:rPr>
              <w:t>DOCUMENT CONTROL</w:t>
            </w:r>
          </w:p>
        </w:tc>
      </w:tr>
      <w:tr w:rsidR="009558D9" w:rsidTr="00A338B9">
        <w:trPr>
          <w:trHeight w:val="300"/>
        </w:trPr>
        <w:tc>
          <w:tcPr>
            <w:tcW w:w="252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b/>
                <w:bCs/>
                <w:color w:val="0F4761"/>
                <w:sz w:val="20"/>
                <w:szCs w:val="20"/>
              </w:rPr>
              <w:t>Document Title</w:t>
            </w:r>
          </w:p>
        </w:tc>
        <w:tc>
          <w:tcPr>
            <w:tcW w:w="770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Standard Operating Procedures (SOPs)</w:t>
            </w:r>
          </w:p>
        </w:tc>
      </w:tr>
      <w:tr w:rsidR="009558D9" w:rsidTr="00A338B9">
        <w:trPr>
          <w:trHeight w:val="300"/>
        </w:trPr>
        <w:tc>
          <w:tcPr>
            <w:tcW w:w="252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b/>
                <w:bCs/>
                <w:color w:val="0F4761"/>
                <w:sz w:val="20"/>
                <w:szCs w:val="20"/>
              </w:rPr>
              <w:t>Entity</w:t>
            </w:r>
          </w:p>
        </w:tc>
        <w:tc>
          <w:tcPr>
            <w:tcW w:w="770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MAL MONEY INC. - BaaS Program Manager</w:t>
            </w:r>
          </w:p>
        </w:tc>
      </w:tr>
      <w:tr w:rsidR="009558D9" w:rsidTr="00A338B9">
        <w:trPr>
          <w:trHeight w:val="579"/>
        </w:trPr>
        <w:tc>
          <w:tcPr>
            <w:tcW w:w="252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b/>
                <w:bCs/>
                <w:color w:val="0F4761"/>
                <w:sz w:val="20"/>
                <w:szCs w:val="20"/>
              </w:rPr>
              <w:t>Covers</w:t>
            </w:r>
          </w:p>
        </w:tc>
        <w:tc>
          <w:tcPr>
            <w:tcW w:w="770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 xml:space="preserve">SOP 1: Account </w:t>
            </w:r>
            <w:proofErr w:type="gramStart"/>
            <w:r>
              <w:rPr>
                <w:sz w:val="20"/>
                <w:szCs w:val="20"/>
              </w:rPr>
              <w:t>Freeze  |</w:t>
            </w:r>
            <w:proofErr w:type="gramEnd"/>
            <w:r>
              <w:rPr>
                <w:sz w:val="20"/>
                <w:szCs w:val="20"/>
              </w:rPr>
              <w:t xml:space="preserve">  SOP 2: Fraud </w:t>
            </w:r>
            <w:proofErr w:type="gramStart"/>
            <w:r>
              <w:rPr>
                <w:sz w:val="20"/>
                <w:szCs w:val="20"/>
              </w:rPr>
              <w:t>Alert  |</w:t>
            </w:r>
            <w:proofErr w:type="gramEnd"/>
            <w:r>
              <w:rPr>
                <w:sz w:val="20"/>
                <w:szCs w:val="20"/>
              </w:rPr>
              <w:t xml:space="preserve">  SOP 3: Dispute </w:t>
            </w:r>
            <w:proofErr w:type="gramStart"/>
            <w:r>
              <w:rPr>
                <w:sz w:val="20"/>
                <w:szCs w:val="20"/>
              </w:rPr>
              <w:t>Resolution  |</w:t>
            </w:r>
            <w:proofErr w:type="gramEnd"/>
            <w:r>
              <w:rPr>
                <w:sz w:val="20"/>
                <w:szCs w:val="20"/>
              </w:rPr>
              <w:t xml:space="preserve">  SOP 4: SAR/CTR Escalation and Filing </w:t>
            </w:r>
            <w:proofErr w:type="gramStart"/>
            <w:r>
              <w:rPr>
                <w:sz w:val="20"/>
                <w:szCs w:val="20"/>
              </w:rPr>
              <w:t>Support  |</w:t>
            </w:r>
            <w:proofErr w:type="gramEnd"/>
            <w:r>
              <w:rPr>
                <w:sz w:val="20"/>
                <w:szCs w:val="20"/>
              </w:rPr>
              <w:t xml:space="preserve">  SOP 5: Annual KYC Refresh</w:t>
            </w:r>
          </w:p>
        </w:tc>
      </w:tr>
      <w:tr w:rsidR="009558D9" w:rsidTr="00A338B9">
        <w:trPr>
          <w:trHeight w:val="300"/>
        </w:trPr>
        <w:tc>
          <w:tcPr>
            <w:tcW w:w="252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b/>
                <w:bCs/>
                <w:color w:val="0F4761"/>
                <w:sz w:val="20"/>
                <w:szCs w:val="20"/>
              </w:rPr>
              <w:t>Version</w:t>
            </w:r>
          </w:p>
        </w:tc>
        <w:tc>
          <w:tcPr>
            <w:tcW w:w="770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Pr="00A338B9" w:rsidRDefault="00A338B9">
            <w:pPr>
              <w:rPr>
                <w:lang w:val="uk-UA"/>
              </w:rPr>
            </w:pPr>
            <w:r>
              <w:rPr>
                <w:sz w:val="20"/>
                <w:szCs w:val="20"/>
                <w:lang w:val="uk-UA"/>
              </w:rPr>
              <w:t>1</w:t>
            </w:r>
            <w:r>
              <w:rPr>
                <w:sz w:val="20"/>
                <w:szCs w:val="20"/>
              </w:rPr>
              <w:t xml:space="preserve">.0 </w:t>
            </w:r>
          </w:p>
        </w:tc>
      </w:tr>
      <w:tr w:rsidR="009558D9" w:rsidTr="00A338B9">
        <w:trPr>
          <w:trHeight w:val="300"/>
        </w:trPr>
        <w:tc>
          <w:tcPr>
            <w:tcW w:w="252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b/>
                <w:bCs/>
                <w:color w:val="0F4761"/>
                <w:sz w:val="20"/>
                <w:szCs w:val="20"/>
              </w:rPr>
              <w:t>Effective Date</w:t>
            </w:r>
          </w:p>
        </w:tc>
        <w:tc>
          <w:tcPr>
            <w:tcW w:w="770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March 31, 2026</w:t>
            </w:r>
          </w:p>
        </w:tc>
      </w:tr>
      <w:tr w:rsidR="009558D9" w:rsidTr="00A338B9">
        <w:trPr>
          <w:trHeight w:val="300"/>
        </w:trPr>
        <w:tc>
          <w:tcPr>
            <w:tcW w:w="2525"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b/>
                <w:bCs/>
                <w:color w:val="0F4761"/>
                <w:sz w:val="20"/>
                <w:szCs w:val="20"/>
              </w:rPr>
              <w:t>Cross-Reference</w:t>
            </w:r>
          </w:p>
        </w:tc>
        <w:tc>
          <w:tcPr>
            <w:tcW w:w="770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AML/BSA Program v</w:t>
            </w:r>
            <w:r>
              <w:rPr>
                <w:sz w:val="20"/>
                <w:szCs w:val="20"/>
                <w:lang w:val="uk-UA"/>
              </w:rPr>
              <w:t>1</w:t>
            </w:r>
            <w:r>
              <w:rPr>
                <w:sz w:val="20"/>
                <w:szCs w:val="20"/>
              </w:rPr>
              <w:t xml:space="preserve">.0 </w:t>
            </w:r>
            <w:proofErr w:type="gramStart"/>
            <w:r>
              <w:rPr>
                <w:sz w:val="20"/>
                <w:szCs w:val="20"/>
              </w:rPr>
              <w:t>|  Governance</w:t>
            </w:r>
            <w:proofErr w:type="gramEnd"/>
            <w:r>
              <w:rPr>
                <w:sz w:val="20"/>
                <w:szCs w:val="20"/>
              </w:rPr>
              <w:t xml:space="preserve"> and Legal Positioning </w:t>
            </w:r>
            <w:proofErr w:type="gramStart"/>
            <w:r>
              <w:rPr>
                <w:sz w:val="20"/>
                <w:szCs w:val="20"/>
              </w:rPr>
              <w:t>Memorandum  |</w:t>
            </w:r>
            <w:proofErr w:type="gramEnd"/>
            <w:r>
              <w:rPr>
                <w:sz w:val="20"/>
                <w:szCs w:val="20"/>
              </w:rPr>
              <w:t xml:space="preserve">  KYC/CIP Procedures</w:t>
            </w:r>
          </w:p>
        </w:tc>
      </w:tr>
    </w:tbl>
    <w:p w:rsidR="009558D9" w:rsidRDefault="00000000">
      <w:r>
        <w:br w:type="page"/>
      </w:r>
    </w:p>
    <w:p w:rsidR="009558D9" w:rsidRDefault="00000000">
      <w:pPr>
        <w:pStyle w:val="Heading1"/>
      </w:pPr>
      <w:bookmarkStart w:id="0" w:name="bm_f5intro"/>
      <w:r>
        <w:lastRenderedPageBreak/>
        <w:t>Introduction</w:t>
      </w:r>
      <w:bookmarkEnd w:id="0"/>
    </w:p>
    <w:p w:rsidR="009558D9" w:rsidRDefault="00000000" w:rsidP="00A338B9">
      <w:pPr>
        <w:spacing w:before="60" w:after="100"/>
        <w:ind w:right="-1080"/>
        <w:jc w:val="both"/>
      </w:pPr>
      <w:r>
        <w:t>This document contains five Standard Operating Procedures governing critical compliance operational scenarios for MAL MONEY INC. Each SOP begins with a metadata card identifying the owner, governing document, review frequency, and filing allocation dependency. All procedure steps identify the Responsible Party, Action, and Target Timeline.</w:t>
      </w:r>
    </w:p>
    <w:p w:rsidR="009558D9" w:rsidRDefault="00000000" w:rsidP="00A338B9">
      <w:pPr>
        <w:spacing w:before="60" w:after="100"/>
        <w:ind w:right="-1080"/>
        <w:jc w:val="both"/>
      </w:pPr>
      <w:r>
        <w:t>Deviations from any SOP require written CO approval and documentation in the relevant case file.</w:t>
      </w:r>
    </w:p>
    <w:p w:rsidR="009558D9" w:rsidRPr="00A338B9" w:rsidRDefault="009558D9">
      <w:pPr>
        <w:rPr>
          <w:lang w:val="uk-UA"/>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A338B9" w:rsidTr="00A338B9">
        <w:tc>
          <w:tcPr>
            <w:tcW w:w="10435" w:type="dxa"/>
            <w:tcBorders>
              <w:top w:val="single" w:sz="6" w:space="0" w:color="0F4761"/>
              <w:bottom w:val="single" w:sz="6" w:space="0" w:color="0F4761"/>
            </w:tcBorders>
            <w:shd w:val="clear" w:color="auto" w:fill="EBF0F7"/>
            <w:tcMar>
              <w:top w:w="120" w:type="dxa"/>
              <w:left w:w="200" w:type="dxa"/>
              <w:bottom w:w="120" w:type="dxa"/>
              <w:right w:w="200" w:type="dxa"/>
            </w:tcMar>
          </w:tcPr>
          <w:p w:rsidR="009558D9" w:rsidRDefault="00000000">
            <w:bookmarkStart w:id="1" w:name="bm_sop1"/>
            <w:r>
              <w:rPr>
                <w:b/>
                <w:bCs/>
                <w:color w:val="0F4761"/>
                <w:sz w:val="28"/>
                <w:szCs w:val="28"/>
              </w:rPr>
              <w:t>SOP 1 - ACCOUNT FREEZE PROCEDURE</w:t>
            </w:r>
            <w:bookmarkEnd w:id="1"/>
          </w:p>
        </w:tc>
      </w:tr>
    </w:tbl>
    <w:p w:rsidR="009558D9" w:rsidRDefault="009558D9">
      <w:pPr>
        <w:spacing w:after="80"/>
      </w:pPr>
    </w:p>
    <w:p w:rsidR="009558D9" w:rsidRDefault="00000000" w:rsidP="00B34CB4">
      <w:pPr>
        <w:spacing w:before="60" w:after="120"/>
        <w:ind w:right="-1080"/>
        <w:jc w:val="both"/>
      </w:pPr>
      <w:r>
        <w:t>This procedure governs the identification, escalation, and resolution of account freeze and hold actions triggered by OFAC matches, suspicious activity flags, fraud indicators, or regulatory direction. It is designed to ensure that all hold and freeze actions are taken within the Company’s confirmed operational authority and, where the Banking Partner controls the relevant account, that escalation occurs immediately and is documented. Timely, consistent execution of this procedure is essential to the Company’s OFAC compliance posture and SAR-readiness obligations.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2965"/>
        <w:gridCol w:w="2800"/>
        <w:gridCol w:w="1710"/>
        <w:gridCol w:w="1267"/>
      </w:tblGrid>
      <w:tr w:rsidR="00A338B9" w:rsidTr="00A338B9">
        <w:tc>
          <w:tcPr>
            <w:tcW w:w="169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SOP Owner</w:t>
            </w:r>
          </w:p>
        </w:tc>
        <w:tc>
          <w:tcPr>
            <w:tcW w:w="2965"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Governing Document</w:t>
            </w:r>
          </w:p>
        </w:tc>
        <w:tc>
          <w:tcPr>
            <w:tcW w:w="28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Review Frequency</w:t>
            </w:r>
          </w:p>
        </w:tc>
        <w:tc>
          <w:tcPr>
            <w:tcW w:w="171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Filing Dependency</w:t>
            </w:r>
          </w:p>
        </w:tc>
        <w:tc>
          <w:tcPr>
            <w:tcW w:w="126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Purpose / Scope</w:t>
            </w:r>
          </w:p>
        </w:tc>
      </w:tr>
      <w:tr w:rsidR="00A338B9" w:rsidTr="00A338B9">
        <w:tc>
          <w:tcPr>
            <w:tcW w:w="1697"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Compliance Officer</w:t>
            </w:r>
          </w:p>
        </w:tc>
        <w:tc>
          <w:tcPr>
            <w:tcW w:w="296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Program s.9-10</w:t>
            </w:r>
          </w:p>
        </w:tc>
        <w:tc>
          <w:tcPr>
            <w:tcW w:w="28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 + upon material change</w:t>
            </w:r>
          </w:p>
        </w:tc>
        <w:tc>
          <w:tcPr>
            <w:tcW w:w="171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OFAC reporting per Regulatory Perimeter Memo and Filing Allocation Matrix</w:t>
            </w:r>
          </w:p>
        </w:tc>
        <w:tc>
          <w:tcPr>
            <w:tcW w:w="126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See purpose statement below</w:t>
            </w:r>
          </w:p>
        </w:tc>
      </w:tr>
    </w:tbl>
    <w:p w:rsidR="009558D9" w:rsidRDefault="009558D9" w:rsidP="00A338B9">
      <w:pPr>
        <w:spacing w:after="60"/>
        <w:ind w:right="-1080"/>
        <w:jc w:val="both"/>
      </w:pPr>
    </w:p>
    <w:p w:rsidR="009558D9" w:rsidRDefault="00000000" w:rsidP="00A338B9">
      <w:pPr>
        <w:spacing w:before="60" w:after="100"/>
        <w:ind w:right="-1080"/>
        <w:jc w:val="both"/>
      </w:pPr>
      <w:r>
        <w:t>Purpose: Establish a consistent, legally defensible procedure for suspending customer account access in response to OFAC matches, suspicious activity escalations, fraud indicators, or regulatory direction. All hold and freeze actions are taken within the Company's confirmed operational authority; where the Banking Partner controls the relevant account, the procedure requires immediate escalation to the Partner.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912"/>
        <w:gridCol w:w="3907"/>
        <w:gridCol w:w="1748"/>
        <w:gridCol w:w="2175"/>
      </w:tblGrid>
      <w:tr w:rsidR="009558D9" w:rsidTr="00A338B9">
        <w:trPr>
          <w:trHeight w:val="720"/>
        </w:trPr>
        <w:tc>
          <w:tcPr>
            <w:tcW w:w="56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Step #</w:t>
            </w:r>
          </w:p>
        </w:tc>
        <w:tc>
          <w:tcPr>
            <w:tcW w:w="1925"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Action</w:t>
            </w:r>
          </w:p>
        </w:tc>
        <w:tc>
          <w:tcPr>
            <w:tcW w:w="399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Procedure</w:t>
            </w:r>
          </w:p>
        </w:tc>
        <w:tc>
          <w:tcPr>
            <w:tcW w:w="176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Responsible</w:t>
            </w:r>
          </w:p>
        </w:tc>
        <w:tc>
          <w:tcPr>
            <w:tcW w:w="220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Timeline</w:t>
            </w:r>
          </w:p>
        </w:tc>
      </w:tr>
      <w:tr w:rsidR="009558D9" w:rsidTr="00A338B9">
        <w:trPr>
          <w:trHeight w:val="1440"/>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1</w:t>
            </w:r>
          </w:p>
        </w:tc>
        <w:tc>
          <w:tcPr>
            <w:tcW w:w="192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Trigger Identified</w:t>
            </w:r>
          </w:p>
        </w:tc>
        <w:tc>
          <w:tcPr>
            <w:tcW w:w="39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Compliance analyst or system identifies trigger. Document in case management with timestamp and trigger category (OFAC match / suspicious activity / fraud / regulatory direction / other).</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 / System</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Immediate</w:t>
            </w:r>
          </w:p>
        </w:tc>
      </w:tr>
      <w:tr w:rsidR="009558D9" w:rsidTr="00A338B9">
        <w:trPr>
          <w:trHeight w:val="1095"/>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2</w:t>
            </w:r>
          </w:p>
        </w:tc>
        <w:tc>
          <w:tcPr>
            <w:tcW w:w="192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Transaction Hold</w:t>
            </w:r>
          </w:p>
        </w:tc>
        <w:tc>
          <w:tcPr>
            <w:tcW w:w="39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Processing restricted within Company authority. Pending transactions held for CO review. If OFAC match: escalation to Banking Partner initiated simultaneously.</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System / Analyst</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1 hour</w:t>
            </w:r>
          </w:p>
        </w:tc>
      </w:tr>
      <w:tr w:rsidR="009558D9" w:rsidTr="00A338B9">
        <w:trPr>
          <w:trHeight w:val="720"/>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3</w:t>
            </w:r>
          </w:p>
        </w:tc>
        <w:tc>
          <w:tcPr>
            <w:tcW w:w="192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Notification</w:t>
            </w:r>
          </w:p>
        </w:tc>
        <w:tc>
          <w:tcPr>
            <w:tcW w:w="39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notified within 1 hour. If OFAC match: immediate notification regardless of time of day.</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1 hour</w:t>
            </w:r>
          </w:p>
        </w:tc>
      </w:tr>
      <w:tr w:rsidR="009558D9" w:rsidTr="00A338B9">
        <w:trPr>
          <w:trHeight w:val="1066"/>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lastRenderedPageBreak/>
              <w:t>4</w:t>
            </w:r>
          </w:p>
        </w:tc>
        <w:tc>
          <w:tcPr>
            <w:tcW w:w="192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Case File Assembly</w:t>
            </w:r>
          </w:p>
        </w:tc>
        <w:tc>
          <w:tcPr>
            <w:tcW w:w="39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Assemble: KYC documents, transaction history, alert details, prior SAR/investigation records, screening outputs.</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Analyst</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4 hours</w:t>
            </w:r>
          </w:p>
        </w:tc>
      </w:tr>
      <w:tr w:rsidR="009558D9" w:rsidTr="00A338B9">
        <w:trPr>
          <w:trHeight w:val="1440"/>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5</w:t>
            </w:r>
          </w:p>
        </w:tc>
        <w:tc>
          <w:tcPr>
            <w:tcW w:w="192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Review and Decision</w:t>
            </w:r>
          </w:p>
        </w:tc>
        <w:tc>
          <w:tcPr>
            <w:tcW w:w="39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reviews case file and determines action: (a) maintain hold; (b) lift with full documentation; (c) escalate to full investigation; (d) initiate relationship termination; (e) escalate to law enforcement or OFAC as applicable.</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24 hours</w:t>
            </w:r>
          </w:p>
        </w:tc>
      </w:tr>
      <w:tr w:rsidR="009558D9" w:rsidTr="00A338B9">
        <w:trPr>
          <w:trHeight w:val="748"/>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6</w:t>
            </w:r>
          </w:p>
        </w:tc>
        <w:tc>
          <w:tcPr>
            <w:tcW w:w="192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Customer Communication</w:t>
            </w:r>
          </w:p>
        </w:tc>
        <w:tc>
          <w:tcPr>
            <w:tcW w:w="39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If hold is not related to an active SAR investigation or OFAC matter: customer notified of temporary suspension without disclosing SAR-confidential reasons or tipping off the customer.</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 / Ops</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24 hours</w:t>
            </w:r>
          </w:p>
        </w:tc>
      </w:tr>
      <w:tr w:rsidR="009558D9" w:rsidTr="00A338B9">
        <w:trPr>
          <w:trHeight w:val="221"/>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7</w:t>
            </w:r>
          </w:p>
        </w:tc>
        <w:tc>
          <w:tcPr>
            <w:tcW w:w="192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OFAC Blocking / Escalation</w:t>
            </w:r>
          </w:p>
        </w:tc>
        <w:tc>
          <w:tcPr>
            <w:tcW w:w="39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If OFAC match confirmed: (a) where within Company authority: restrict processing and initiate hold; (b) where Banking Partner controls: transmit OFAC escalation package immediately. Blocking report filed within 10 business days by the confirmed responsible party.</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10 business days</w:t>
            </w:r>
          </w:p>
        </w:tc>
      </w:tr>
      <w:tr w:rsidR="009558D9" w:rsidTr="00A338B9">
        <w:trPr>
          <w:trHeight w:val="221"/>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8</w:t>
            </w:r>
          </w:p>
        </w:tc>
        <w:tc>
          <w:tcPr>
            <w:tcW w:w="1925"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Periodic Review</w:t>
            </w:r>
          </w:p>
        </w:tc>
        <w:tc>
          <w:tcPr>
            <w:tcW w:w="399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Holds extending beyond 30 days: CO reviews continued necessity and documents ongoing rationale in the case file.</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Every 30 days</w:t>
            </w:r>
          </w:p>
        </w:tc>
      </w:tr>
      <w:tr w:rsidR="009558D9" w:rsidTr="00A338B9">
        <w:trPr>
          <w:trHeight w:val="1785"/>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9</w:t>
            </w:r>
          </w:p>
        </w:tc>
        <w:tc>
          <w:tcPr>
            <w:tcW w:w="192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Resolution</w:t>
            </w:r>
          </w:p>
        </w:tc>
        <w:tc>
          <w:tcPr>
            <w:tcW w:w="399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Case closed via: (</w:t>
            </w:r>
            <w:proofErr w:type="spellStart"/>
            <w:r>
              <w:rPr>
                <w:sz w:val="20"/>
                <w:szCs w:val="20"/>
              </w:rPr>
              <w:t>i</w:t>
            </w:r>
            <w:proofErr w:type="spellEnd"/>
            <w:r>
              <w:rPr>
                <w:sz w:val="20"/>
                <w:szCs w:val="20"/>
              </w:rPr>
              <w:t>) hold lifted with full documentation and ongoing enhanced monitoring; (ii) relationship terminated with SAR filing or SAR escalation to the Banking Partner per SOP 4; (iii) matter referred to law enforcement or regulatory authority.</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Per investigation timeline</w:t>
            </w:r>
          </w:p>
        </w:tc>
      </w:tr>
    </w:tbl>
    <w:p w:rsidR="009558D9" w:rsidRDefault="009558D9"/>
    <w:p w:rsidR="00B34CB4" w:rsidRDefault="00B34CB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9558D9" w:rsidTr="00A338B9">
        <w:trPr>
          <w:trHeight w:val="320"/>
        </w:trPr>
        <w:tc>
          <w:tcPr>
            <w:tcW w:w="10529" w:type="dxa"/>
            <w:tcBorders>
              <w:top w:val="single" w:sz="6" w:space="0" w:color="0F4761"/>
              <w:bottom w:val="single" w:sz="6" w:space="0" w:color="0F4761"/>
            </w:tcBorders>
            <w:shd w:val="clear" w:color="auto" w:fill="EBF0F7"/>
            <w:tcMar>
              <w:top w:w="120" w:type="dxa"/>
              <w:left w:w="200" w:type="dxa"/>
              <w:bottom w:w="120" w:type="dxa"/>
              <w:right w:w="200" w:type="dxa"/>
            </w:tcMar>
          </w:tcPr>
          <w:p w:rsidR="009558D9" w:rsidRDefault="00000000" w:rsidP="00A338B9">
            <w:pPr>
              <w:ind w:right="2424"/>
            </w:pPr>
            <w:bookmarkStart w:id="2" w:name="bm_sop2"/>
            <w:r>
              <w:rPr>
                <w:b/>
                <w:bCs/>
                <w:color w:val="0F4761"/>
                <w:sz w:val="28"/>
                <w:szCs w:val="28"/>
              </w:rPr>
              <w:t>SOP 2 - FRAUD ALERT RESPONSE PROCEDURE</w:t>
            </w:r>
            <w:bookmarkEnd w:id="2"/>
          </w:p>
        </w:tc>
      </w:tr>
    </w:tbl>
    <w:p w:rsidR="009558D9" w:rsidRDefault="009558D9">
      <w:pPr>
        <w:spacing w:after="80"/>
      </w:pPr>
    </w:p>
    <w:p w:rsidR="009558D9" w:rsidRDefault="00000000" w:rsidP="00B34CB4">
      <w:pPr>
        <w:spacing w:before="60" w:after="120"/>
        <w:ind w:right="-1080"/>
        <w:jc w:val="both"/>
      </w:pPr>
      <w:r>
        <w:t>This procedure governs fraud alert intake, prioritization, investigation, and escalation where fraud indicators may also give rise to AML/BSA concerns. It is designed to ensure that fraud response and suspicious activity escalation remain coordinated rather than siloed, and that all fraud-related case handling complies with the Company’s no-tipping-off obligations where an active SAR investigation is underway. The Compliance Officer maintains oversight of all cases where fraud and AML/CTF indicators overlap.</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2733"/>
        <w:gridCol w:w="2573"/>
        <w:gridCol w:w="1458"/>
        <w:gridCol w:w="2220"/>
      </w:tblGrid>
      <w:tr w:rsidR="009558D9" w:rsidTr="00A338B9">
        <w:trPr>
          <w:trHeight w:val="504"/>
        </w:trPr>
        <w:tc>
          <w:tcPr>
            <w:tcW w:w="145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SOP Owner</w:t>
            </w:r>
          </w:p>
        </w:tc>
        <w:tc>
          <w:tcPr>
            <w:tcW w:w="275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Governing Document</w:t>
            </w:r>
          </w:p>
        </w:tc>
        <w:tc>
          <w:tcPr>
            <w:tcW w:w="2595"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Review Frequency</w:t>
            </w:r>
          </w:p>
        </w:tc>
        <w:tc>
          <w:tcPr>
            <w:tcW w:w="145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Filing Dependency</w:t>
            </w:r>
          </w:p>
        </w:tc>
        <w:tc>
          <w:tcPr>
            <w:tcW w:w="223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Purpose / Scope</w:t>
            </w:r>
          </w:p>
        </w:tc>
      </w:tr>
      <w:tr w:rsidR="009558D9" w:rsidTr="00A338B9">
        <w:trPr>
          <w:trHeight w:val="1269"/>
        </w:trPr>
        <w:tc>
          <w:tcPr>
            <w:tcW w:w="1459"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lastRenderedPageBreak/>
              <w:t>AML/BSA Compliance Officer</w:t>
            </w:r>
          </w:p>
        </w:tc>
        <w:tc>
          <w:tcPr>
            <w:tcW w:w="275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Program s.9; TM Procedures s.4</w:t>
            </w:r>
          </w:p>
        </w:tc>
        <w:tc>
          <w:tcPr>
            <w:tcW w:w="2595"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 + upon incident</w:t>
            </w:r>
          </w:p>
        </w:tc>
        <w:tc>
          <w:tcPr>
            <w:tcW w:w="145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SAR filing or escalation per SOP 4 and confirmed filing allocation</w:t>
            </w:r>
          </w:p>
        </w:tc>
        <w:tc>
          <w:tcPr>
            <w:tcW w:w="223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See purpose statement below</w:t>
            </w:r>
          </w:p>
        </w:tc>
      </w:tr>
    </w:tbl>
    <w:p w:rsidR="009558D9" w:rsidRDefault="009558D9" w:rsidP="00B34CB4">
      <w:pPr>
        <w:spacing w:after="60"/>
        <w:ind w:right="-1080"/>
      </w:pPr>
    </w:p>
    <w:p w:rsidR="009558D9" w:rsidRDefault="00000000" w:rsidP="00B34CB4">
      <w:pPr>
        <w:spacing w:before="60" w:after="100"/>
        <w:ind w:right="-1080"/>
      </w:pPr>
      <w:r>
        <w:t>Purpose: Govern detection, escalation, investigation, and resolution of fraud alerts including ACH recall fraud, identity fraud, account takeover, and card fraud.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901"/>
        <w:gridCol w:w="3911"/>
        <w:gridCol w:w="1749"/>
        <w:gridCol w:w="2180"/>
      </w:tblGrid>
      <w:tr w:rsidR="009558D9" w:rsidTr="00A338B9">
        <w:trPr>
          <w:trHeight w:val="458"/>
        </w:trPr>
        <w:tc>
          <w:tcPr>
            <w:tcW w:w="56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Step #</w:t>
            </w:r>
          </w:p>
        </w:tc>
        <w:tc>
          <w:tcPr>
            <w:tcW w:w="192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Action</w:t>
            </w:r>
          </w:p>
        </w:tc>
        <w:tc>
          <w:tcPr>
            <w:tcW w:w="399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Procedure</w:t>
            </w:r>
          </w:p>
        </w:tc>
        <w:tc>
          <w:tcPr>
            <w:tcW w:w="176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Responsible</w:t>
            </w:r>
          </w:p>
        </w:tc>
        <w:tc>
          <w:tcPr>
            <w:tcW w:w="221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Timeline</w:t>
            </w:r>
          </w:p>
        </w:tc>
      </w:tr>
      <w:tr w:rsidR="009558D9" w:rsidTr="00A338B9">
        <w:trPr>
          <w:trHeight w:val="697"/>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1</w:t>
            </w:r>
          </w:p>
        </w:tc>
        <w:tc>
          <w:tcPr>
            <w:tcW w:w="192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Alert Detection</w:t>
            </w:r>
          </w:p>
        </w:tc>
        <w:tc>
          <w:tcPr>
            <w:tcW w:w="399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Fraud alert generated by system, ACH return, customer report, or staff identification. Categorized by fraud type and severity.</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System / Analyst</w:t>
            </w:r>
          </w:p>
        </w:tc>
        <w:tc>
          <w:tcPr>
            <w:tcW w:w="221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Immediate</w:t>
            </w:r>
          </w:p>
        </w:tc>
      </w:tr>
      <w:tr w:rsidR="009558D9" w:rsidTr="00A338B9">
        <w:trPr>
          <w:trHeight w:val="678"/>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2</w:t>
            </w:r>
          </w:p>
        </w:tc>
        <w:tc>
          <w:tcPr>
            <w:tcW w:w="192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Initial Assessment</w:t>
            </w:r>
          </w:p>
        </w:tc>
        <w:tc>
          <w:tcPr>
            <w:tcW w:w="399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Analyst reviews within 2 hours. Gathers account details, transaction records, IP/device data, prior alerts. Assesses if AML/CTF concern also present.</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Analyst</w:t>
            </w:r>
          </w:p>
        </w:tc>
        <w:tc>
          <w:tcPr>
            <w:tcW w:w="221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2 hours</w:t>
            </w:r>
          </w:p>
        </w:tc>
      </w:tr>
      <w:tr w:rsidR="009558D9" w:rsidTr="00A338B9">
        <w:trPr>
          <w:trHeight w:val="476"/>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3</w:t>
            </w:r>
          </w:p>
        </w:tc>
        <w:tc>
          <w:tcPr>
            <w:tcW w:w="192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Account Restriction</w:t>
            </w:r>
          </w:p>
        </w:tc>
        <w:tc>
          <w:tcPr>
            <w:tcW w:w="399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If active fraud risk: restrict outbound transactions within Company authority pending investigation.</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 / CO</w:t>
            </w:r>
          </w:p>
        </w:tc>
        <w:tc>
          <w:tcPr>
            <w:tcW w:w="221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2-4 hours</w:t>
            </w:r>
          </w:p>
        </w:tc>
      </w:tr>
      <w:tr w:rsidR="009558D9" w:rsidTr="00A338B9">
        <w:trPr>
          <w:trHeight w:val="458"/>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4</w:t>
            </w:r>
          </w:p>
        </w:tc>
        <w:tc>
          <w:tcPr>
            <w:tcW w:w="192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Evidence Preservation</w:t>
            </w:r>
          </w:p>
        </w:tc>
        <w:tc>
          <w:tcPr>
            <w:tcW w:w="399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Transaction records, IP logs, device fingerprints preserved as evidence. Chain of custody documented.</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Analyst</w:t>
            </w:r>
          </w:p>
        </w:tc>
        <w:tc>
          <w:tcPr>
            <w:tcW w:w="221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4 hours</w:t>
            </w:r>
          </w:p>
        </w:tc>
      </w:tr>
      <w:tr w:rsidR="009558D9" w:rsidTr="00A338B9">
        <w:trPr>
          <w:trHeight w:val="916"/>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5</w:t>
            </w:r>
          </w:p>
        </w:tc>
        <w:tc>
          <w:tcPr>
            <w:tcW w:w="192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AML/SAR Assessment</w:t>
            </w:r>
          </w:p>
        </w:tc>
        <w:tc>
          <w:tcPr>
            <w:tcW w:w="399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reviews whether fraud has AML/TF dimensions warranting SAR/escalation. ACH recall fraud, large outbound transfers, and first-party fraud schemes are common triggers.</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1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24 hours</w:t>
            </w:r>
          </w:p>
        </w:tc>
      </w:tr>
      <w:tr w:rsidR="009558D9" w:rsidTr="00A338B9">
        <w:trPr>
          <w:trHeight w:val="678"/>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6</w:t>
            </w:r>
          </w:p>
        </w:tc>
        <w:tc>
          <w:tcPr>
            <w:tcW w:w="192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Customer Contact</w:t>
            </w:r>
          </w:p>
        </w:tc>
        <w:tc>
          <w:tcPr>
            <w:tcW w:w="399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For suspected account takeover: contact customer through verified out-of-band channel to confirm authorization.</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Ops / CO</w:t>
            </w:r>
          </w:p>
        </w:tc>
        <w:tc>
          <w:tcPr>
            <w:tcW w:w="221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24 hours</w:t>
            </w:r>
          </w:p>
        </w:tc>
      </w:tr>
      <w:tr w:rsidR="009558D9" w:rsidTr="00A338B9">
        <w:trPr>
          <w:trHeight w:val="916"/>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7</w:t>
            </w:r>
          </w:p>
        </w:tc>
        <w:tc>
          <w:tcPr>
            <w:tcW w:w="192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SAR Filing or Escalation</w:t>
            </w:r>
          </w:p>
        </w:tc>
        <w:tc>
          <w:tcPr>
            <w:tcW w:w="399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If AML/CTF indicators present: SAR filed or escalation package prepared and transmitted to Banking Partner, within 30 days of initial detection per SOP 4 and confirmed filing allocation.</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1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30 days</w:t>
            </w:r>
          </w:p>
        </w:tc>
      </w:tr>
      <w:tr w:rsidR="009558D9" w:rsidTr="00A338B9">
        <w:trPr>
          <w:trHeight w:val="916"/>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8</w:t>
            </w:r>
          </w:p>
        </w:tc>
        <w:tc>
          <w:tcPr>
            <w:tcW w:w="192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Case Closure</w:t>
            </w:r>
          </w:p>
        </w:tc>
        <w:tc>
          <w:tcPr>
            <w:tcW w:w="399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Fraud confirmed: account terminated, SAR filed or escalated, law enforcement referral if warranted. Fraud cleared: restrictions lifted, monitoring elevated for 90 days.</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1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Per investigation timeline</w:t>
            </w:r>
          </w:p>
        </w:tc>
      </w:tr>
    </w:tbl>
    <w:p w:rsidR="009558D9" w:rsidRPr="00A338B9" w:rsidRDefault="009558D9">
      <w:pPr>
        <w:rPr>
          <w:lang w:val="uk-UA"/>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9558D9" w:rsidTr="00A338B9">
        <w:trPr>
          <w:trHeight w:val="269"/>
        </w:trPr>
        <w:tc>
          <w:tcPr>
            <w:tcW w:w="10529" w:type="dxa"/>
            <w:tcBorders>
              <w:top w:val="single" w:sz="6" w:space="0" w:color="0F4761"/>
              <w:bottom w:val="single" w:sz="6" w:space="0" w:color="0F4761"/>
            </w:tcBorders>
            <w:shd w:val="clear" w:color="auto" w:fill="EBF0F7"/>
            <w:tcMar>
              <w:top w:w="120" w:type="dxa"/>
              <w:left w:w="200" w:type="dxa"/>
              <w:bottom w:w="120" w:type="dxa"/>
              <w:right w:w="200" w:type="dxa"/>
            </w:tcMar>
          </w:tcPr>
          <w:p w:rsidR="009558D9" w:rsidRDefault="00000000">
            <w:bookmarkStart w:id="3" w:name="bm_sop3"/>
            <w:r>
              <w:rPr>
                <w:b/>
                <w:bCs/>
                <w:color w:val="0F4761"/>
                <w:sz w:val="28"/>
                <w:szCs w:val="28"/>
              </w:rPr>
              <w:t>SOP 3 - DISPUTE RESOLUTION PROCEDURE</w:t>
            </w:r>
            <w:bookmarkEnd w:id="3"/>
          </w:p>
        </w:tc>
      </w:tr>
    </w:tbl>
    <w:p w:rsidR="009558D9" w:rsidRDefault="009558D9">
      <w:pPr>
        <w:spacing w:after="80"/>
      </w:pPr>
    </w:p>
    <w:p w:rsidR="009558D9" w:rsidRDefault="00000000" w:rsidP="00B34CB4">
      <w:pPr>
        <w:spacing w:before="60" w:after="120"/>
        <w:ind w:right="-1080"/>
        <w:jc w:val="both"/>
      </w:pPr>
      <w:r>
        <w:lastRenderedPageBreak/>
        <w:t>This procedure governs the intake, investigation, and resolution of customer disputes arising from unauthorized transactions, processing errors, or service failures. It is designed to ensure that dispute handling is completed within applicable timeframes, that customer communications remain compliant with no-tipping-off obligations where SAR-related activity is present, and that any dispute revealing AML/CTF indicators is immediately coordinated with the Compliance Officer and escalated per SOP 4.</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726"/>
        <w:gridCol w:w="2568"/>
        <w:gridCol w:w="1467"/>
        <w:gridCol w:w="2216"/>
      </w:tblGrid>
      <w:tr w:rsidR="009558D9" w:rsidTr="00A338B9">
        <w:trPr>
          <w:trHeight w:val="320"/>
        </w:trPr>
        <w:tc>
          <w:tcPr>
            <w:tcW w:w="147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SOP Owner</w:t>
            </w:r>
          </w:p>
        </w:tc>
        <w:tc>
          <w:tcPr>
            <w:tcW w:w="2776"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Governing Document</w:t>
            </w:r>
          </w:p>
        </w:tc>
        <w:tc>
          <w:tcPr>
            <w:tcW w:w="261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Review Frequency</w:t>
            </w:r>
          </w:p>
        </w:tc>
        <w:tc>
          <w:tcPr>
            <w:tcW w:w="147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Filing Dependency</w:t>
            </w:r>
          </w:p>
        </w:tc>
        <w:tc>
          <w:tcPr>
            <w:tcW w:w="225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Purpose / Scope</w:t>
            </w:r>
          </w:p>
        </w:tc>
      </w:tr>
      <w:tr w:rsidR="009558D9" w:rsidTr="00A338B9">
        <w:trPr>
          <w:trHeight w:val="893"/>
        </w:trPr>
        <w:tc>
          <w:tcPr>
            <w:tcW w:w="147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Compliance Officer / Operations Lead</w:t>
            </w:r>
          </w:p>
        </w:tc>
        <w:tc>
          <w:tcPr>
            <w:tcW w:w="277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Master Program; applicable product terms</w:t>
            </w:r>
          </w:p>
        </w:tc>
        <w:tc>
          <w:tcPr>
            <w:tcW w:w="261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 + upon product change</w:t>
            </w:r>
          </w:p>
        </w:tc>
        <w:tc>
          <w:tcPr>
            <w:tcW w:w="147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 concern triggers SOP 4 in parallel</w:t>
            </w:r>
          </w:p>
        </w:tc>
        <w:tc>
          <w:tcPr>
            <w:tcW w:w="225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See purpose statement below</w:t>
            </w:r>
          </w:p>
        </w:tc>
      </w:tr>
    </w:tbl>
    <w:p w:rsidR="009558D9" w:rsidRDefault="009558D9">
      <w:pPr>
        <w:spacing w:after="60"/>
      </w:pPr>
    </w:p>
    <w:p w:rsidR="009558D9" w:rsidRDefault="00000000" w:rsidP="00A338B9">
      <w:pPr>
        <w:spacing w:before="60" w:after="100"/>
        <w:ind w:right="-1170"/>
        <w:jc w:val="both"/>
      </w:pPr>
      <w:r>
        <w:t>Purpose: Govern handling of customer transaction disputes including unauthorized transactions, failed payments, and incorrect charges. Note: This SOP covers AML-integrated dispute handling within the Company's confirmed operational authority. Consumer protection regulatory obligations are governed by product terms, Banking Partner agreement, and applicable law.</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920"/>
        <w:gridCol w:w="3897"/>
        <w:gridCol w:w="1755"/>
        <w:gridCol w:w="2170"/>
      </w:tblGrid>
      <w:tr w:rsidR="009558D9" w:rsidTr="00A338B9">
        <w:trPr>
          <w:trHeight w:val="452"/>
        </w:trPr>
        <w:tc>
          <w:tcPr>
            <w:tcW w:w="56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Step #</w:t>
            </w:r>
          </w:p>
        </w:tc>
        <w:tc>
          <w:tcPr>
            <w:tcW w:w="193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Action</w:t>
            </w:r>
          </w:p>
        </w:tc>
        <w:tc>
          <w:tcPr>
            <w:tcW w:w="402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Procedure</w:t>
            </w:r>
          </w:p>
        </w:tc>
        <w:tc>
          <w:tcPr>
            <w:tcW w:w="177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Responsible</w:t>
            </w:r>
          </w:p>
        </w:tc>
        <w:tc>
          <w:tcPr>
            <w:tcW w:w="222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Timeline</w:t>
            </w:r>
          </w:p>
        </w:tc>
      </w:tr>
      <w:tr w:rsidR="009558D9" w:rsidTr="00A338B9">
        <w:trPr>
          <w:trHeight w:val="688"/>
        </w:trPr>
        <w:tc>
          <w:tcPr>
            <w:tcW w:w="567"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1</w:t>
            </w:r>
          </w:p>
        </w:tc>
        <w:tc>
          <w:tcPr>
            <w:tcW w:w="193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Dispute Submission</w:t>
            </w:r>
          </w:p>
        </w:tc>
        <w:tc>
          <w:tcPr>
            <w:tcW w:w="402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Customer submits dispute via official channel. Dispute type recorded: unauthorized transaction / failed payment / incorrect charge / other.</w:t>
            </w:r>
          </w:p>
        </w:tc>
        <w:tc>
          <w:tcPr>
            <w:tcW w:w="177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Ops</w:t>
            </w:r>
          </w:p>
        </w:tc>
        <w:tc>
          <w:tcPr>
            <w:tcW w:w="22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Immediate</w:t>
            </w:r>
          </w:p>
        </w:tc>
      </w:tr>
      <w:tr w:rsidR="009558D9" w:rsidTr="00A338B9">
        <w:trPr>
          <w:trHeight w:val="669"/>
        </w:trPr>
        <w:tc>
          <w:tcPr>
            <w:tcW w:w="567"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2</w:t>
            </w:r>
          </w:p>
        </w:tc>
        <w:tc>
          <w:tcPr>
            <w:tcW w:w="193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Initial Triage</w:t>
            </w:r>
          </w:p>
        </w:tc>
        <w:tc>
          <w:tcPr>
            <w:tcW w:w="4021"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Ops reviews dispute type and initial plausibility. Retrieves transaction records. Flags to CO if AML/fraud indicators present.</w:t>
            </w:r>
          </w:p>
        </w:tc>
        <w:tc>
          <w:tcPr>
            <w:tcW w:w="177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Ops</w:t>
            </w:r>
          </w:p>
        </w:tc>
        <w:tc>
          <w:tcPr>
            <w:tcW w:w="22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4 hours</w:t>
            </w:r>
          </w:p>
        </w:tc>
      </w:tr>
      <w:tr w:rsidR="009558D9" w:rsidTr="00A338B9">
        <w:trPr>
          <w:trHeight w:val="688"/>
        </w:trPr>
        <w:tc>
          <w:tcPr>
            <w:tcW w:w="567"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3</w:t>
            </w:r>
          </w:p>
        </w:tc>
        <w:tc>
          <w:tcPr>
            <w:tcW w:w="193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 Assessment</w:t>
            </w:r>
          </w:p>
        </w:tc>
        <w:tc>
          <w:tcPr>
            <w:tcW w:w="402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Where dispute involves unusual transaction pattern, large value, or first-party fraud indicators: CO assessment of AML/TF dimensions before resolution.</w:t>
            </w:r>
          </w:p>
        </w:tc>
        <w:tc>
          <w:tcPr>
            <w:tcW w:w="177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24 hours</w:t>
            </w:r>
          </w:p>
        </w:tc>
      </w:tr>
      <w:tr w:rsidR="009558D9" w:rsidTr="00A338B9">
        <w:trPr>
          <w:trHeight w:val="669"/>
        </w:trPr>
        <w:tc>
          <w:tcPr>
            <w:tcW w:w="567"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4</w:t>
            </w:r>
          </w:p>
        </w:tc>
        <w:tc>
          <w:tcPr>
            <w:tcW w:w="193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Investigation</w:t>
            </w:r>
          </w:p>
        </w:tc>
        <w:tc>
          <w:tcPr>
            <w:tcW w:w="4021"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Full review of transaction records, customer history, and relevant system data. Fraudulent transaction evidence documented.</w:t>
            </w:r>
          </w:p>
        </w:tc>
        <w:tc>
          <w:tcPr>
            <w:tcW w:w="177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Ops / CO</w:t>
            </w:r>
          </w:p>
        </w:tc>
        <w:tc>
          <w:tcPr>
            <w:tcW w:w="22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3-5 business days</w:t>
            </w:r>
          </w:p>
        </w:tc>
      </w:tr>
      <w:tr w:rsidR="009558D9" w:rsidTr="00A338B9">
        <w:trPr>
          <w:trHeight w:val="904"/>
        </w:trPr>
        <w:tc>
          <w:tcPr>
            <w:tcW w:w="567"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5</w:t>
            </w:r>
          </w:p>
        </w:tc>
        <w:tc>
          <w:tcPr>
            <w:tcW w:w="193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Resolution Decision</w:t>
            </w:r>
          </w:p>
        </w:tc>
        <w:tc>
          <w:tcPr>
            <w:tcW w:w="402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Decision: (a) resolve in customer's favor (reversal or credit); (b) dispute invalid; (c) fraud confirmed - refer to SOP 1 and SOP 2; (d) escalate to Banking Partner if beyond Company authority.</w:t>
            </w:r>
          </w:p>
        </w:tc>
        <w:tc>
          <w:tcPr>
            <w:tcW w:w="177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 Ops</w:t>
            </w:r>
          </w:p>
        </w:tc>
        <w:tc>
          <w:tcPr>
            <w:tcW w:w="22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10 business days</w:t>
            </w:r>
          </w:p>
        </w:tc>
      </w:tr>
      <w:tr w:rsidR="009558D9" w:rsidTr="00A338B9">
        <w:trPr>
          <w:trHeight w:val="470"/>
        </w:trPr>
        <w:tc>
          <w:tcPr>
            <w:tcW w:w="567"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6</w:t>
            </w:r>
          </w:p>
        </w:tc>
        <w:tc>
          <w:tcPr>
            <w:tcW w:w="193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SAR Referral</w:t>
            </w:r>
          </w:p>
        </w:tc>
        <w:tc>
          <w:tcPr>
            <w:tcW w:w="4021"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If dispute resolution reveals suspicious activity: case referred to CO for SAR/escalation assessment per SOP 4.</w:t>
            </w:r>
          </w:p>
        </w:tc>
        <w:tc>
          <w:tcPr>
            <w:tcW w:w="177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Per SOP 4 timeline</w:t>
            </w:r>
          </w:p>
        </w:tc>
      </w:tr>
      <w:tr w:rsidR="009558D9" w:rsidTr="00A338B9">
        <w:trPr>
          <w:trHeight w:val="452"/>
        </w:trPr>
        <w:tc>
          <w:tcPr>
            <w:tcW w:w="567"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7</w:t>
            </w:r>
          </w:p>
        </w:tc>
        <w:tc>
          <w:tcPr>
            <w:tcW w:w="193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Customer Notification</w:t>
            </w:r>
          </w:p>
        </w:tc>
        <w:tc>
          <w:tcPr>
            <w:tcW w:w="402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Customer notified of resolution decision. Where SAR-related: no disclosure of SAR or investigation.</w:t>
            </w:r>
          </w:p>
        </w:tc>
        <w:tc>
          <w:tcPr>
            <w:tcW w:w="177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Ops</w:t>
            </w:r>
          </w:p>
        </w:tc>
        <w:tc>
          <w:tcPr>
            <w:tcW w:w="22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5 business days of decision</w:t>
            </w:r>
          </w:p>
        </w:tc>
      </w:tr>
      <w:tr w:rsidR="009558D9" w:rsidTr="00A338B9">
        <w:trPr>
          <w:trHeight w:val="452"/>
        </w:trPr>
        <w:tc>
          <w:tcPr>
            <w:tcW w:w="567"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lastRenderedPageBreak/>
              <w:t>8</w:t>
            </w:r>
          </w:p>
        </w:tc>
        <w:tc>
          <w:tcPr>
            <w:tcW w:w="193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Closure Documentation</w:t>
            </w:r>
          </w:p>
        </w:tc>
        <w:tc>
          <w:tcPr>
            <w:tcW w:w="4021"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Dispute record retained in customer compliance file minimum 5 years.</w:t>
            </w:r>
          </w:p>
        </w:tc>
        <w:tc>
          <w:tcPr>
            <w:tcW w:w="177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Ops</w:t>
            </w:r>
          </w:p>
        </w:tc>
        <w:tc>
          <w:tcPr>
            <w:tcW w:w="22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Upon closure</w:t>
            </w:r>
          </w:p>
        </w:tc>
      </w:tr>
    </w:tbl>
    <w:p w:rsidR="009558D9" w:rsidRPr="00A338B9" w:rsidRDefault="009558D9">
      <w:pPr>
        <w:rPr>
          <w:lang w:val="uk-UA"/>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9558D9" w:rsidTr="00A338B9">
        <w:trPr>
          <w:trHeight w:val="320"/>
        </w:trPr>
        <w:tc>
          <w:tcPr>
            <w:tcW w:w="10492" w:type="dxa"/>
            <w:tcBorders>
              <w:top w:val="single" w:sz="6" w:space="0" w:color="0F4761"/>
              <w:bottom w:val="single" w:sz="6" w:space="0" w:color="0F4761"/>
            </w:tcBorders>
            <w:shd w:val="clear" w:color="auto" w:fill="EBF0F7"/>
            <w:tcMar>
              <w:top w:w="120" w:type="dxa"/>
              <w:left w:w="200" w:type="dxa"/>
              <w:bottom w:w="120" w:type="dxa"/>
              <w:right w:w="200" w:type="dxa"/>
            </w:tcMar>
          </w:tcPr>
          <w:p w:rsidR="009558D9" w:rsidRDefault="00000000">
            <w:bookmarkStart w:id="4" w:name="bm_sop4"/>
            <w:r>
              <w:rPr>
                <w:b/>
                <w:bCs/>
                <w:color w:val="0F4761"/>
                <w:sz w:val="28"/>
                <w:szCs w:val="28"/>
              </w:rPr>
              <w:t>SOP 4 - SAR/CTR ESCALATION AND FILING SUPPORT PROCEDURE</w:t>
            </w:r>
            <w:bookmarkEnd w:id="4"/>
          </w:p>
        </w:tc>
      </w:tr>
    </w:tbl>
    <w:p w:rsidR="009558D9" w:rsidRDefault="009558D9">
      <w:pPr>
        <w:spacing w:after="80"/>
      </w:pPr>
    </w:p>
    <w:p w:rsidR="009558D9" w:rsidRDefault="00000000" w:rsidP="00B34CB4">
      <w:pPr>
        <w:spacing w:before="60" w:after="120"/>
        <w:ind w:right="-1080"/>
        <w:jc w:val="both"/>
      </w:pPr>
      <w:r>
        <w:t>This procedure governs the internal escalation, preparation, and filing support process for Suspicious Activity Reports and Currency Transaction Reports. It is the central coordination mechanism for the Company’s BSA reporting obligations and is designed to ensure that all SAR decisions are made by the Compliance Officer, that filing responsibilities are correctly allocated between the Company and its Banking Partner in accordance with the confirmed Regulatory Perimeter Memorandum, and that all deadlines under 31 C.F.R. § 1022.320 and § 1010.311 are met. No SAR may be filed or suppressed without explicit CO sign-off.</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738"/>
        <w:gridCol w:w="2578"/>
        <w:gridCol w:w="1451"/>
        <w:gridCol w:w="2223"/>
      </w:tblGrid>
      <w:tr w:rsidR="009558D9" w:rsidTr="00A338B9">
        <w:trPr>
          <w:trHeight w:val="320"/>
        </w:trPr>
        <w:tc>
          <w:tcPr>
            <w:tcW w:w="145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SOP Owner</w:t>
            </w:r>
          </w:p>
        </w:tc>
        <w:tc>
          <w:tcPr>
            <w:tcW w:w="274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Governing Document</w:t>
            </w:r>
          </w:p>
        </w:tc>
        <w:tc>
          <w:tcPr>
            <w:tcW w:w="258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Review Frequency</w:t>
            </w:r>
          </w:p>
        </w:tc>
        <w:tc>
          <w:tcPr>
            <w:tcW w:w="145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Filing Dependency</w:t>
            </w:r>
          </w:p>
        </w:tc>
        <w:tc>
          <w:tcPr>
            <w:tcW w:w="2226"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Purpose / Scope</w:t>
            </w:r>
          </w:p>
        </w:tc>
      </w:tr>
      <w:tr w:rsidR="009558D9" w:rsidTr="00A338B9">
        <w:trPr>
          <w:trHeight w:val="1366"/>
        </w:trPr>
        <w:tc>
          <w:tcPr>
            <w:tcW w:w="1451"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Compliance Officer</w:t>
            </w:r>
          </w:p>
        </w:tc>
        <w:tc>
          <w:tcPr>
            <w:tcW w:w="274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Master Program s.9; TM Procedures s.4</w:t>
            </w:r>
          </w:p>
        </w:tc>
        <w:tc>
          <w:tcPr>
            <w:tcW w:w="258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 + upon regulatory change</w:t>
            </w:r>
          </w:p>
        </w:tc>
        <w:tc>
          <w:tcPr>
            <w:tcW w:w="145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SAR filing (direct or Banking Partner escalation) per confirmed filing allocation</w:t>
            </w:r>
          </w:p>
        </w:tc>
        <w:tc>
          <w:tcPr>
            <w:tcW w:w="222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See purpose statement below</w:t>
            </w:r>
          </w:p>
        </w:tc>
      </w:tr>
    </w:tbl>
    <w:p w:rsidR="009558D9" w:rsidRDefault="009558D9">
      <w:pPr>
        <w:spacing w:after="60"/>
      </w:pPr>
    </w:p>
    <w:p w:rsidR="009558D9" w:rsidRDefault="00000000" w:rsidP="00A338B9">
      <w:pPr>
        <w:spacing w:before="60" w:after="100"/>
        <w:ind w:right="-1080"/>
        <w:jc w:val="both"/>
      </w:pPr>
      <w:r>
        <w:t>Purpose: Govern detection, investigation, SAR filing, and Banking Partner escalation for all qualifying suspicious activity, as well as CTR identification and support. The applicable path (direct filing by the Company as confirmed filing institution; escalation package preparation where the Banking Partner is the filer) is confirmed in the Regulatory Perimeter Memorandum and Filing Allocation Matrix.</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904"/>
        <w:gridCol w:w="3914"/>
        <w:gridCol w:w="1749"/>
        <w:gridCol w:w="2174"/>
      </w:tblGrid>
      <w:tr w:rsidR="009558D9" w:rsidTr="00A338B9">
        <w:trPr>
          <w:trHeight w:val="458"/>
        </w:trPr>
        <w:tc>
          <w:tcPr>
            <w:tcW w:w="56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Step #</w:t>
            </w:r>
          </w:p>
        </w:tc>
        <w:tc>
          <w:tcPr>
            <w:tcW w:w="192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Action</w:t>
            </w:r>
          </w:p>
        </w:tc>
        <w:tc>
          <w:tcPr>
            <w:tcW w:w="399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Procedure</w:t>
            </w:r>
          </w:p>
        </w:tc>
        <w:tc>
          <w:tcPr>
            <w:tcW w:w="176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Responsible</w:t>
            </w:r>
          </w:p>
        </w:tc>
        <w:tc>
          <w:tcPr>
            <w:tcW w:w="220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Timeline</w:t>
            </w:r>
          </w:p>
        </w:tc>
      </w:tr>
      <w:tr w:rsidR="009558D9" w:rsidTr="00A338B9">
        <w:trPr>
          <w:trHeight w:val="695"/>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1</w:t>
            </w:r>
          </w:p>
        </w:tc>
        <w:tc>
          <w:tcPr>
            <w:tcW w:w="19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Detection / Escalation</w:t>
            </w:r>
          </w:p>
        </w:tc>
        <w:tc>
          <w:tcPr>
            <w:tcW w:w="39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Suspicious activity identified through TM, customer review, staff observation, or external tip. Case escalated to CO with evidence file.</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 / CO</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48 hours</w:t>
            </w:r>
          </w:p>
        </w:tc>
      </w:tr>
      <w:tr w:rsidR="009558D9" w:rsidTr="00A338B9">
        <w:trPr>
          <w:trHeight w:val="677"/>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2</w:t>
            </w:r>
          </w:p>
        </w:tc>
        <w:tc>
          <w:tcPr>
            <w:tcW w:w="19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Investigation</w:t>
            </w:r>
          </w:p>
        </w:tc>
        <w:tc>
          <w:tcPr>
            <w:tcW w:w="39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 conducts in-depth investigation: transactions, customer profile, prior SARs, 314(a) check, external databases.</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10-15 days</w:t>
            </w:r>
          </w:p>
        </w:tc>
      </w:tr>
      <w:tr w:rsidR="009558D9" w:rsidTr="00A338B9">
        <w:trPr>
          <w:trHeight w:val="695"/>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3</w:t>
            </w:r>
          </w:p>
        </w:tc>
        <w:tc>
          <w:tcPr>
            <w:tcW w:w="19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SAR Committee Review</w:t>
            </w:r>
          </w:p>
        </w:tc>
        <w:tc>
          <w:tcPr>
            <w:tcW w:w="39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For qualifying cases (high value, PEP, systemic, novel typology): SAR Committee reviews before filing decision.</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 + SAR Committee</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Within 20 days</w:t>
            </w:r>
          </w:p>
        </w:tc>
      </w:tr>
      <w:tr w:rsidR="009558D9" w:rsidTr="00A338B9">
        <w:trPr>
          <w:trHeight w:val="677"/>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4</w:t>
            </w:r>
          </w:p>
        </w:tc>
        <w:tc>
          <w:tcPr>
            <w:tcW w:w="19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Filing Decision</w:t>
            </w:r>
          </w:p>
        </w:tc>
        <w:tc>
          <w:tcPr>
            <w:tcW w:w="39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 makes documented decision: SAR/escalation required or no action (rationale documented). No-action rationale retained 5 years.</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25 days</w:t>
            </w:r>
          </w:p>
        </w:tc>
      </w:tr>
      <w:tr w:rsidR="009558D9" w:rsidTr="00A338B9">
        <w:trPr>
          <w:trHeight w:val="915"/>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lastRenderedPageBreak/>
              <w:t>5a</w:t>
            </w:r>
          </w:p>
        </w:tc>
        <w:tc>
          <w:tcPr>
            <w:tcW w:w="19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SAR Preparation and Direct Filing (where Company is confirmed filing institution)</w:t>
            </w:r>
          </w:p>
        </w:tc>
        <w:tc>
          <w:tcPr>
            <w:tcW w:w="39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SAR narrative prepared per FinCEN quality guidelines. CO QA review before submission. Filed via FinCEN BSA E-Filing. Applies only where Company is the confirmed MSB filing institution.</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By Day 30</w:t>
            </w:r>
          </w:p>
        </w:tc>
      </w:tr>
      <w:tr w:rsidR="009558D9" w:rsidTr="00A338B9">
        <w:trPr>
          <w:trHeight w:val="695"/>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5b</w:t>
            </w:r>
          </w:p>
        </w:tc>
        <w:tc>
          <w:tcPr>
            <w:tcW w:w="19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Escalation Package (Partner is filer)</w:t>
            </w:r>
          </w:p>
        </w:tc>
        <w:tc>
          <w:tcPr>
            <w:tcW w:w="39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Complete escalation package transmitted to Banking Partner. Transmission logged with timestamp, acknowledgment, and outcome tracking.</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By Day 20</w:t>
            </w:r>
          </w:p>
        </w:tc>
      </w:tr>
      <w:tr w:rsidR="009558D9" w:rsidTr="00A338B9">
        <w:trPr>
          <w:trHeight w:val="458"/>
        </w:trPr>
        <w:tc>
          <w:tcPr>
            <w:tcW w:w="563"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6</w:t>
            </w:r>
          </w:p>
        </w:tc>
        <w:tc>
          <w:tcPr>
            <w:tcW w:w="192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Post-Filing Monitoring</w:t>
            </w:r>
          </w:p>
        </w:tc>
        <w:tc>
          <w:tcPr>
            <w:tcW w:w="399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Account flagged for enhanced monitoring. Continuing activity review cycle set if applicable (~90 days).</w:t>
            </w:r>
          </w:p>
        </w:tc>
        <w:tc>
          <w:tcPr>
            <w:tcW w:w="176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 / CO</w:t>
            </w:r>
          </w:p>
        </w:tc>
        <w:tc>
          <w:tcPr>
            <w:tcW w:w="220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Ongoing</w:t>
            </w:r>
          </w:p>
        </w:tc>
      </w:tr>
      <w:tr w:rsidR="009558D9" w:rsidTr="00A338B9">
        <w:trPr>
          <w:trHeight w:val="1134"/>
        </w:trPr>
        <w:tc>
          <w:tcPr>
            <w:tcW w:w="563"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7</w:t>
            </w:r>
          </w:p>
        </w:tc>
        <w:tc>
          <w:tcPr>
            <w:tcW w:w="1923"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CTR Identification and Support</w:t>
            </w:r>
          </w:p>
        </w:tc>
        <w:tc>
          <w:tcPr>
            <w:tcW w:w="399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CTR obligation applies where Company is the confirmed filing institution for cash transactions exceeding $10,000. Where Banking Partner is the filing institution: Company identifies CTR triggers and transmits to the Banking Partner within 5 business days.</w:t>
            </w:r>
          </w:p>
        </w:tc>
        <w:tc>
          <w:tcPr>
            <w:tcW w:w="1764"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 / Analyst</w:t>
            </w:r>
          </w:p>
        </w:tc>
        <w:tc>
          <w:tcPr>
            <w:tcW w:w="22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15 calendar days (direct) or 5 business days (escalation)</w:t>
            </w:r>
          </w:p>
        </w:tc>
      </w:tr>
    </w:tbl>
    <w:p w:rsidR="009558D9" w:rsidRPr="00A338B9" w:rsidRDefault="009558D9">
      <w:pPr>
        <w:rPr>
          <w:lang w:val="uk-UA"/>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9558D9" w:rsidTr="00A338B9">
        <w:trPr>
          <w:trHeight w:val="293"/>
        </w:trPr>
        <w:tc>
          <w:tcPr>
            <w:tcW w:w="10604" w:type="dxa"/>
            <w:tcBorders>
              <w:top w:val="single" w:sz="6" w:space="0" w:color="0F4761"/>
              <w:bottom w:val="single" w:sz="6" w:space="0" w:color="0F4761"/>
            </w:tcBorders>
            <w:shd w:val="clear" w:color="auto" w:fill="EBF0F7"/>
            <w:tcMar>
              <w:top w:w="120" w:type="dxa"/>
              <w:left w:w="200" w:type="dxa"/>
              <w:bottom w:w="120" w:type="dxa"/>
              <w:right w:w="200" w:type="dxa"/>
            </w:tcMar>
          </w:tcPr>
          <w:p w:rsidR="009558D9" w:rsidRDefault="00000000">
            <w:bookmarkStart w:id="5" w:name="bm_sop5"/>
            <w:r>
              <w:rPr>
                <w:b/>
                <w:bCs/>
                <w:color w:val="0F4761"/>
                <w:sz w:val="28"/>
                <w:szCs w:val="28"/>
              </w:rPr>
              <w:t>SOP 5 - ANNUAL KYC REFRESH PROCEDURE</w:t>
            </w:r>
            <w:bookmarkEnd w:id="5"/>
          </w:p>
        </w:tc>
      </w:tr>
    </w:tbl>
    <w:p w:rsidR="009558D9" w:rsidRDefault="009558D9">
      <w:pPr>
        <w:spacing w:after="80"/>
      </w:pPr>
    </w:p>
    <w:p w:rsidR="009558D9" w:rsidRDefault="00000000" w:rsidP="00B34CB4">
      <w:pPr>
        <w:spacing w:before="60" w:after="120"/>
        <w:ind w:right="-1080"/>
        <w:jc w:val="both"/>
      </w:pPr>
      <w:r>
        <w:t>This procedure governs the Company’s annual KYC refresh cycle, ensuring that customer due diligence records, risk classifications, and supporting documentation are reviewed, updated, and re-approved on a risk-tiered schedule. The refresh cycle is a core component of the Company’s ongoing CDD obligations and is designed to identify any material changes in customer risk profile that would warrant re-tiering, enhanced due diligence, or relationship termination. Refresh outcomes are reported to the Compliance Officer and documented in the customer case management system.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2690"/>
        <w:gridCol w:w="2536"/>
        <w:gridCol w:w="1565"/>
        <w:gridCol w:w="2189"/>
      </w:tblGrid>
      <w:tr w:rsidR="009558D9" w:rsidTr="00A338B9">
        <w:trPr>
          <w:trHeight w:val="320"/>
        </w:trPr>
        <w:tc>
          <w:tcPr>
            <w:tcW w:w="147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SOP Owner</w:t>
            </w:r>
          </w:p>
        </w:tc>
        <w:tc>
          <w:tcPr>
            <w:tcW w:w="2776"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Governing Document</w:t>
            </w:r>
          </w:p>
        </w:tc>
        <w:tc>
          <w:tcPr>
            <w:tcW w:w="2613"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Review Frequency</w:t>
            </w:r>
          </w:p>
        </w:tc>
        <w:tc>
          <w:tcPr>
            <w:tcW w:w="147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Filing Dependency</w:t>
            </w:r>
          </w:p>
        </w:tc>
        <w:tc>
          <w:tcPr>
            <w:tcW w:w="225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Purpose / Scope</w:t>
            </w:r>
          </w:p>
        </w:tc>
      </w:tr>
      <w:tr w:rsidR="009558D9" w:rsidTr="00A338B9">
        <w:trPr>
          <w:trHeight w:val="1120"/>
        </w:trPr>
        <w:tc>
          <w:tcPr>
            <w:tcW w:w="147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Compliance Officer / KYC Team</w:t>
            </w:r>
          </w:p>
        </w:tc>
        <w:tc>
          <w:tcPr>
            <w:tcW w:w="2776"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AML/BSA Program s.8; KYC/CIP Procedures</w:t>
            </w:r>
          </w:p>
        </w:tc>
        <w:tc>
          <w:tcPr>
            <w:tcW w:w="2613"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 + upon tier change</w:t>
            </w:r>
          </w:p>
        </w:tc>
        <w:tc>
          <w:tcPr>
            <w:tcW w:w="147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Non-responsive customers may trigger SOP 4 SAR/escalation assessment</w:t>
            </w:r>
          </w:p>
        </w:tc>
        <w:tc>
          <w:tcPr>
            <w:tcW w:w="2254"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See purpose statement below</w:t>
            </w:r>
          </w:p>
        </w:tc>
      </w:tr>
    </w:tbl>
    <w:p w:rsidR="009558D9" w:rsidRDefault="009558D9">
      <w:pPr>
        <w:spacing w:after="60"/>
      </w:pPr>
    </w:p>
    <w:p w:rsidR="00B34CB4" w:rsidRDefault="00000000" w:rsidP="00A338B9">
      <w:pPr>
        <w:spacing w:before="60" w:after="100"/>
        <w:ind w:right="-1260"/>
      </w:pPr>
      <w:r>
        <w:t>Purpose: Govern the systematic periodic review and refresh of customer KYC/CIP information across all tiers.</w:t>
      </w:r>
    </w:p>
    <w:p w:rsidR="009558D9" w:rsidRDefault="00000000">
      <w:pPr>
        <w:pStyle w:val="Heading3"/>
      </w:pPr>
      <w:r>
        <w:t>Refresh Schedule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3047"/>
        <w:gridCol w:w="2961"/>
        <w:gridCol w:w="2341"/>
      </w:tblGrid>
      <w:tr w:rsidR="009558D9" w:rsidTr="00D31C95">
        <w:trPr>
          <w:trHeight w:val="703"/>
        </w:trPr>
        <w:tc>
          <w:tcPr>
            <w:tcW w:w="209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Tier</w:t>
            </w:r>
          </w:p>
        </w:tc>
        <w:tc>
          <w:tcPr>
            <w:tcW w:w="3047"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Refresh Frequency</w:t>
            </w:r>
          </w:p>
        </w:tc>
        <w:tc>
          <w:tcPr>
            <w:tcW w:w="296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Full Re-Verification</w:t>
            </w:r>
          </w:p>
        </w:tc>
        <w:tc>
          <w:tcPr>
            <w:tcW w:w="2341"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Trigger-Based Review</w:t>
            </w:r>
          </w:p>
        </w:tc>
      </w:tr>
      <w:tr w:rsidR="009558D9" w:rsidTr="00D31C95">
        <w:trPr>
          <w:trHeight w:val="728"/>
        </w:trPr>
        <w:tc>
          <w:tcPr>
            <w:tcW w:w="2091"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Tier 1 (Standard)</w:t>
            </w:r>
          </w:p>
        </w:tc>
        <w:tc>
          <w:tcPr>
            <w:tcW w:w="304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 (12 months)</w:t>
            </w:r>
          </w:p>
        </w:tc>
        <w:tc>
          <w:tcPr>
            <w:tcW w:w="296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Every 36 months</w:t>
            </w:r>
          </w:p>
        </w:tc>
        <w:tc>
          <w:tcPr>
            <w:tcW w:w="234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Change in risk profile; adverse media; OFAC hit</w:t>
            </w:r>
          </w:p>
        </w:tc>
      </w:tr>
      <w:tr w:rsidR="009558D9" w:rsidTr="00D31C95">
        <w:trPr>
          <w:trHeight w:val="458"/>
        </w:trPr>
        <w:tc>
          <w:tcPr>
            <w:tcW w:w="2091"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lastRenderedPageBreak/>
              <w:t>Tier 2 (Elevated)</w:t>
            </w:r>
          </w:p>
        </w:tc>
        <w:tc>
          <w:tcPr>
            <w:tcW w:w="3047"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Semi-annual (6 months)</w:t>
            </w:r>
          </w:p>
        </w:tc>
        <w:tc>
          <w:tcPr>
            <w:tcW w:w="2961"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Every 18 months</w:t>
            </w:r>
          </w:p>
        </w:tc>
        <w:tc>
          <w:tcPr>
            <w:tcW w:w="2341"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Any material change; elevated TM alert</w:t>
            </w:r>
          </w:p>
        </w:tc>
      </w:tr>
      <w:tr w:rsidR="009558D9" w:rsidTr="00D31C95">
        <w:trPr>
          <w:trHeight w:val="773"/>
        </w:trPr>
        <w:tc>
          <w:tcPr>
            <w:tcW w:w="2091"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Tier 3 (EDD)</w:t>
            </w:r>
          </w:p>
        </w:tc>
        <w:tc>
          <w:tcPr>
            <w:tcW w:w="3047"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Quarterly (3 months)</w:t>
            </w:r>
          </w:p>
        </w:tc>
        <w:tc>
          <w:tcPr>
            <w:tcW w:w="296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Annual</w:t>
            </w:r>
          </w:p>
        </w:tc>
        <w:tc>
          <w:tcPr>
            <w:tcW w:w="2341"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Any adverse event; post-SAR; ownership change</w:t>
            </w:r>
          </w:p>
        </w:tc>
      </w:tr>
    </w:tbl>
    <w:p w:rsidR="009558D9" w:rsidRDefault="009558D9">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914"/>
        <w:gridCol w:w="3902"/>
        <w:gridCol w:w="1752"/>
        <w:gridCol w:w="2174"/>
      </w:tblGrid>
      <w:tr w:rsidR="009558D9" w:rsidTr="00A338B9">
        <w:trPr>
          <w:trHeight w:val="713"/>
        </w:trPr>
        <w:tc>
          <w:tcPr>
            <w:tcW w:w="564"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Step #</w:t>
            </w:r>
          </w:p>
        </w:tc>
        <w:tc>
          <w:tcPr>
            <w:tcW w:w="192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Action</w:t>
            </w:r>
          </w:p>
        </w:tc>
        <w:tc>
          <w:tcPr>
            <w:tcW w:w="3999"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Procedure</w:t>
            </w:r>
          </w:p>
        </w:tc>
        <w:tc>
          <w:tcPr>
            <w:tcW w:w="1768"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Responsible</w:t>
            </w:r>
          </w:p>
        </w:tc>
        <w:tc>
          <w:tcPr>
            <w:tcW w:w="2212"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9558D9" w:rsidRDefault="00000000">
            <w:r>
              <w:rPr>
                <w:b/>
                <w:bCs/>
                <w:color w:val="FFFFFF"/>
                <w:sz w:val="20"/>
                <w:szCs w:val="20"/>
              </w:rPr>
              <w:t>Timeline</w:t>
            </w:r>
          </w:p>
        </w:tc>
      </w:tr>
      <w:tr w:rsidR="009558D9" w:rsidTr="00A338B9">
        <w:trPr>
          <w:trHeight w:val="741"/>
        </w:trPr>
        <w:tc>
          <w:tcPr>
            <w:tcW w:w="5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1</w:t>
            </w:r>
          </w:p>
        </w:tc>
        <w:tc>
          <w:tcPr>
            <w:tcW w:w="192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Refresh Schedule Generation</w:t>
            </w:r>
          </w:p>
        </w:tc>
        <w:tc>
          <w:tcPr>
            <w:tcW w:w="399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Each quarter: generate list of all customers due for refresh, organized by tier.</w:t>
            </w:r>
          </w:p>
        </w:tc>
        <w:tc>
          <w:tcPr>
            <w:tcW w:w="176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 / CO</w:t>
            </w:r>
          </w:p>
        </w:tc>
        <w:tc>
          <w:tcPr>
            <w:tcW w:w="221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Start of each quarter</w:t>
            </w:r>
          </w:p>
        </w:tc>
      </w:tr>
      <w:tr w:rsidR="009558D9" w:rsidTr="00A338B9">
        <w:trPr>
          <w:trHeight w:val="713"/>
        </w:trPr>
        <w:tc>
          <w:tcPr>
            <w:tcW w:w="5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2</w:t>
            </w:r>
          </w:p>
        </w:tc>
        <w:tc>
          <w:tcPr>
            <w:tcW w:w="192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Customer Outreach</w:t>
            </w:r>
          </w:p>
        </w:tc>
        <w:tc>
          <w:tcPr>
            <w:tcW w:w="399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Customers due for refresh contacted through verified channel. 15-business-day response deadline set.</w:t>
            </w:r>
          </w:p>
        </w:tc>
        <w:tc>
          <w:tcPr>
            <w:tcW w:w="176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Ops</w:t>
            </w:r>
          </w:p>
        </w:tc>
        <w:tc>
          <w:tcPr>
            <w:tcW w:w="221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Rolling throughout quarter</w:t>
            </w:r>
          </w:p>
        </w:tc>
      </w:tr>
      <w:tr w:rsidR="009558D9" w:rsidTr="00A338B9">
        <w:trPr>
          <w:trHeight w:val="713"/>
        </w:trPr>
        <w:tc>
          <w:tcPr>
            <w:tcW w:w="5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3</w:t>
            </w:r>
          </w:p>
        </w:tc>
        <w:tc>
          <w:tcPr>
            <w:tcW w:w="192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Information Update</w:t>
            </w:r>
          </w:p>
        </w:tc>
        <w:tc>
          <w:tcPr>
            <w:tcW w:w="399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Customer provides updated CIP information. Changes recorded and documented.</w:t>
            </w:r>
          </w:p>
        </w:tc>
        <w:tc>
          <w:tcPr>
            <w:tcW w:w="176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w:t>
            </w:r>
          </w:p>
        </w:tc>
        <w:tc>
          <w:tcPr>
            <w:tcW w:w="221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Upon receipt</w:t>
            </w:r>
          </w:p>
        </w:tc>
      </w:tr>
      <w:tr w:rsidR="009558D9" w:rsidTr="00A338B9">
        <w:trPr>
          <w:trHeight w:val="713"/>
        </w:trPr>
        <w:tc>
          <w:tcPr>
            <w:tcW w:w="5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4</w:t>
            </w:r>
          </w:p>
        </w:tc>
        <w:tc>
          <w:tcPr>
            <w:tcW w:w="192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Re-Verification</w:t>
            </w:r>
          </w:p>
        </w:tc>
        <w:tc>
          <w:tcPr>
            <w:tcW w:w="399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Where full re-verification applies: identity re-verified through KYC technology or documentary review.</w:t>
            </w:r>
          </w:p>
        </w:tc>
        <w:tc>
          <w:tcPr>
            <w:tcW w:w="176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Analyst</w:t>
            </w:r>
          </w:p>
        </w:tc>
        <w:tc>
          <w:tcPr>
            <w:tcW w:w="221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5 business days</w:t>
            </w:r>
          </w:p>
        </w:tc>
      </w:tr>
      <w:tr w:rsidR="009558D9" w:rsidTr="00A338B9">
        <w:trPr>
          <w:trHeight w:val="1084"/>
        </w:trPr>
        <w:tc>
          <w:tcPr>
            <w:tcW w:w="5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5</w:t>
            </w:r>
          </w:p>
        </w:tc>
        <w:tc>
          <w:tcPr>
            <w:tcW w:w="192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Re-Screening</w:t>
            </w:r>
          </w:p>
        </w:tc>
        <w:tc>
          <w:tcPr>
            <w:tcW w:w="399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 xml:space="preserve">All customers undergoing refresh re-screened: OFAC, sanctions </w:t>
            </w:r>
            <w:proofErr w:type="gramStart"/>
            <w:r>
              <w:rPr>
                <w:sz w:val="20"/>
                <w:szCs w:val="20"/>
              </w:rPr>
              <w:t>lists</w:t>
            </w:r>
            <w:proofErr w:type="gramEnd"/>
            <w:r>
              <w:rPr>
                <w:sz w:val="20"/>
                <w:szCs w:val="20"/>
              </w:rPr>
              <w:t>, PEP databases, adverse media. Results documented.</w:t>
            </w:r>
          </w:p>
        </w:tc>
        <w:tc>
          <w:tcPr>
            <w:tcW w:w="176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Analyst / System</w:t>
            </w:r>
          </w:p>
        </w:tc>
        <w:tc>
          <w:tcPr>
            <w:tcW w:w="221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Upon refresh</w:t>
            </w:r>
          </w:p>
        </w:tc>
      </w:tr>
      <w:tr w:rsidR="009558D9" w:rsidTr="00A338B9">
        <w:trPr>
          <w:trHeight w:val="1055"/>
        </w:trPr>
        <w:tc>
          <w:tcPr>
            <w:tcW w:w="5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6</w:t>
            </w:r>
          </w:p>
        </w:tc>
        <w:tc>
          <w:tcPr>
            <w:tcW w:w="192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Risk Re-Assessment</w:t>
            </w:r>
          </w:p>
        </w:tc>
        <w:tc>
          <w:tcPr>
            <w:tcW w:w="399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Updated information - risk tier re-evaluated. Tier change documented with rationale. Monitoring configuration updated.</w:t>
            </w:r>
          </w:p>
        </w:tc>
        <w:tc>
          <w:tcPr>
            <w:tcW w:w="176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w:t>
            </w:r>
          </w:p>
        </w:tc>
        <w:tc>
          <w:tcPr>
            <w:tcW w:w="221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Within 5 business days</w:t>
            </w:r>
          </w:p>
        </w:tc>
      </w:tr>
      <w:tr w:rsidR="009558D9" w:rsidTr="00A338B9">
        <w:trPr>
          <w:trHeight w:val="1084"/>
        </w:trPr>
        <w:tc>
          <w:tcPr>
            <w:tcW w:w="564"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7</w:t>
            </w:r>
          </w:p>
        </w:tc>
        <w:tc>
          <w:tcPr>
            <w:tcW w:w="192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Non-Responsive Customers</w:t>
            </w:r>
          </w:p>
        </w:tc>
        <w:tc>
          <w:tcPr>
            <w:tcW w:w="3999"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Customers not responding within 15 business days escalated to CO. Repeated non-response results in account restriction and SAR filing consideration.</w:t>
            </w:r>
          </w:p>
        </w:tc>
        <w:tc>
          <w:tcPr>
            <w:tcW w:w="1768"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CO</w:t>
            </w:r>
          </w:p>
        </w:tc>
        <w:tc>
          <w:tcPr>
            <w:tcW w:w="2212"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9558D9" w:rsidRDefault="00000000">
            <w:r>
              <w:rPr>
                <w:sz w:val="20"/>
                <w:szCs w:val="20"/>
              </w:rPr>
              <w:t>Day 16 post-outreach</w:t>
            </w:r>
          </w:p>
        </w:tc>
      </w:tr>
      <w:tr w:rsidR="009558D9" w:rsidTr="00A338B9">
        <w:trPr>
          <w:trHeight w:val="713"/>
        </w:trPr>
        <w:tc>
          <w:tcPr>
            <w:tcW w:w="564"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8</w:t>
            </w:r>
          </w:p>
        </w:tc>
        <w:tc>
          <w:tcPr>
            <w:tcW w:w="192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Documentation</w:t>
            </w:r>
          </w:p>
        </w:tc>
        <w:tc>
          <w:tcPr>
            <w:tcW w:w="399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Completed refresh records archived in customer's permanent compliance file.</w:t>
            </w:r>
          </w:p>
        </w:tc>
        <w:tc>
          <w:tcPr>
            <w:tcW w:w="176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Analyst</w:t>
            </w:r>
          </w:p>
        </w:tc>
        <w:tc>
          <w:tcPr>
            <w:tcW w:w="2212"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9558D9" w:rsidRDefault="00000000">
            <w:r>
              <w:rPr>
                <w:sz w:val="20"/>
                <w:szCs w:val="20"/>
              </w:rPr>
              <w:t>Upon completion</w:t>
            </w:r>
          </w:p>
        </w:tc>
      </w:tr>
    </w:tbl>
    <w:p w:rsidR="009558D9" w:rsidRDefault="009558D9">
      <w:pPr>
        <w:spacing w:after="200"/>
      </w:pPr>
    </w:p>
    <w:p w:rsidR="009558D9" w:rsidRDefault="009558D9">
      <w:pPr>
        <w:jc w:val="center"/>
      </w:pPr>
    </w:p>
    <w:sectPr w:rsidR="009558D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8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A80" w:rsidRDefault="004A5A80">
      <w:r>
        <w:separator/>
      </w:r>
    </w:p>
  </w:endnote>
  <w:endnote w:type="continuationSeparator" w:id="0">
    <w:p w:rsidR="004A5A80" w:rsidRDefault="004A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4CB4" w:rsidRDefault="00B34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8D9" w:rsidRDefault="00000000">
    <w:pPr>
      <w:pBdr>
        <w:top w:val="single" w:sz="6" w:space="4" w:color="0F4761"/>
      </w:pBdr>
      <w:spacing w:before="60"/>
    </w:pPr>
    <w:r>
      <w:rPr>
        <w:color w:val="78787A"/>
        <w:sz w:val="18"/>
        <w:szCs w:val="18"/>
      </w:rPr>
      <w:t xml:space="preserve">MAL MONEY INC. (Mal </w:t>
    </w:r>
    <w:proofErr w:type="gramStart"/>
    <w:r>
      <w:rPr>
        <w:color w:val="78787A"/>
        <w:sz w:val="18"/>
        <w:szCs w:val="18"/>
      </w:rPr>
      <w:t>Money)  -</w:t>
    </w:r>
    <w:proofErr w:type="gramEnd"/>
    <w:r>
      <w:rPr>
        <w:color w:val="78787A"/>
        <w:sz w:val="18"/>
        <w:szCs w:val="18"/>
      </w:rPr>
      <w:t xml:space="preserve">  Standard Operating Procedures </w:t>
    </w:r>
    <w:proofErr w:type="gramStart"/>
    <w:r>
      <w:rPr>
        <w:color w:val="78787A"/>
        <w:sz w:val="18"/>
        <w:szCs w:val="18"/>
      </w:rPr>
      <w:t>Pack  |</w:t>
    </w:r>
    <w:proofErr w:type="gramEnd"/>
    <w:r>
      <w:rPr>
        <w:color w:val="78787A"/>
        <w:sz w:val="18"/>
        <w:szCs w:val="18"/>
      </w:rPr>
      <w:t xml:space="preserve">  </w:t>
    </w:r>
    <w:proofErr w:type="gramStart"/>
    <w:r>
      <w:rPr>
        <w:color w:val="78787A"/>
        <w:sz w:val="18"/>
        <w:szCs w:val="18"/>
      </w:rPr>
      <w:t>Confidential  |</w:t>
    </w:r>
    <w:proofErr w:type="gramEnd"/>
    <w:r>
      <w:rPr>
        <w:color w:val="78787A"/>
        <w:sz w:val="18"/>
        <w:szCs w:val="18"/>
      </w:rPr>
      <w:t xml:space="preserve"> </w:t>
    </w:r>
    <w:r w:rsidR="00A338B9">
      <w:rPr>
        <w:color w:val="78787A"/>
        <w:sz w:val="18"/>
        <w:szCs w:val="18"/>
        <w:lang w:val="uk-UA"/>
      </w:rPr>
      <w:tab/>
    </w:r>
    <w:r w:rsidR="00A338B9">
      <w:rPr>
        <w:color w:val="78787A"/>
        <w:sz w:val="18"/>
        <w:szCs w:val="18"/>
        <w:lang w:val="uk-UA"/>
      </w:rPr>
      <w:tab/>
    </w:r>
    <w:r w:rsidR="00A338B9">
      <w:rPr>
        <w:color w:val="78787A"/>
        <w:sz w:val="18"/>
        <w:szCs w:val="18"/>
        <w:lang w:val="uk-UA"/>
      </w:rPr>
      <w:tab/>
    </w:r>
    <w:r>
      <w:rPr>
        <w:color w:val="78787A"/>
        <w:sz w:val="18"/>
        <w:szCs w:val="18"/>
      </w:rPr>
      <w:t xml:space="preserve"> </w:t>
    </w:r>
    <w:r>
      <w:rPr>
        <w:color w:val="78787A"/>
        <w:sz w:val="18"/>
        <w:szCs w:val="18"/>
      </w:rPr>
      <w:fldChar w:fldCharType="begin"/>
    </w:r>
    <w:r>
      <w:rPr>
        <w:color w:val="78787A"/>
        <w:sz w:val="18"/>
        <w:szCs w:val="18"/>
      </w:rPr>
      <w:instrText>PAGE</w:instrText>
    </w:r>
    <w:r>
      <w:rPr>
        <w:color w:val="78787A"/>
        <w:sz w:val="18"/>
        <w:szCs w:val="18"/>
      </w:rPr>
      <w:fldChar w:fldCharType="separate"/>
    </w:r>
    <w:r w:rsidR="00A338B9">
      <w:rPr>
        <w:noProof/>
        <w:color w:val="78787A"/>
        <w:sz w:val="18"/>
        <w:szCs w:val="18"/>
      </w:rPr>
      <w:t>1</w:t>
    </w:r>
    <w:r>
      <w:rPr>
        <w:color w:val="7878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4CB4" w:rsidRDefault="00B34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A80" w:rsidRDefault="004A5A80">
      <w:r>
        <w:separator/>
      </w:r>
    </w:p>
  </w:footnote>
  <w:footnote w:type="continuationSeparator" w:id="0">
    <w:p w:rsidR="004A5A80" w:rsidRDefault="004A5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4CB4" w:rsidRDefault="00B34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4CB4" w:rsidRDefault="00B34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4CB4" w:rsidRDefault="00B34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73DF2"/>
    <w:multiLevelType w:val="hybridMultilevel"/>
    <w:tmpl w:val="3C16651E"/>
    <w:lvl w:ilvl="0" w:tplc="A104B81C">
      <w:start w:val="1"/>
      <w:numFmt w:val="bullet"/>
      <w:lvlText w:val="●"/>
      <w:lvlJc w:val="left"/>
      <w:pPr>
        <w:ind w:left="720" w:hanging="360"/>
      </w:pPr>
    </w:lvl>
    <w:lvl w:ilvl="1" w:tplc="7BB4217E">
      <w:start w:val="1"/>
      <w:numFmt w:val="bullet"/>
      <w:lvlText w:val="○"/>
      <w:lvlJc w:val="left"/>
      <w:pPr>
        <w:ind w:left="1440" w:hanging="360"/>
      </w:pPr>
    </w:lvl>
    <w:lvl w:ilvl="2" w:tplc="5E765396">
      <w:start w:val="1"/>
      <w:numFmt w:val="bullet"/>
      <w:lvlText w:val="■"/>
      <w:lvlJc w:val="left"/>
      <w:pPr>
        <w:ind w:left="2160" w:hanging="360"/>
      </w:pPr>
    </w:lvl>
    <w:lvl w:ilvl="3" w:tplc="2A66E768">
      <w:start w:val="1"/>
      <w:numFmt w:val="bullet"/>
      <w:lvlText w:val="●"/>
      <w:lvlJc w:val="left"/>
      <w:pPr>
        <w:ind w:left="2880" w:hanging="360"/>
      </w:pPr>
    </w:lvl>
    <w:lvl w:ilvl="4" w:tplc="FE1287E2">
      <w:start w:val="1"/>
      <w:numFmt w:val="bullet"/>
      <w:lvlText w:val="○"/>
      <w:lvlJc w:val="left"/>
      <w:pPr>
        <w:ind w:left="3600" w:hanging="360"/>
      </w:pPr>
    </w:lvl>
    <w:lvl w:ilvl="5" w:tplc="728849EE">
      <w:start w:val="1"/>
      <w:numFmt w:val="bullet"/>
      <w:lvlText w:val="■"/>
      <w:lvlJc w:val="left"/>
      <w:pPr>
        <w:ind w:left="4320" w:hanging="360"/>
      </w:pPr>
    </w:lvl>
    <w:lvl w:ilvl="6" w:tplc="C6CE4220">
      <w:start w:val="1"/>
      <w:numFmt w:val="bullet"/>
      <w:lvlText w:val="●"/>
      <w:lvlJc w:val="left"/>
      <w:pPr>
        <w:ind w:left="5040" w:hanging="360"/>
      </w:pPr>
    </w:lvl>
    <w:lvl w:ilvl="7" w:tplc="59E88A62">
      <w:start w:val="1"/>
      <w:numFmt w:val="bullet"/>
      <w:lvlText w:val="●"/>
      <w:lvlJc w:val="left"/>
      <w:pPr>
        <w:ind w:left="5760" w:hanging="360"/>
      </w:pPr>
    </w:lvl>
    <w:lvl w:ilvl="8" w:tplc="3A7E5A1A">
      <w:start w:val="1"/>
      <w:numFmt w:val="bullet"/>
      <w:lvlText w:val="●"/>
      <w:lvlJc w:val="left"/>
      <w:pPr>
        <w:ind w:left="6480" w:hanging="360"/>
      </w:pPr>
    </w:lvl>
  </w:abstractNum>
  <w:abstractNum w:abstractNumId="1" w15:restartNumberingAfterBreak="0">
    <w:nsid w:val="4A5328B5"/>
    <w:multiLevelType w:val="hybridMultilevel"/>
    <w:tmpl w:val="DA0CBAD6"/>
    <w:lvl w:ilvl="0" w:tplc="3C3C5882">
      <w:start w:val="1"/>
      <w:numFmt w:val="bullet"/>
      <w:lvlText w:val="•"/>
      <w:lvlJc w:val="left"/>
      <w:pPr>
        <w:ind w:left="720" w:hanging="360"/>
      </w:pPr>
      <w:rPr>
        <w:rFonts w:ascii="Arial" w:eastAsia="Arial" w:hAnsi="Arial" w:cs="Arial"/>
        <w:sz w:val="22"/>
        <w:szCs w:val="22"/>
      </w:rPr>
    </w:lvl>
    <w:lvl w:ilvl="1" w:tplc="CAA824F6">
      <w:numFmt w:val="decimal"/>
      <w:lvlText w:val=""/>
      <w:lvlJc w:val="left"/>
    </w:lvl>
    <w:lvl w:ilvl="2" w:tplc="7CB4891E">
      <w:numFmt w:val="decimal"/>
      <w:lvlText w:val=""/>
      <w:lvlJc w:val="left"/>
    </w:lvl>
    <w:lvl w:ilvl="3" w:tplc="B420ADE6">
      <w:numFmt w:val="decimal"/>
      <w:lvlText w:val=""/>
      <w:lvlJc w:val="left"/>
    </w:lvl>
    <w:lvl w:ilvl="4" w:tplc="C6A41BB2">
      <w:numFmt w:val="decimal"/>
      <w:lvlText w:val=""/>
      <w:lvlJc w:val="left"/>
    </w:lvl>
    <w:lvl w:ilvl="5" w:tplc="D526A8C8">
      <w:numFmt w:val="decimal"/>
      <w:lvlText w:val=""/>
      <w:lvlJc w:val="left"/>
    </w:lvl>
    <w:lvl w:ilvl="6" w:tplc="90C20F62">
      <w:numFmt w:val="decimal"/>
      <w:lvlText w:val=""/>
      <w:lvlJc w:val="left"/>
    </w:lvl>
    <w:lvl w:ilvl="7" w:tplc="A37076AE">
      <w:numFmt w:val="decimal"/>
      <w:lvlText w:val=""/>
      <w:lvlJc w:val="left"/>
    </w:lvl>
    <w:lvl w:ilvl="8" w:tplc="501EE7BC">
      <w:numFmt w:val="decimal"/>
      <w:lvlText w:val=""/>
      <w:lvlJc w:val="left"/>
    </w:lvl>
  </w:abstractNum>
  <w:num w:numId="1" w16cid:durableId="1800537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8D9"/>
    <w:rsid w:val="004A0B59"/>
    <w:rsid w:val="004A5A80"/>
    <w:rsid w:val="00692855"/>
    <w:rsid w:val="008607FB"/>
    <w:rsid w:val="009558D9"/>
    <w:rsid w:val="009D19DF"/>
    <w:rsid w:val="00A338B9"/>
    <w:rsid w:val="00B34CB4"/>
    <w:rsid w:val="00BF319C"/>
    <w:rsid w:val="00CA3675"/>
    <w:rsid w:val="00D31C95"/>
    <w:rsid w:val="00E35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7078F2"/>
  <w15:docId w15:val="{B8766191-F6D3-774A-8A81-5A93BD44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4761"/>
      <w:sz w:val="36"/>
      <w:szCs w:val="36"/>
      <w:u w:val="single"/>
    </w:rPr>
  </w:style>
  <w:style w:type="paragraph" w:styleId="Heading2">
    <w:name w:val="heading 2"/>
    <w:uiPriority w:val="9"/>
    <w:unhideWhenUsed/>
    <w:qFormat/>
    <w:pPr>
      <w:spacing w:before="240" w:after="100"/>
      <w:outlineLvl w:val="1"/>
    </w:pPr>
    <w:rPr>
      <w:b/>
      <w:bCs/>
      <w:color w:val="0F4761"/>
      <w:sz w:val="28"/>
      <w:szCs w:val="28"/>
      <w:u w:val="single"/>
    </w:rPr>
  </w:style>
  <w:style w:type="paragraph" w:styleId="Heading3">
    <w:name w:val="heading 3"/>
    <w:uiPriority w:val="9"/>
    <w:unhideWhenUsed/>
    <w:qFormat/>
    <w:pPr>
      <w:spacing w:before="180" w:after="60"/>
      <w:outlineLvl w:val="2"/>
    </w:pPr>
    <w:rPr>
      <w:b/>
      <w:bCs/>
      <w:color w:val="0F4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38B9"/>
    <w:pPr>
      <w:tabs>
        <w:tab w:val="center" w:pos="4680"/>
        <w:tab w:val="right" w:pos="9360"/>
      </w:tabs>
    </w:pPr>
  </w:style>
  <w:style w:type="character" w:customStyle="1" w:styleId="HeaderChar">
    <w:name w:val="Header Char"/>
    <w:basedOn w:val="DefaultParagraphFont"/>
    <w:link w:val="Header"/>
    <w:uiPriority w:val="99"/>
    <w:rsid w:val="00A338B9"/>
  </w:style>
  <w:style w:type="paragraph" w:styleId="Footer">
    <w:name w:val="footer"/>
    <w:basedOn w:val="Normal"/>
    <w:link w:val="FooterChar"/>
    <w:uiPriority w:val="99"/>
    <w:unhideWhenUsed/>
    <w:rsid w:val="00A338B9"/>
    <w:pPr>
      <w:tabs>
        <w:tab w:val="center" w:pos="4680"/>
        <w:tab w:val="right" w:pos="9360"/>
      </w:tabs>
    </w:pPr>
  </w:style>
  <w:style w:type="character" w:customStyle="1" w:styleId="FooterChar">
    <w:name w:val="Footer Char"/>
    <w:basedOn w:val="DefaultParagraphFont"/>
    <w:link w:val="Footer"/>
    <w:uiPriority w:val="99"/>
    <w:rsid w:val="00A33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2294</Words>
  <Characters>13079</Characters>
  <Application>Microsoft Office Word</Application>
  <DocSecurity>0</DocSecurity>
  <Lines>108</Lines>
  <Paragraphs>30</Paragraphs>
  <ScaleCrop>false</ScaleCrop>
  <Company/>
  <LinksUpToDate>false</LinksUpToDate>
  <CharactersWithSpaces>15343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Artem Legalaes</cp:lastModifiedBy>
  <cp:revision>6</cp:revision>
  <dcterms:created xsi:type="dcterms:W3CDTF">2026-04-02T11:31:00Z</dcterms:created>
  <dcterms:modified xsi:type="dcterms:W3CDTF">2026-04-07T12:28:00Z</dcterms:modified>
</cp:coreProperties>
</file>