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http://schemas.openxmlformats.org/wordprocessingml/2006/main" xmlns:w14="http://schemas.microsoft.com/office/word/2010/wordml" w14:paraId="2A30FB77" w14:textId="3C8891FD" w:rsidR="004207ED" w:rsidRDefault="00D40D38">
      <w:pPr>
        <w:pStyle w:val="Title"/>
      </w:pPr>
      <w:r>
        <w:rPr>
          <w:noProof/>
        </w:rPr>
        <w:drawing>
          <wp:anchor xmlns:wp="http://schemas.openxmlformats.org/drawingml/2006/wordprocessingDrawing" xmlns:wp14="http://schemas.microsoft.com/office/word/2010/wordprocessingDrawing" distT="0" distB="0" distL="0" distR="0" simplePos="0" relativeHeight="251659264" behindDoc="1" locked="0" layoutInCell="0" allowOverlap="1" wp14:anchorId="5E557ADD" wp14:editId="2B2A0DC6">
            <wp:simplePos x="0" y="0"/>
            <wp:positionH relativeFrom="page">
              <wp:posOffset>13970</wp:posOffset>
            </wp:positionH>
            <wp:positionV relativeFrom="paragraph">
              <wp:posOffset>-885825</wp:posOffset>
            </wp:positionV>
            <wp:extent cx="7771090" cy="2848708"/>
            <wp:effectExtent l="0" t="0" r="1905" b="8890"/>
            <wp:wrapNone/>
            <wp:docPr id="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
                    <pic:cNvPicPr>
                      <a:picLocks noChangeAspect="1" noChangeArrowheads="1"/>
                    </pic:cNvPicPr>
                  </pic:nvPicPr>
                  <pic:blipFill>
                    <a:blip xmlns:r="http://schemas.openxmlformats.org/officeDocument/2006/relationships" r:embed="rId8"/>
                    <a:stretch>
                      <a:fillRect/>
                    </a:stretch>
                  </pic:blipFill>
                  <pic:spPr bwMode="auto">
                    <a:xfrm>
                      <a:off x="0" y="0"/>
                      <a:ext cx="7771090" cy="2848708"/>
                    </a:xfrm>
                    <a:prstGeom prst="rect">
                      <a:avLst/>
                    </a:prstGeom>
                  </pic:spPr>
                </pic:pic>
              </a:graphicData>
            </a:graphic>
            <wp14:sizeRelV relativeFrom="margin">
              <wp14:pctHeight>0</wp14:pctHeight>
            </wp14:sizeRelV>
          </wp:anchor>
        </w:drawing>
      </w:r>
    </w:p>
    <w:p xmlns:w="http://schemas.openxmlformats.org/wordprocessingml/2006/main" xmlns:w14="http://schemas.microsoft.com/office/word/2010/wordml" w14:paraId="342BDEBF" w14:textId="77777777" w:rsidR="004207ED" w:rsidRDefault="004207ED">
      <w:pPr>
        <w:pStyle w:val="Title"/>
      </w:pPr>
    </w:p>
    <w:p xmlns:w="http://schemas.openxmlformats.org/wordprocessingml/2006/main" xmlns:w14="http://schemas.microsoft.com/office/word/2010/wordml" w14:paraId="120D090D" w14:textId="77777777" w:rsidR="004207ED" w:rsidRDefault="004207ED">
      <w:pPr>
        <w:pStyle w:val="Title"/>
      </w:pPr>
    </w:p>
    <w:p xmlns:w="http://schemas.openxmlformats.org/wordprocessingml/2006/main" xmlns:w14="http://schemas.microsoft.com/office/word/2010/wordml" w14:paraId="1920EC06" w14:textId="77777777" w:rsidR="004207ED" w:rsidRDefault="004207ED">
      <w:pPr>
        <w:pStyle w:val="Title"/>
      </w:pPr>
    </w:p>
    <w:p xmlns:w="http://schemas.openxmlformats.org/wordprocessingml/2006/main" xmlns:w14="http://schemas.microsoft.com/office/word/2010/wordml" w14:paraId="1F0B73C7" w14:textId="77777777" w:rsidR="004207ED" w:rsidRDefault="004207ED">
      <w:pPr>
        <w:pStyle w:val="Title"/>
      </w:pPr>
    </w:p>
    <w:p xmlns:w="http://schemas.openxmlformats.org/wordprocessingml/2006/main" xmlns:w14="http://schemas.microsoft.com/office/word/2010/wordml" w14:paraId="6C091C76" w14:textId="77777777" w:rsidR="00D40D38" w:rsidRDefault="00D40D38">
      <w:pPr>
        <w:pStyle w:val="Title"/>
      </w:pPr>
    </w:p>
    <w:p xmlns:w="http://schemas.openxmlformats.org/wordprocessingml/2006/main" xmlns:w14="http://schemas.microsoft.com/office/word/2010/wordml" w14:paraId="703C3EBD" w14:textId="77777777" w:rsidR="00D40D38" w:rsidRDefault="00D40D38">
      <w:pPr>
        <w:pStyle w:val="Title"/>
      </w:pPr>
    </w:p>
    <w:p xmlns:w="http://schemas.openxmlformats.org/wordprocessingml/2006/main" xmlns:w14="http://schemas.microsoft.com/office/word/2010/wordml" w14:paraId="7233B8DC" w14:textId="77777777" w:rsidR="00D40D38" w:rsidRDefault="00D40D38">
      <w:pPr>
        <w:pStyle w:val="Title"/>
      </w:pPr>
    </w:p>
    <w:p xmlns:w="http://schemas.openxmlformats.org/wordprocessingml/2006/main" xmlns:w14="http://schemas.microsoft.com/office/word/2010/wordml" w14:paraId="6E2AD767" w14:textId="77777777" w:rsidR="00D40D38" w:rsidRDefault="00D40D38">
      <w:pPr>
        <w:pStyle w:val="Title"/>
      </w:pPr>
    </w:p>
    <w:p>
      <w:pPr>
        <w:pStyle w:val="Title"/>
      </w:pPr>
      <w:r>
        <w:t xml:space="preserve">Hızlı Siber Güvenlik Olgunluk Değerlendirmesi</w:t>
      </w:r>
    </w:p>
    <w:p>
      <w:pPr>
        <w:pStyle w:val="Title"/>
      </w:pPr>
      <w:r>
        <w:t xml:space="preserve">Örnek Lojistik A.Ş. — Değerlendirme Raporu</w:t>
      </w:r>
    </w:p>
    <w:p>
      <w:pPr>
        <w:jc w:val="center"/>
      </w:pPr>
      <w:r>
        <w:rPr>
          <w:sz w:val="22"/>
          <w:szCs w:val="22"/>
        </w:rPr>
        <w:t xml:space="preserve">8 Ekim 2026 · v1.5</w:t>
      </w:r>
    </w:p>
    <w:p xmlns:w="http://schemas.openxmlformats.org/wordprocessingml/2006/main" xmlns:w14="http://schemas.microsoft.com/office/word/2010/wordml" w14:paraId="399E0757" w14:textId="77777777" w:rsidR="004207ED" w:rsidRDefault="004207ED"/>
    <w:p xmlns:w="http://schemas.openxmlformats.org/wordprocessingml/2006/main" xmlns:w14="http://schemas.microsoft.com/office/word/2010/wordml" w14:paraId="7E8C71BD" w14:textId="77777777" w:rsidR="004207ED" w:rsidRDefault="004207ED"/>
    <w:p xmlns:w="http://schemas.openxmlformats.org/wordprocessingml/2006/main" xmlns:w14="http://schemas.microsoft.com/office/word/2010/wordml" w14:paraId="6CF45765" w14:textId="77777777" w:rsidR="004207ED" w:rsidRDefault="004207ED"/>
    <w:p xmlns:w="http://schemas.openxmlformats.org/wordprocessingml/2006/main" xmlns:w14="http://schemas.microsoft.com/office/word/2010/wordml" w14:paraId="74C9A1B8" w14:textId="77777777" w:rsidR="004207ED" w:rsidRDefault="004207ED"/>
    <w:p xmlns:w="http://schemas.openxmlformats.org/wordprocessingml/2006/main" xmlns:w14="http://schemas.microsoft.com/office/word/2010/wordml" w14:paraId="764DFC90" w14:textId="77777777" w:rsidR="004207ED" w:rsidRDefault="004207ED"/>
    <w:p xmlns:w="http://schemas.openxmlformats.org/wordprocessingml/2006/main" xmlns:w14="http://schemas.microsoft.com/office/word/2010/wordml" w14:paraId="28DF0FBC" w14:textId="77777777" w:rsidR="004207ED" w:rsidRDefault="004207ED"/>
    <w:p xmlns:w="http://schemas.openxmlformats.org/wordprocessingml/2006/main" xmlns:w14="http://schemas.microsoft.com/office/word/2010/wordml" w14:paraId="106B56AC" w14:textId="77777777" w:rsidR="004207ED" w:rsidRDefault="004207ED"/>
    <w:p xmlns:w="http://schemas.openxmlformats.org/wordprocessingml/2006/main" xmlns:w14="http://schemas.microsoft.com/office/word/2010/wordml" w14:paraId="7FD71F42" w14:textId="77777777" w:rsidR="004207ED" w:rsidRDefault="004207ED"/>
    <w:p xmlns:w="http://schemas.openxmlformats.org/wordprocessingml/2006/main" xmlns:w14="http://schemas.microsoft.com/office/word/2010/wordml" w14:paraId="767E6538" w14:textId="77777777" w:rsidR="00D40D38" w:rsidRDefault="00D40D38"/>
    <w:p xmlns:w="http://schemas.openxmlformats.org/wordprocessingml/2006/main" xmlns:w14="http://schemas.microsoft.com/office/word/2010/wordml" w14:paraId="7AD717AA" w14:textId="77777777" w:rsidR="004207ED" w:rsidRDefault="00000000">
      <w:pPr>
        <w:rPr>
          <w:i/>
          <w:iCs/>
          <w:sz w:val="20"/>
          <w:szCs w:val="20"/>
        </w:rPr>
      </w:pPr>
      <w:r>
        <w:rPr>
          <w:b/>
          <w:bCs/>
          <w:i/>
          <w:iCs/>
          <w:sz w:val="20"/>
          <w:szCs w:val="20"/>
        </w:rPr>
        <w:t>Fikri Mülkiyet Hakkı</w:t>
      </w:r>
    </w:p>
    <w:p xmlns:w="http://schemas.openxmlformats.org/wordprocessingml/2006/main" xmlns:w14="http://schemas.microsoft.com/office/word/2010/wordml" w14:paraId="28B3DC28" w14:textId="3028AA43" w:rsidR="004207ED" w:rsidRDefault="00000000">
      <w:pPr>
        <w:rPr>
          <w:i/>
          <w:iCs/>
          <w:sz w:val="20"/>
          <w:szCs w:val="20"/>
        </w:rPr>
      </w:pPr>
      <w:r>
        <w:rPr>
          <w:i/>
          <w:iCs/>
          <w:sz w:val="20"/>
          <w:szCs w:val="20"/>
        </w:rPr>
        <w:t xml:space="preserve">Bu </w:t>
      </w:r>
      <w:proofErr w:type="gramStart"/>
      <w:r>
        <w:rPr>
          <w:i/>
          <w:iCs/>
          <w:sz w:val="20"/>
          <w:szCs w:val="20"/>
        </w:rPr>
        <w:t>doküman</w:t>
      </w:r>
      <w:proofErr w:type="gramEnd"/>
      <w:r>
        <w:rPr>
          <w:i/>
          <w:iCs/>
          <w:sz w:val="20"/>
          <w:szCs w:val="20"/>
        </w:rPr>
        <w:t xml:space="preserve"> ve içeriğinde yer alan tüm metin, grafik, tasarım, çizim, analiz, tablo, görsel ve diğer unsurlar ilgili kanunlar kapsamında korunmakta olup, tüm fikri mülkiyet hakları CyberArts </w:t>
      </w:r>
      <w:r w:rsidR="00BF518F">
        <w:rPr>
          <w:i/>
          <w:iCs/>
          <w:sz w:val="20"/>
          <w:szCs w:val="20"/>
        </w:rPr>
        <w:t>Siber Güvenlik ve Danışmanlık</w:t>
      </w:r>
      <w:r>
        <w:rPr>
          <w:i/>
          <w:iCs/>
          <w:sz w:val="20"/>
          <w:szCs w:val="20"/>
        </w:rPr>
        <w:t xml:space="preserve"> </w:t>
      </w:r>
      <w:proofErr w:type="spellStart"/>
      <w:r>
        <w:rPr>
          <w:i/>
          <w:iCs/>
          <w:sz w:val="20"/>
          <w:szCs w:val="20"/>
        </w:rPr>
        <w:t>A.Ş.’ye</w:t>
      </w:r>
      <w:proofErr w:type="spellEnd"/>
      <w:r>
        <w:rPr>
          <w:i/>
          <w:iCs/>
          <w:sz w:val="20"/>
          <w:szCs w:val="20"/>
        </w:rPr>
        <w:t xml:space="preserve"> aittir. Bu içerikler, eser sahibinin açık yazılı izni olmaksızın kopyalanamaz, çoğaltılamaz, dağıtılamaz, yayınlanamaz, değiştirilemez veya ticari amaçla kullanılamaz.</w:t>
      </w:r>
    </w:p>
    <w:p xmlns:w="http://schemas.openxmlformats.org/wordprocessingml/2006/main" xmlns:w14="http://schemas.microsoft.com/office/word/2010/wordml" w14:paraId="1711A6B4" w14:textId="77777777" w:rsidR="004207ED" w:rsidRDefault="00000000">
      <w:pPr>
        <w:rPr>
          <w:i/>
          <w:iCs/>
          <w:sz w:val="20"/>
          <w:szCs w:val="20"/>
        </w:rPr>
      </w:pPr>
      <w:r>
        <w:rPr>
          <w:i/>
          <w:iCs/>
          <w:sz w:val="20"/>
          <w:szCs w:val="20"/>
        </w:rPr>
        <w:t xml:space="preserve">Eğitim veya danışmanlık faaliyeti kapsamında paylaşılan bilgi ve dokümanlar yalnızca alıcı kurum/kişinin iç kullanımıyla sınırlıdır. Herhangi bir üçüncü kişi ile paylaşılması, kaynak gösterilse dahi çoğaltılması ya da dijital </w:t>
      </w:r>
      <w:r>
        <w:rPr>
          <w:i/>
          <w:iCs/>
          <w:sz w:val="20"/>
          <w:szCs w:val="20"/>
        </w:rPr>
        <w:lastRenderedPageBreak/>
        <w:t>ortamlarda yeniden yayımlanması açıkça yasaktır. Bu hükümlere aykırılık halinde eser sahibi her türlü hukuki ve cezai yola başvurma hakkını saklı tutar.</w:t>
      </w:r>
    </w:p>
    <w:p xmlns:w="http://schemas.openxmlformats.org/wordprocessingml/2006/main" xmlns:w14="http://schemas.microsoft.com/office/word/2010/wordml" w14:paraId="1B34F566" w14:textId="77777777" w:rsidR="004207ED" w:rsidRDefault="004207ED"/>
    <w:sdt>
      <w:sdtPr>
        <w:docPartObj>
          <w:docPartGallery w:val="Table of Contents"/>
          <w:docPartUnique/>
        </w:docPartObj>
      </w:sdtPr>
      <w:sdtContent>
        <w:p>
          <w:pPr>
            <w:pStyle w:val="TOCHeading"/>
            <w:pageBreakBefore/>
          </w:pPr>
          <w:r>
            <w:t xml:space="preserve">İçindekiler</w:t>
          </w:r>
        </w:p>
        <w:p>
          <w:pPr>
            <w:pStyle w:val="TOC1"/>
            <w:tabs>
              <w:tab w:val="right" w:leader="dot" w:pos="9072"/>
            </w:tabs>
          </w:pPr>
          <w:r>
            <w:fldChar w:fldCharType="begin" w:dirty="true"/>
          </w:r>
          <w:r>
            <w:instrText xml:space="preserve"> TOC \o "1-2" \h \z \u </w:instrText>
          </w:r>
          <w:r>
            <w:fldChar w:fldCharType="separate"/>
          </w:r>
        </w:p>
        <w:p>
          <w:pPr>
            <w:pStyle w:val="TOC1"/>
            <w:tabs>
              <w:tab w:val="right" w:leader="dot" w:pos="9072"/>
            </w:tabs>
          </w:pPr>
          <w:r>
            <w:t xml:space="preserve">1. Doküman Hakkında ve Sorumluluk Reddi</w:t>
          </w:r>
        </w:p>
        <w:p>
          <w:pPr>
            <w:pStyle w:val="TOC2"/>
            <w:tabs>
              <w:tab w:val="right" w:leader="dot" w:pos="9072"/>
            </w:tabs>
          </w:pPr>
          <w:r>
            <w:t xml:space="preserve">1.1. Doküman Hakkında</w:t>
          </w:r>
        </w:p>
        <w:p>
          <w:pPr>
            <w:pStyle w:val="TOC2"/>
            <w:tabs>
              <w:tab w:val="right" w:leader="dot" w:pos="9072"/>
            </w:tabs>
          </w:pPr>
          <w:r>
            <w:t xml:space="preserve">1.2. Veri Gizliliği</w:t>
          </w:r>
        </w:p>
        <w:p>
          <w:pPr>
            <w:pStyle w:val="TOC2"/>
            <w:tabs>
              <w:tab w:val="right" w:leader="dot" w:pos="9072"/>
            </w:tabs>
          </w:pPr>
          <w:r>
            <w:t xml:space="preserve">1.3. Sorumluluk Reddi</w:t>
          </w:r>
        </w:p>
        <w:p>
          <w:pPr>
            <w:pStyle w:val="TOC1"/>
            <w:tabs>
              <w:tab w:val="right" w:leader="dot" w:pos="9072"/>
            </w:tabs>
          </w:pPr>
          <w:r>
            <w:t xml:space="preserve">2. Yönetici Özeti</w:t>
          </w:r>
        </w:p>
        <w:p>
          <w:pPr>
            <w:pStyle w:val="TOC1"/>
            <w:tabs>
              <w:tab w:val="right" w:leader="dot" w:pos="9072"/>
            </w:tabs>
          </w:pPr>
          <w:r>
            <w:t xml:space="preserve">3. Metodoloji</w:t>
          </w:r>
        </w:p>
        <w:p>
          <w:pPr>
            <w:pStyle w:val="TOC2"/>
            <w:tabs>
              <w:tab w:val="right" w:leader="dot" w:pos="9072"/>
            </w:tabs>
          </w:pPr>
          <w:r>
            <w:t xml:space="preserve">3.1. Değerlendirme Yaklaşımı</w:t>
          </w:r>
        </w:p>
        <w:p>
          <w:pPr>
            <w:pStyle w:val="TOC2"/>
            <w:tabs>
              <w:tab w:val="right" w:leader="dot" w:pos="9072"/>
            </w:tabs>
          </w:pPr>
          <w:r>
            <w:t xml:space="preserve">3.2. Olgunluk Seviyeleri</w:t>
          </w:r>
        </w:p>
        <w:p>
          <w:pPr>
            <w:pStyle w:val="TOC2"/>
            <w:tabs>
              <w:tab w:val="right" w:leader="dot" w:pos="9072"/>
            </w:tabs>
          </w:pPr>
          <w:r>
            <w:t xml:space="preserve">3.3. Asgari Seviye ve Regülatif Uyum Sinyali</w:t>
          </w:r>
        </w:p>
        <w:p>
          <w:pPr>
            <w:pStyle w:val="TOC2"/>
            <w:tabs>
              <w:tab w:val="right" w:leader="dot" w:pos="9072"/>
            </w:tabs>
          </w:pPr>
          <w:r>
            <w:t xml:space="preserve">3.4. Etki Seviyeleri ve Önceliklendirme</w:t>
          </w:r>
        </w:p>
        <w:p>
          <w:pPr>
            <w:pStyle w:val="TOC2"/>
            <w:tabs>
              <w:tab w:val="right" w:leader="dot" w:pos="9072"/>
            </w:tabs>
          </w:pPr>
          <w:r>
            <w:t xml:space="preserve">3.5. Tanımlar</w:t>
          </w:r>
        </w:p>
        <w:p>
          <w:pPr>
            <w:pStyle w:val="TOC1"/>
            <w:tabs>
              <w:tab w:val="right" w:leader="dot" w:pos="9072"/>
            </w:tabs>
          </w:pPr>
          <w:r>
            <w:t xml:space="preserve">4. Olgunluk Değerlendirmesi</w:t>
          </w:r>
        </w:p>
        <w:p>
          <w:pPr>
            <w:pStyle w:val="TOC2"/>
            <w:tabs>
              <w:tab w:val="right" w:leader="dot" w:pos="9072"/>
            </w:tabs>
          </w:pPr>
          <w:r>
            <w:t xml:space="preserve">4.1. İnsan, Süreç ve Teknoloji Boyutları</w:t>
          </w:r>
        </w:p>
        <w:p>
          <w:pPr>
            <w:pStyle w:val="TOC2"/>
            <w:tabs>
              <w:tab w:val="right" w:leader="dot" w:pos="9072"/>
            </w:tabs>
          </w:pPr>
          <w:r>
            <w:t xml:space="preserve">4.2. Kontrol Alanları</w:t>
          </w:r>
        </w:p>
        <w:p>
          <w:pPr>
            <w:pStyle w:val="TOC2"/>
            <w:tabs>
              <w:tab w:val="right" w:leader="dot" w:pos="9072"/>
            </w:tabs>
          </w:pPr>
          <w:r>
            <w:t xml:space="preserve">4.3. Regülasyon Alanları</w:t>
          </w:r>
        </w:p>
        <w:p>
          <w:pPr>
            <w:pStyle w:val="TOC1"/>
            <w:tabs>
              <w:tab w:val="right" w:leader="dot" w:pos="9072"/>
            </w:tabs>
          </w:pPr>
          <w:r>
            <w:t xml:space="preserve">5. Öncelikli Risk Alanları</w:t>
          </w:r>
        </w:p>
        <w:p>
          <w:pPr>
            <w:pStyle w:val="TOC1"/>
            <w:tabs>
              <w:tab w:val="right" w:leader="dot" w:pos="9072"/>
            </w:tabs>
          </w:pPr>
          <w:r>
            <w:t xml:space="preserve">6. Değerlendirme Notları</w:t>
          </w:r>
        </w:p>
        <w:p>
          <w:pPr>
            <w:pStyle w:val="TOC1"/>
            <w:tabs>
              <w:tab w:val="right" w:leader="dot" w:pos="9072"/>
            </w:tabs>
          </w:pPr>
          <w:r>
            <w:t xml:space="preserve">EK-1 Soru / Cevap Tablosu</w:t>
          </w:r>
        </w:p>
        <w:p>
          <w:pPr>
            <w:pStyle w:val="TOC1"/>
            <w:tabs>
              <w:tab w:val="right" w:leader="dot" w:pos="9072"/>
            </w:tabs>
          </w:pPr>
          <w:r>
            <w:t xml:space="preserve">EK-2 Cevap Verilen / Verilmeyen Sorular</w:t>
          </w:r>
        </w:p>
        <w:p>
          <w:r>
            <w:fldChar w:fldCharType="end"/>
          </w:r>
        </w:p>
      </w:sdtContent>
    </w:sdt>
    <w:p>
      <w:pPr>
        <w:pStyle w:val="Heading1"/>
        <w:pageBreakBefore/>
      </w:pPr>
      <w:r>
        <w:t xml:space="preserve">Doküman Hakkında ve Sorumluluk Reddi</w:t>
      </w:r>
    </w:p>
    <w:p>
      <w:pPr>
        <w:pStyle w:val="Heading2"/>
      </w:pPr>
      <w:r>
        <w:t xml:space="preserve">Doküman Hakkında</w:t>
      </w:r>
    </w:p>
    <w:p>
      <w:r>
        <w:t xml:space="preserve">Bu rapor, Örnek Lojistik A.Ş. tarafından doldurulan Hızlı Siber Güvenlik Olgunluk Değerlendirmesi anketinin sonuçlarını özetler. Değerlendirme 30 soru ve 10 kontrol alanından oluşur; her soru İnsan, Süreç ve Teknoloji boyutlarında ayrı ayrı yanıtlanmıştır.</w:t>
      </w:r>
    </w:p>
    <w:p>
      <w:pPr>
        <w:pStyle w:val="Caption"/>
        <w:keepNext/>
      </w:pPr>
      <w:r>
        <w:t xml:space="preserve">Tablo 1 – Değerlendirme bilgileri</w:t>
      </w:r>
    </w:p>
    <w:tbl>
      <w:tblPr>
        <w:tblStyle w:val="TableGrid"/>
        <w:tblW w:w="9072" w:type="dxa"/>
        <w:tblLayout w:type="fixed"/>
        <w:tblCellMar>
          <w:left w:w="85" w:type="dxa"/>
          <w:right w:w="85" w:type="dxa"/>
        </w:tblCellMar>
        <w:tblLook w:val="04A0" w:firstRow="1" w:lastRow="0" w:firstColumn="1" w:lastColumn="0" w:noHBand="0" w:noVBand="1"/>
      </w:tblPr>
      <w:tblGrid>
        <w:gridCol w:w="3000"/>
        <w:gridCol w:w="6072"/>
      </w:tblGrid>
      <w:tr>
        <w:trPr>
          <w:cantSplit/>
        </w:trPr>
        <w:tc>
          <w:tcPr>
            <w:tcW w:w="3000" w:type="dxa"/>
            <w:vAlign w:val="center"/>
          </w:tcPr>
          <w:p>
            <w:pPr>
              <w:spacing w:before="20" w:after="20"/>
              <w:jc w:val="left"/>
            </w:pPr>
            <w:r>
              <w:rPr>
                <w:b/>
                <w:bCs/>
                <w:sz w:val="20"/>
                <w:szCs w:val="20"/>
              </w:rPr>
              <w:t xml:space="preserve">Kurum</w:t>
            </w:r>
          </w:p>
        </w:tc>
        <w:tc>
          <w:tcPr>
            <w:tcW w:w="6072" w:type="dxa"/>
            <w:vAlign w:val="center"/>
          </w:tcPr>
          <w:p>
            <w:pPr>
              <w:spacing w:before="20" w:after="20"/>
              <w:jc w:val="left"/>
            </w:pPr>
            <w:r>
              <w:rPr>
                <w:sz w:val="20"/>
                <w:szCs w:val="20"/>
              </w:rPr>
              <w:t xml:space="preserve">Örnek Lojistik A.Ş.</w:t>
            </w:r>
          </w:p>
        </w:tc>
      </w:tr>
      <w:tr>
        <w:trPr>
          <w:cantSplit/>
        </w:trPr>
        <w:tc>
          <w:tcPr>
            <w:tcW w:w="3000" w:type="dxa"/>
            <w:vAlign w:val="center"/>
          </w:tcPr>
          <w:p>
            <w:pPr>
              <w:spacing w:before="20" w:after="20"/>
              <w:jc w:val="left"/>
            </w:pPr>
            <w:r>
              <w:rPr>
                <w:b/>
                <w:bCs/>
                <w:sz w:val="20"/>
                <w:szCs w:val="20"/>
              </w:rPr>
              <w:t xml:space="preserve">Değerlendirme türü</w:t>
            </w:r>
          </w:p>
        </w:tc>
        <w:tc>
          <w:tcPr>
            <w:tcW w:w="6072" w:type="dxa"/>
            <w:vAlign w:val="center"/>
          </w:tcPr>
          <w:p>
            <w:pPr>
              <w:spacing w:before="20" w:after="20"/>
              <w:jc w:val="left"/>
            </w:pPr>
            <w:r>
              <w:rPr>
                <w:sz w:val="20"/>
                <w:szCs w:val="20"/>
              </w:rPr>
              <w:t xml:space="preserve">Öz değerlendirme (kurum beyanı)</w:t>
            </w:r>
          </w:p>
        </w:tc>
      </w:tr>
      <w:tr>
        <w:trPr>
          <w:cantSplit/>
        </w:trPr>
        <w:tc>
          <w:tcPr>
            <w:tcW w:w="3000" w:type="dxa"/>
            <w:vAlign w:val="center"/>
          </w:tcPr>
          <w:p>
            <w:pPr>
              <w:spacing w:before="20" w:after="20"/>
              <w:jc w:val="left"/>
            </w:pPr>
            <w:r>
              <w:rPr>
                <w:b/>
                <w:bCs/>
                <w:sz w:val="20"/>
                <w:szCs w:val="20"/>
              </w:rPr>
              <w:t xml:space="preserve">Yanıt tarihi</w:t>
            </w:r>
          </w:p>
        </w:tc>
        <w:tc>
          <w:tcPr>
            <w:tcW w:w="6072" w:type="dxa"/>
            <w:vAlign w:val="center"/>
          </w:tcPr>
          <w:p>
            <w:pPr>
              <w:spacing w:before="20" w:after="20"/>
              <w:jc w:val="left"/>
            </w:pPr>
            <w:r>
              <w:rPr>
                <w:sz w:val="20"/>
                <w:szCs w:val="20"/>
              </w:rPr>
              <w:t xml:space="preserve">8 Ekim 2026</w:t>
            </w:r>
          </w:p>
        </w:tc>
      </w:tr>
      <w:tr>
        <w:trPr>
          <w:cantSplit/>
        </w:trPr>
        <w:tc>
          <w:tcPr>
            <w:tcW w:w="3000" w:type="dxa"/>
            <w:vAlign w:val="center"/>
          </w:tcPr>
          <w:p>
            <w:pPr>
              <w:spacing w:before="20" w:after="20"/>
              <w:jc w:val="left"/>
            </w:pPr>
            <w:r>
              <w:rPr>
                <w:b/>
                <w:bCs/>
                <w:sz w:val="20"/>
                <w:szCs w:val="20"/>
              </w:rPr>
              <w:t xml:space="preserve">Rapor tarihi</w:t>
            </w:r>
          </w:p>
        </w:tc>
        <w:tc>
          <w:tcPr>
            <w:tcW w:w="6072" w:type="dxa"/>
            <w:vAlign w:val="center"/>
          </w:tcPr>
          <w:p>
            <w:pPr>
              <w:spacing w:before="20" w:after="20"/>
              <w:jc w:val="left"/>
            </w:pPr>
            <w:r>
              <w:rPr>
                <w:sz w:val="20"/>
                <w:szCs w:val="20"/>
              </w:rPr>
              <w:t xml:space="preserve">8 Ekim 2026</w:t>
            </w:r>
          </w:p>
        </w:tc>
      </w:tr>
      <w:tr>
        <w:trPr>
          <w:cantSplit/>
        </w:trPr>
        <w:tc>
          <w:tcPr>
            <w:tcW w:w="3000" w:type="dxa"/>
            <w:vAlign w:val="center"/>
          </w:tcPr>
          <w:p>
            <w:pPr>
              <w:spacing w:before="20" w:after="20"/>
              <w:jc w:val="left"/>
            </w:pPr>
            <w:r>
              <w:rPr>
                <w:b/>
                <w:bCs/>
                <w:sz w:val="20"/>
                <w:szCs w:val="20"/>
              </w:rPr>
              <w:t xml:space="preserve">Kapsam</w:t>
            </w:r>
          </w:p>
        </w:tc>
        <w:tc>
          <w:tcPr>
            <w:tcW w:w="6072" w:type="dxa"/>
            <w:vAlign w:val="center"/>
          </w:tcPr>
          <w:p>
            <w:pPr>
              <w:spacing w:before="20" w:after="20"/>
              <w:jc w:val="left"/>
            </w:pPr>
            <w:r>
              <w:rPr>
                <w:sz w:val="20"/>
                <w:szCs w:val="20"/>
              </w:rPr>
              <w:t xml:space="preserve">30 soru · 10 kontrol alanı · 3 boyut (İnsan, Süreç, Teknoloji)</w:t>
            </w:r>
          </w:p>
        </w:tc>
      </w:tr>
      <w:tr>
        <w:trPr>
          <w:cantSplit/>
        </w:trPr>
        <w:tc>
          <w:tcPr>
            <w:tcW w:w="3000" w:type="dxa"/>
            <w:vAlign w:val="center"/>
          </w:tcPr>
          <w:p>
            <w:pPr>
              <w:spacing w:before="20" w:after="20"/>
              <w:jc w:val="left"/>
            </w:pPr>
            <w:r>
              <w:rPr>
                <w:b/>
                <w:bCs/>
                <w:sz w:val="20"/>
                <w:szCs w:val="20"/>
              </w:rPr>
              <w:t xml:space="preserve">Yanıt durumu</w:t>
            </w:r>
          </w:p>
        </w:tc>
        <w:tc>
          <w:tcPr>
            <w:tcW w:w="6072" w:type="dxa"/>
            <w:vAlign w:val="center"/>
          </w:tcPr>
          <w:p>
            <w:pPr>
              <w:spacing w:before="20" w:after="20"/>
              <w:jc w:val="left"/>
            </w:pPr>
            <w:r>
              <w:rPr>
                <w:sz w:val="20"/>
                <w:szCs w:val="20"/>
              </w:rPr>
              <w:t xml:space="preserve">29 tam, 0 kısmen, 0 yanıtlanmamış, 1 kapsam dışı soru</w:t>
            </w:r>
          </w:p>
        </w:tc>
      </w:tr>
      <w:tr>
        <w:trPr>
          <w:cantSplit/>
        </w:trPr>
        <w:tc>
          <w:tcPr>
            <w:tcW w:w="3000" w:type="dxa"/>
            <w:vAlign w:val="center"/>
          </w:tcPr>
          <w:p>
            <w:pPr>
              <w:spacing w:before="20" w:after="20"/>
              <w:jc w:val="left"/>
            </w:pPr>
            <w:r>
              <w:rPr>
                <w:b/>
                <w:bCs/>
                <w:sz w:val="20"/>
                <w:szCs w:val="20"/>
              </w:rPr>
              <w:t xml:space="preserve">Soru seti doğrulaması</w:t>
            </w:r>
          </w:p>
        </w:tc>
        <w:tc>
          <w:tcPr>
            <w:tcW w:w="6072" w:type="dxa"/>
            <w:vAlign w:val="center"/>
          </w:tcPr>
          <w:p>
            <w:pPr>
              <w:spacing w:before="20" w:after="20"/>
              <w:jc w:val="left"/>
            </w:pPr>
            <w:r>
              <w:rPr>
                <w:sz w:val="20"/>
                <w:szCs w:val="20"/>
              </w:rPr>
              <w:t xml:space="preserve">Doğrulandı — güncel soru setiyle birebir aynı</w:t>
            </w:r>
          </w:p>
        </w:tc>
      </w:tr>
      <w:tr>
        <w:trPr>
          <w:cantSplit/>
        </w:trPr>
        <w:tc>
          <w:tcPr>
            <w:tcW w:w="3000" w:type="dxa"/>
            <w:vAlign w:val="center"/>
          </w:tcPr>
          <w:p>
            <w:pPr>
              <w:spacing w:before="20" w:after="20"/>
              <w:jc w:val="left"/>
            </w:pPr>
            <w:r>
              <w:rPr>
                <w:b/>
                <w:bCs/>
                <w:sz w:val="20"/>
                <w:szCs w:val="20"/>
              </w:rPr>
              <w:t xml:space="preserve">Uygulama sürümü</w:t>
            </w:r>
          </w:p>
        </w:tc>
        <w:tc>
          <w:tcPr>
            <w:tcW w:w="6072" w:type="dxa"/>
            <w:vAlign w:val="center"/>
          </w:tcPr>
          <w:p>
            <w:pPr>
              <w:spacing w:before="20" w:after="20"/>
              <w:jc w:val="left"/>
            </w:pPr>
            <w:r>
              <w:rPr>
                <w:sz w:val="20"/>
                <w:szCs w:val="20"/>
              </w:rPr>
              <w:t xml:space="preserve">Rapor: v1.5 · Yanıt dosyası: v1.5</w:t>
            </w:r>
          </w:p>
        </w:tc>
      </w:tr>
    </w:tbl>
    <w:p>
      <w:pPr>
        <w:spacing w:before="0" w:after="60"/>
      </w:pPr>
      <w:r>
        <w:rPr>
          <w:sz w:val="8"/>
          <w:szCs w:val="8"/>
        </w:rPr>
        <w:t xml:space="preserve"/>
      </w:r>
    </w:p>
    <w:p>
      <w:pPr>
        <w:pStyle w:val="Heading2"/>
      </w:pPr>
      <w:r>
        <w:t xml:space="preserve">Veri Gizliliği</w:t>
      </w:r>
    </w:p>
    <w:p>
      <w:r>
        <w:t xml:space="preserve">Bu değerlendirme kapsamında kurumunuz tarafından paylaşılan yanıtlar ve kurumsal bilgiler gizlilik esasıyla ele alınmıştır:</w:t>
      </w:r>
    </w:p>
    <w:p>
      <w:pPr>
        <w:pStyle w:val="Bullet"/>
      </w:pPr>
      <w:r>
        <w:rPr>
          <w:b/>
          <w:bCs/>
        </w:rPr>
        <w:t xml:space="preserve">Şifreli iletim: </w:t>
      </w:r>
      <w:r>
        <w:t xml:space="preserve">Yanıtlar kurumunuzun kendi cihazında AES-256 algoritmasıyla şifrelenmiş; dosya ve şifresi birbirinden ayrı kanallarla iletilmiştir.</w:t>
      </w:r>
    </w:p>
    <w:p>
      <w:pPr>
        <w:pStyle w:val="Bullet"/>
      </w:pPr>
      <w:r>
        <w:rPr>
          <w:b/>
          <w:bCs/>
        </w:rPr>
        <w:t xml:space="preserve">Yerel işleme: </w:t>
      </w:r>
      <w:r>
        <w:t xml:space="preserve">Analiz ve raporlama, internet bağlantısı kurmayacak şekilde kısıtlanmış ve yalnızca yerel bilgisayarda çalışan bir uygulama ile gerçekleştirilmiştir.</w:t>
      </w:r>
    </w:p>
    <w:p>
      <w:pPr>
        <w:pStyle w:val="Bullet"/>
      </w:pPr>
      <w:r>
        <w:rPr>
          <w:b/>
          <w:bCs/>
        </w:rPr>
        <w:t xml:space="preserve">Yapay zekâ platformları: </w:t>
      </w:r>
      <w:r>
        <w:t xml:space="preserve">Kurumsal bilgiler hiçbir yapay zekâ platformuna, bulut tabanlı analiz servisine veya harici sisteme aktarılmamıştır.</w:t>
      </w:r>
    </w:p>
    <w:p>
      <w:pPr>
        <w:pStyle w:val="Bullet"/>
      </w:pPr>
      <w:r>
        <w:rPr>
          <w:b/>
          <w:bCs/>
        </w:rPr>
        <w:t xml:space="preserve">Üçüncü kişiler: </w:t>
      </w:r>
      <w:r>
        <w:t xml:space="preserve">Bilgiler üçüncü kişilerle paylaşılmamış; yalnızca bu raporun hazırlanması amacıyla kullanılmıştır.</w:t>
      </w:r>
    </w:p>
    <w:p>
      <w:pPr>
        <w:pStyle w:val="Heading2"/>
      </w:pPr>
      <w:r>
        <w:t xml:space="preserve">Sorumluluk Reddi</w:t>
      </w:r>
    </w:p>
    <w:p>
      <w:r>
        <w:t xml:space="preserve">Bu rapor, kurum personeli tarafından verilen öz değerlendirme yanıtlarına dayanır. Yanıtlar bağımsız teknik doğrulama, sızma testi, kanıt incelemesi veya yerinde denetimle teyit edilmemiştir. Bulgu ve puanların doğruluğu, kurumun beyan ettiği bilgilerin doğruluğu ve güncelliği ile sınırlıdır.</w:t>
      </w:r>
    </w:p>
    <w:p>
      <w:r>
        <w:t xml:space="preserve">Rapor, değerlendirmenin yapıldığı tarihteki durumu yansıtır ve kurumun siber güvenlik durumuna ilişkin bir garanti, sertifika veya güvence teşkil etmez. Regülatif uyum bölümünde yer alan göstergeler yönlendirici niteliktedir; ilgili mevzuat veya standarda uyum konusunda hukuki görüş ya da denetim sonucu yerine geçmez.</w:t>
      </w:r>
    </w:p>
    <w:p>
      <w:r>
        <w:t xml:space="preserve">Rapor yalnızca adı geçen kurumun iç kullanımı için hazırlanmıştır. Nihai yatırım ve önceliklendirme kararlarından önce kapsamlı bir bağımsız değerlendirme yapılması önerilir.</w:t>
      </w:r>
    </w:p>
    <w:p>
      <w:pPr>
        <w:pStyle w:val="Heading1"/>
        <w:pageBreakBefore/>
      </w:pPr>
      <w:r>
        <w:t xml:space="preserve">Yönetici Özeti</w:t>
      </w:r>
    </w:p>
    <w:p>
      <w:r>
        <w:t xml:space="preserve">Örnek Lojistik A.Ş. için hesaplanan genel siber güvenlik olgunluk puanı 5 üzerinden </w:t>
      </w:r>
      <w:r>
        <w:rPr>
          <w:b/>
          <w:bCs/>
        </w:rPr>
        <w:t xml:space="preserve">2,5</w:t>
      </w:r>
      <w:r>
        <w:t xml:space="preserve"> olup “Başlangıç Seviyesi” bandındadır. Bu değer, asgari seviye olarak kabul edilen 3,0’ın </w:t>
      </w:r>
      <w:r>
        <w:rPr>
          <w:b/>
          <w:bCs/>
        </w:rPr>
        <w:t xml:space="preserve">altında kalmaktadır</w:t>
      </w:r>
      <w:r>
        <w:t xml:space="preserve">.</w:t>
      </w:r>
    </w:p>
    <w:p>
      <w:pPr>
        <w:keepNext/>
        <w:spacing w:before="120" w:after="0"/>
        <w:jc w:val="center"/>
      </w:pPr>
      <w:r>
        <w:drawing>
          <wp:inline xmlns:wp="http://schemas.openxmlformats.org/drawingml/2006/wordprocessingDrawing" distT="0" distB="0" distL="0" distR="0">
            <wp:extent cx="5760000" cy="985263"/>
            <wp:effectExtent l="0" t="0" r="0" b="0"/>
            <wp:docPr id="1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qa_chart1.png"/>
                    <pic:cNvPicPr/>
                  </pic:nvPicPr>
                  <pic:blipFill>
                    <a:blip xmlns:r="http://schemas.openxmlformats.org/officeDocument/2006/relationships" r:embed="rIdQaImg1"/>
                    <a:stretch>
                      <a:fillRect/>
                    </a:stretch>
                  </pic:blipFill>
                  <pic:spPr>
                    <a:xfrm>
                      <a:off x="0" y="0"/>
                      <a:ext cx="5760000" cy="985263"/>
                    </a:xfrm>
                    <a:prstGeom prst="rect">
                      <a:avLst/>
                    </a:prstGeom>
                  </pic:spPr>
                </pic:pic>
              </a:graphicData>
            </a:graphic>
          </wp:inline>
        </w:drawing>
      </w:r>
    </w:p>
    <w:p>
      <w:pPr>
        <w:pStyle w:val="Caption"/>
        <w:jc w:val="center"/>
      </w:pPr>
      <w:r>
        <w:t xml:space="preserve">Şekil 1 – Genel olgunluk puanının ölçekteki yeri</w:t>
      </w:r>
    </w:p>
    <w:p>
      <w:pPr>
        <w:pStyle w:val="Caption"/>
        <w:keepNext/>
      </w:pPr>
      <w:r>
        <w:t xml:space="preserve">Tablo 2 – Özet göstergeler</w:t>
      </w:r>
    </w:p>
    <w:tbl>
      <w:tblPr>
        <w:tblStyle w:val="TableGrid"/>
        <w:tblW w:w="9072" w:type="dxa"/>
        <w:tblLayout w:type="fixed"/>
        <w:tblCellMar>
          <w:left w:w="85" w:type="dxa"/>
          <w:right w:w="85" w:type="dxa"/>
        </w:tblCellMar>
        <w:tblLook w:val="04A0" w:firstRow="1" w:lastRow="0" w:firstColumn="1" w:lastColumn="0" w:noHBand="0" w:noVBand="1"/>
      </w:tblPr>
      <w:tblGrid>
        <w:gridCol w:w="4272"/>
        <w:gridCol w:w="1600"/>
        <w:gridCol w:w="3200"/>
      </w:tblGrid>
      <w:tr>
        <w:trPr>
          <w:cantSplit/>
          <w:tblHeader/>
        </w:trPr>
        <w:tc>
          <w:tcPr>
            <w:tcW w:w="4272" w:type="dxa"/>
            <w:shd w:val="clear" w:color="auto" w:fill="D9D9D9"/>
            <w:vAlign w:val="center"/>
          </w:tcPr>
          <w:p>
            <w:pPr>
              <w:spacing w:before="20" w:after="20"/>
              <w:jc w:val="left"/>
            </w:pPr>
            <w:r>
              <w:rPr>
                <w:b/>
                <w:bCs/>
                <w:sz w:val="20"/>
                <w:szCs w:val="20"/>
              </w:rPr>
              <w:t xml:space="preserve">Gösterge</w:t>
            </w:r>
          </w:p>
        </w:tc>
        <w:tc>
          <w:tcPr>
            <w:tcW w:w="1600" w:type="dxa"/>
            <w:shd w:val="clear" w:color="auto" w:fill="D9D9D9"/>
            <w:vAlign w:val="center"/>
          </w:tcPr>
          <w:p>
            <w:pPr>
              <w:spacing w:before="20" w:after="20"/>
              <w:jc w:val="left"/>
            </w:pPr>
            <w:r>
              <w:rPr>
                <w:b/>
                <w:bCs/>
                <w:sz w:val="20"/>
                <w:szCs w:val="20"/>
              </w:rPr>
              <w:t xml:space="preserve">Değer</w:t>
            </w:r>
          </w:p>
        </w:tc>
        <w:tc>
          <w:tcPr>
            <w:tcW w:w="3200" w:type="dxa"/>
            <w:shd w:val="clear" w:color="auto" w:fill="D9D9D9"/>
            <w:vAlign w:val="center"/>
          </w:tcPr>
          <w:p>
            <w:pPr>
              <w:spacing w:before="20" w:after="20"/>
              <w:jc w:val="left"/>
            </w:pPr>
            <w:r>
              <w:rPr>
                <w:b/>
                <w:bCs/>
                <w:sz w:val="20"/>
                <w:szCs w:val="20"/>
              </w:rPr>
              <w:t xml:space="preserve">Seviye / Durum</w:t>
            </w:r>
          </w:p>
        </w:tc>
      </w:tr>
      <w:tr>
        <w:trPr>
          <w:cantSplit/>
        </w:trPr>
        <w:tc>
          <w:tcPr>
            <w:tcW w:w="4272" w:type="dxa"/>
            <w:vAlign w:val="center"/>
          </w:tcPr>
          <w:p>
            <w:pPr>
              <w:spacing w:before="20" w:after="20"/>
              <w:jc w:val="left"/>
            </w:pPr>
            <w:r>
              <w:rPr>
                <w:sz w:val="20"/>
                <w:szCs w:val="20"/>
              </w:rPr>
              <w:t xml:space="preserve">Genel olgunluk puanı</w:t>
            </w:r>
          </w:p>
        </w:tc>
        <w:tc>
          <w:tcPr>
            <w:tcW w:w="1600" w:type="dxa"/>
            <w:vAlign w:val="center"/>
          </w:tcPr>
          <w:p>
            <w:pPr>
              <w:spacing w:before="20" w:after="20"/>
              <w:jc w:val="center"/>
            </w:pPr>
            <w:r>
              <w:rPr>
                <w:b/>
                <w:bCs/>
                <w:sz w:val="20"/>
                <w:szCs w:val="20"/>
              </w:rPr>
              <w:t xml:space="preserve">2,5</w:t>
            </w:r>
          </w:p>
        </w:tc>
        <w:tc>
          <w:tcPr>
            <w:tcW w:w="3200" w:type="dxa"/>
            <w:vAlign w:val="center"/>
          </w:tcPr>
          <w:p>
            <w:pPr>
              <w:spacing w:before="20" w:after="20"/>
              <w:jc w:val="left"/>
            </w:pPr>
            <w:r>
              <w:rPr>
                <w:sz w:val="20"/>
                <w:szCs w:val="20"/>
              </w:rPr>
              <w:t xml:space="preserve">Başlangıç Seviyesi</w:t>
            </w:r>
          </w:p>
        </w:tc>
      </w:tr>
      <w:tr>
        <w:trPr>
          <w:cantSplit/>
        </w:trPr>
        <w:tc>
          <w:tcPr>
            <w:tcW w:w="4272" w:type="dxa"/>
            <w:vAlign w:val="center"/>
          </w:tcPr>
          <w:p>
            <w:pPr>
              <w:spacing w:before="20" w:after="20"/>
              <w:jc w:val="left"/>
            </w:pPr>
            <w:r>
              <w:rPr>
                <w:sz w:val="20"/>
                <w:szCs w:val="20"/>
              </w:rPr>
              <w:t xml:space="preserve">İnsan boyutu</w:t>
            </w:r>
          </w:p>
        </w:tc>
        <w:tc>
          <w:tcPr>
            <w:tcW w:w="1600" w:type="dxa"/>
            <w:vAlign w:val="center"/>
          </w:tcPr>
          <w:p>
            <w:pPr>
              <w:spacing w:before="20" w:after="20"/>
              <w:jc w:val="center"/>
            </w:pPr>
            <w:r>
              <w:rPr>
                <w:sz w:val="20"/>
                <w:szCs w:val="20"/>
              </w:rPr>
              <w:t xml:space="preserve">2,4</w:t>
            </w:r>
          </w:p>
        </w:tc>
        <w:tc>
          <w:tcPr>
            <w:tcW w:w="3200" w:type="dxa"/>
            <w:vAlign w:val="center"/>
          </w:tcPr>
          <w:p>
            <w:pPr>
              <w:spacing w:before="20" w:after="20"/>
              <w:jc w:val="left"/>
            </w:pPr>
            <w:r>
              <w:rPr>
                <w:sz w:val="20"/>
                <w:szCs w:val="20"/>
              </w:rPr>
              <w:t xml:space="preserve">Başlangıç Seviyesi</w:t>
            </w:r>
          </w:p>
        </w:tc>
      </w:tr>
      <w:tr>
        <w:trPr>
          <w:cantSplit/>
        </w:trPr>
        <w:tc>
          <w:tcPr>
            <w:tcW w:w="4272" w:type="dxa"/>
            <w:vAlign w:val="center"/>
          </w:tcPr>
          <w:p>
            <w:pPr>
              <w:spacing w:before="20" w:after="20"/>
              <w:jc w:val="left"/>
            </w:pPr>
            <w:r>
              <w:rPr>
                <w:sz w:val="20"/>
                <w:szCs w:val="20"/>
              </w:rPr>
              <w:t xml:space="preserve">Süreç boyutu</w:t>
            </w:r>
          </w:p>
        </w:tc>
        <w:tc>
          <w:tcPr>
            <w:tcW w:w="1600" w:type="dxa"/>
            <w:vAlign w:val="center"/>
          </w:tcPr>
          <w:p>
            <w:pPr>
              <w:spacing w:before="20" w:after="20"/>
              <w:jc w:val="center"/>
            </w:pPr>
            <w:r>
              <w:rPr>
                <w:sz w:val="20"/>
                <w:szCs w:val="20"/>
              </w:rPr>
              <w:t xml:space="preserve">1,7</w:t>
            </w:r>
          </w:p>
        </w:tc>
        <w:tc>
          <w:tcPr>
            <w:tcW w:w="3200" w:type="dxa"/>
            <w:vAlign w:val="center"/>
          </w:tcPr>
          <w:p>
            <w:pPr>
              <w:spacing w:before="20" w:after="20"/>
              <w:jc w:val="left"/>
            </w:pPr>
            <w:r>
              <w:rPr>
                <w:sz w:val="20"/>
                <w:szCs w:val="20"/>
              </w:rPr>
              <w:t xml:space="preserve">Geliştirilmesi Gereken</w:t>
            </w:r>
          </w:p>
        </w:tc>
      </w:tr>
      <w:tr>
        <w:trPr>
          <w:cantSplit/>
        </w:trPr>
        <w:tc>
          <w:tcPr>
            <w:tcW w:w="4272" w:type="dxa"/>
            <w:vAlign w:val="center"/>
          </w:tcPr>
          <w:p>
            <w:pPr>
              <w:spacing w:before="20" w:after="20"/>
              <w:jc w:val="left"/>
            </w:pPr>
            <w:r>
              <w:rPr>
                <w:sz w:val="20"/>
                <w:szCs w:val="20"/>
              </w:rPr>
              <w:t xml:space="preserve">Teknoloji boyutu</w:t>
            </w:r>
          </w:p>
        </w:tc>
        <w:tc>
          <w:tcPr>
            <w:tcW w:w="1600" w:type="dxa"/>
            <w:vAlign w:val="center"/>
          </w:tcPr>
          <w:p>
            <w:pPr>
              <w:spacing w:before="20" w:after="20"/>
              <w:jc w:val="center"/>
            </w:pPr>
            <w:r>
              <w:rPr>
                <w:sz w:val="20"/>
                <w:szCs w:val="20"/>
              </w:rPr>
              <w:t xml:space="preserve">3,3</w:t>
            </w:r>
          </w:p>
        </w:tc>
        <w:tc>
          <w:tcPr>
            <w:tcW w:w="3200" w:type="dxa"/>
            <w:vAlign w:val="center"/>
          </w:tcPr>
          <w:p>
            <w:pPr>
              <w:spacing w:before="20" w:after="20"/>
              <w:jc w:val="left"/>
            </w:pPr>
            <w:r>
              <w:rPr>
                <w:sz w:val="20"/>
                <w:szCs w:val="20"/>
              </w:rPr>
              <w:t xml:space="preserve">Yeterli Seviye</w:t>
            </w:r>
          </w:p>
        </w:tc>
      </w:tr>
      <w:tr>
        <w:trPr>
          <w:cantSplit/>
        </w:trPr>
        <w:tc>
          <w:tcPr>
            <w:tcW w:w="4272" w:type="dxa"/>
            <w:vAlign w:val="center"/>
          </w:tcPr>
          <w:p>
            <w:pPr>
              <w:spacing w:before="20" w:after="20"/>
              <w:jc w:val="left"/>
            </w:pPr>
            <w:r>
              <w:rPr>
                <w:sz w:val="20"/>
                <w:szCs w:val="20"/>
              </w:rPr>
              <w:t xml:space="preserve">Asgari seviyenin (3,0) altındaki kontrol sayısı</w:t>
            </w:r>
          </w:p>
        </w:tc>
        <w:tc>
          <w:tcPr>
            <w:tcW w:w="1600" w:type="dxa"/>
            <w:vAlign w:val="center"/>
          </w:tcPr>
          <w:p>
            <w:pPr>
              <w:spacing w:before="20" w:after="20"/>
              <w:jc w:val="center"/>
            </w:pPr>
            <w:r>
              <w:rPr>
                <w:sz w:val="20"/>
                <w:szCs w:val="20"/>
              </w:rPr>
              <w:t xml:space="preserve">16</w:t>
            </w:r>
          </w:p>
        </w:tc>
        <w:tc>
          <w:tcPr>
            <w:tcW w:w="3200" w:type="dxa"/>
            <w:vAlign w:val="center"/>
          </w:tcPr>
          <w:p>
            <w:pPr>
              <w:spacing w:before="20" w:after="20"/>
              <w:jc w:val="left"/>
            </w:pPr>
            <w:r>
              <w:rPr>
                <w:sz w:val="20"/>
                <w:szCs w:val="20"/>
              </w:rPr>
              <w:t xml:space="preserve">29 değerlendirilen kontrolden</w:t>
            </w:r>
          </w:p>
        </w:tc>
      </w:tr>
      <w:tr>
        <w:trPr>
          <w:cantSplit/>
        </w:trPr>
        <w:tc>
          <w:tcPr>
            <w:tcW w:w="4272" w:type="dxa"/>
            <w:vAlign w:val="center"/>
          </w:tcPr>
          <w:p>
            <w:pPr>
              <w:spacing w:before="20" w:after="20"/>
              <w:jc w:val="left"/>
            </w:pPr>
            <w:r>
              <w:rPr>
                <w:sz w:val="20"/>
                <w:szCs w:val="20"/>
              </w:rPr>
              <w:t xml:space="preserve">1. / 2. öncelikli gelişim alanı</w:t>
            </w:r>
          </w:p>
        </w:tc>
        <w:tc>
          <w:tcPr>
            <w:tcW w:w="1600" w:type="dxa"/>
            <w:vAlign w:val="center"/>
          </w:tcPr>
          <w:p>
            <w:pPr>
              <w:spacing w:before="20" w:after="20"/>
              <w:jc w:val="center"/>
            </w:pPr>
            <w:r>
              <w:rPr>
                <w:sz w:val="20"/>
                <w:szCs w:val="20"/>
              </w:rPr>
              <w:t xml:space="preserve">4 / 9</w:t>
            </w:r>
          </w:p>
        </w:tc>
        <w:tc>
          <w:tcPr>
            <w:tcW w:w="3200" w:type="dxa"/>
            <w:vAlign w:val="center"/>
          </w:tcPr>
          <w:p>
            <w:pPr>
              <w:spacing w:before="20" w:after="20"/>
              <w:jc w:val="left"/>
            </w:pPr>
            <w:r>
              <w:rPr>
                <w:sz w:val="20"/>
                <w:szCs w:val="20"/>
              </w:rPr>
              <w:t xml:space="preserve">Bkz. Bölüm 5</w:t>
            </w:r>
          </w:p>
        </w:tc>
      </w:tr>
      <w:tr>
        <w:trPr>
          <w:cantSplit/>
        </w:trPr>
        <w:tc>
          <w:tcPr>
            <w:tcW w:w="4272" w:type="dxa"/>
            <w:vAlign w:val="center"/>
          </w:tcPr>
          <w:p>
            <w:pPr>
              <w:spacing w:before="20" w:after="20"/>
              <w:jc w:val="left"/>
            </w:pPr>
            <w:r>
              <w:rPr>
                <w:sz w:val="20"/>
                <w:szCs w:val="20"/>
              </w:rPr>
              <w:t xml:space="preserve">Asgari uyum sinyali sağlanan mevzuat</w:t>
            </w:r>
          </w:p>
        </w:tc>
        <w:tc>
          <w:tcPr>
            <w:tcW w:w="1600" w:type="dxa"/>
            <w:vAlign w:val="center"/>
          </w:tcPr>
          <w:p>
            <w:pPr>
              <w:spacing w:before="20" w:after="20"/>
              <w:jc w:val="center"/>
            </w:pPr>
            <w:r>
              <w:rPr>
                <w:sz w:val="20"/>
                <w:szCs w:val="20"/>
              </w:rPr>
              <w:t xml:space="preserve">0 / 4</w:t>
            </w:r>
          </w:p>
        </w:tc>
        <w:tc>
          <w:tcPr>
            <w:tcW w:w="3200" w:type="dxa"/>
            <w:vAlign w:val="center"/>
          </w:tcPr>
          <w:p>
            <w:pPr>
              <w:spacing w:before="20" w:after="20"/>
              <w:jc w:val="left"/>
            </w:pPr>
            <w:r>
              <w:rPr>
                <w:sz w:val="20"/>
                <w:szCs w:val="20"/>
              </w:rPr>
              <w:t xml:space="preserve">Geliştirilecek: 7545, BİGR, KVKK, ISO 27001</w:t>
            </w:r>
          </w:p>
        </w:tc>
      </w:tr>
    </w:tbl>
    <w:p>
      <w:pPr>
        <w:spacing w:before="0" w:after="60"/>
      </w:pPr>
      <w:r>
        <w:rPr>
          <w:sz w:val="8"/>
          <w:szCs w:val="8"/>
        </w:rPr>
        <w:t xml:space="preserve"/>
      </w:r>
    </w:p>
    <w:p>
      <w:pPr>
        <w:keepNext/>
        <w:spacing w:before="120" w:after="60"/>
      </w:pPr>
      <w:r>
        <w:rPr>
          <w:b/>
          <w:bCs/>
        </w:rPr>
        <w:t xml:space="preserve">Öne çıkan bulgular</w:t>
      </w:r>
    </w:p>
    <w:p>
      <w:pPr>
        <w:pStyle w:val="Bullet"/>
      </w:pPr>
      <w:r>
        <w:rPr>
          <w:b/>
          <w:bCs/>
        </w:rPr>
        <w:t xml:space="preserve">Güçlü alanlar: </w:t>
      </w:r>
      <w:r>
        <w:t xml:space="preserve">İnsan Kaynakları Güvenliği (3,0), Tedarikçi ve Üçüncü Taraf Güvenliği (3,0).</w:t>
      </w:r>
    </w:p>
    <w:p>
      <w:pPr>
        <w:pStyle w:val="Bullet"/>
      </w:pPr>
      <w:r>
        <w:rPr>
          <w:b/>
          <w:bCs/>
        </w:rPr>
        <w:t xml:space="preserve">Geliştirilmesi önerilen alanlar: </w:t>
      </w:r>
      <w:r>
        <w:t xml:space="preserve">8 kontrol alanı henüz asgari seviyeye ulaşmamıştır; öncelikle ele alınabilecek alanlar Fiziksel Güvenlik (2,0), Varlık ve Yapılandırma Yönetimi (2,0), Tehdit ve Zafiyet Yönetimi (2,1), Kimlik ve Erişim Yönetimi (2,2).</w:t>
      </w:r>
    </w:p>
    <w:p>
      <w:pPr>
        <w:pStyle w:val="Bullet"/>
      </w:pPr>
      <w:r>
        <w:rPr>
          <w:b/>
          <w:bCs/>
        </w:rPr>
        <w:t xml:space="preserve">Boyutlar: </w:t>
      </w:r>
      <w:r>
        <w:t xml:space="preserve">En düşük olgunluk Süreç (1,7), en yüksek Teknoloji (3,3) boyutundadır. Aradaki 1,5 puanlık fark, süreç boyutunda yapılacak iyileştirmelerin diğer boyutlardaki kazanımları güçlendireceğini göstermektedir.</w:t>
      </w:r>
    </w:p>
    <w:p>
      <w:pPr>
        <w:pStyle w:val="Bullet"/>
      </w:pPr>
      <w:r>
        <w:rPr>
          <w:b/>
          <w:bCs/>
        </w:rPr>
        <w:t xml:space="preserve">Regülasyon: </w:t>
      </w:r>
      <w:r>
        <w:t xml:space="preserve">Değerlendirilen 4 çerçeveden 4 tanesinde asgari uyum seviyesine henüz ulaşılmamıştır (7545: 2,7, 4 kontrol eşik altında; BİGR: 2,5, 13 kontrol eşik altında; KVKK: 2,5, 14 kontrol eşik altında; ISO 27001: 2,4, 14 kontrol eşik altında).</w:t>
      </w:r>
    </w:p>
    <w:p>
      <w:pPr>
        <w:pStyle w:val="Bullet"/>
      </w:pPr>
      <w:r>
        <w:rPr>
          <w:b/>
          <w:bCs/>
        </w:rPr>
        <w:t xml:space="preserve">Öncelikli gelişim alanları: </w:t>
      </w:r>
      <w:r>
        <w:t xml:space="preserve">16 kontrolün asgari seviyeye ulaştırılması önerilmektedir; 1. öncelik sınıfında 4, 2. öncelik sınıfında 9 kontrol bulunmaktadır. İlk ele alınması önerilenler: Kimlik ve Erişim Yönetimi – VPN, E-posta ve kritik sistemlere erişimde parola dışında ikinci bir doğrulama (MFA/SMS/OTP) zorunlu mu (8. soru); Tehdit ve Zafiyet Yönetimi – İşletim sistemlerinin ve kritik yazılımların güvenlik güncellemeleri (yamaları) merkezi ve otomatik olarak yapılıyor mu (18. soru); Olay Müdahale, İzleme ve Süreklilik – Kritik veriler düzenli yedekleniyor ve bu yedeklerin çalıştığı "Geri Dönüş (Restore)" testleri ile doğrulanıyor mu (24. soru).</w:t>
      </w:r>
    </w:p>
    <w:p>
      <w:pPr>
        <w:pStyle w:val="Bullet"/>
      </w:pPr>
      <w:r>
        <w:rPr>
          <w:b/>
          <w:bCs/>
        </w:rPr>
        <w:t xml:space="preserve">Değerlendirme notları: </w:t>
      </w:r>
      <w:r>
        <w:t xml:space="preserve">Bazı yanıtlar arasında uyumsuzluklar görülmüştür (4 not). Bu hususların kurumunuzla birlikte teyit edilmesi, sonuçların doğruluğunu artıracaktır (Bölüm 6).</w:t>
      </w:r>
    </w:p>
    <w:p>
      <w:pPr>
        <w:pStyle w:val="Heading1"/>
        <w:pageBreakBefore/>
      </w:pPr>
      <w:r>
        <w:t xml:space="preserve">Metodoloji</w:t>
      </w:r>
    </w:p>
    <w:p>
      <w:pPr>
        <w:pStyle w:val="Heading2"/>
      </w:pPr>
      <w:r>
        <w:t xml:space="preserve">Değerlendirme Yaklaşımı</w:t>
      </w:r>
    </w:p>
    <w:p>
      <w:r>
        <w:t xml:space="preserve">Değerlendirme, 10 kontrol alanına dağılmış 30 sorudan oluşan bir öz değerlendirmedir. Her soru, kontrolün kurumdaki karşılığını üç bağımsız boyutta ölçer: İnsan (farkındalık, sahiplik, yetkinlik), Süreç (tanımlı ve uygulanan prosedürler) ve Teknoloji (destekleyen teknik araç ve yapılandırmalar). Yanıt veren, her boyut için kurumu bugün en iyi tanımlayan ifadeyi 1–5 arasındaki seviyelerden seçer.</w:t>
      </w:r>
    </w:p>
    <w:p>
      <w:r>
        <w:t xml:space="preserve">Soru puanları, kontrolün etki seviyesine göre ağırlıklandırılarak boyut, kontrol alanı, mevzuat ve genel puana dönüştürülür. Böylece yüksek etkili bir kontroldeki eksiklik sonuca daha fazla yansır.</w:t>
      </w:r>
    </w:p>
    <w:p>
      <w:pPr>
        <w:pStyle w:val="Heading2"/>
      </w:pPr>
      <w:r>
        <w:t xml:space="preserve">Olgunluk Seviyeleri</w:t>
      </w:r>
    </w:p>
    <w:p>
      <w:pPr>
        <w:pStyle w:val="Caption"/>
        <w:keepNext/>
      </w:pPr>
      <w:r>
        <w:t xml:space="preserve">Tablo 3 – Olgunluk seviyeleri ve anlamları</w:t>
      </w:r>
    </w:p>
    <w:tbl>
      <w:tblPr>
        <w:tblStyle w:val="TableGrid"/>
        <w:tblW w:w="9072" w:type="dxa"/>
        <w:tblLayout w:type="fixed"/>
        <w:tblCellMar>
          <w:left w:w="85" w:type="dxa"/>
          <w:right w:w="85" w:type="dxa"/>
        </w:tblCellMar>
        <w:tblLook w:val="04A0" w:firstRow="1" w:lastRow="0" w:firstColumn="1" w:lastColumn="0" w:noHBand="0" w:noVBand="1"/>
      </w:tblPr>
      <w:tblGrid>
        <w:gridCol w:w="900"/>
        <w:gridCol w:w="1300"/>
        <w:gridCol w:w="1900"/>
        <w:gridCol w:w="4972"/>
      </w:tblGrid>
      <w:tr>
        <w:trPr>
          <w:cantSplit/>
          <w:tblHeader/>
        </w:trPr>
        <w:tc>
          <w:tcPr>
            <w:tcW w:w="900" w:type="dxa"/>
            <w:shd w:val="clear" w:color="auto" w:fill="D9D9D9"/>
            <w:vAlign w:val="center"/>
          </w:tcPr>
          <w:p>
            <w:pPr>
              <w:spacing w:before="20" w:after="20"/>
              <w:jc w:val="left"/>
            </w:pPr>
            <w:r>
              <w:rPr>
                <w:b/>
                <w:bCs/>
                <w:sz w:val="20"/>
                <w:szCs w:val="20"/>
              </w:rPr>
              <w:t xml:space="preserve">Seviye</w:t>
            </w:r>
          </w:p>
        </w:tc>
        <w:tc>
          <w:tcPr>
            <w:tcW w:w="1300" w:type="dxa"/>
            <w:shd w:val="clear" w:color="auto" w:fill="D9D9D9"/>
            <w:vAlign w:val="center"/>
          </w:tcPr>
          <w:p>
            <w:pPr>
              <w:spacing w:before="20" w:after="20"/>
              <w:jc w:val="left"/>
            </w:pPr>
            <w:r>
              <w:rPr>
                <w:b/>
                <w:bCs/>
                <w:sz w:val="20"/>
                <w:szCs w:val="20"/>
              </w:rPr>
              <w:t xml:space="preserve">Puan aralığı</w:t>
            </w:r>
          </w:p>
        </w:tc>
        <w:tc>
          <w:tcPr>
            <w:tcW w:w="1900" w:type="dxa"/>
            <w:shd w:val="clear" w:color="auto" w:fill="D9D9D9"/>
            <w:vAlign w:val="center"/>
          </w:tcPr>
          <w:p>
            <w:pPr>
              <w:spacing w:before="20" w:after="20"/>
              <w:jc w:val="left"/>
            </w:pPr>
            <w:r>
              <w:rPr>
                <w:b/>
                <w:bCs/>
                <w:sz w:val="20"/>
                <w:szCs w:val="20"/>
              </w:rPr>
              <w:t xml:space="preserve">Tanım</w:t>
            </w:r>
          </w:p>
        </w:tc>
        <w:tc>
          <w:tcPr>
            <w:tcW w:w="4972" w:type="dxa"/>
            <w:shd w:val="clear" w:color="auto" w:fill="D9D9D9"/>
            <w:vAlign w:val="center"/>
          </w:tcPr>
          <w:p>
            <w:pPr>
              <w:spacing w:before="20" w:after="20"/>
              <w:jc w:val="left"/>
            </w:pPr>
            <w:r>
              <w:rPr>
                <w:b/>
                <w:bCs/>
                <w:sz w:val="20"/>
                <w:szCs w:val="20"/>
              </w:rPr>
              <w:t xml:space="preserve">Anlamı</w:t>
            </w:r>
          </w:p>
        </w:tc>
      </w:tr>
      <w:tr>
        <w:trPr>
          <w:cantSplit/>
        </w:trPr>
        <w:tc>
          <w:tcPr>
            <w:tcW w:w="900" w:type="dxa"/>
            <w:vAlign w:val="center"/>
          </w:tcPr>
          <w:p>
            <w:pPr>
              <w:spacing w:before="20" w:after="20"/>
              <w:jc w:val="center"/>
            </w:pPr>
            <w:r>
              <w:rPr>
                <w:b/>
                <w:bCs/>
                <w:sz w:val="20"/>
                <w:szCs w:val="20"/>
              </w:rPr>
              <w:t xml:space="preserve">1</w:t>
            </w:r>
          </w:p>
        </w:tc>
        <w:tc>
          <w:tcPr>
            <w:tcW w:w="1300" w:type="dxa"/>
            <w:vAlign w:val="center"/>
          </w:tcPr>
          <w:p>
            <w:pPr>
              <w:spacing w:before="20" w:after="20"/>
              <w:jc w:val="center"/>
            </w:pPr>
            <w:r>
              <w:rPr>
                <w:sz w:val="20"/>
                <w:szCs w:val="20"/>
              </w:rPr>
              <w:t xml:space="preserve">1,0 – 1,9</w:t>
            </w:r>
          </w:p>
        </w:tc>
        <w:tc>
          <w:tcPr>
            <w:tcW w:w="1900" w:type="dxa"/>
            <w:vAlign w:val="center"/>
          </w:tcPr>
          <w:p>
            <w:pPr>
              <w:spacing w:before="20" w:after="20"/>
              <w:jc w:val="left"/>
            </w:pPr>
            <w:r>
              <w:rPr>
                <w:sz w:val="20"/>
                <w:szCs w:val="20"/>
              </w:rPr>
              <w:t xml:space="preserve">Geliştirilmesi Gereken</w:t>
            </w:r>
          </w:p>
        </w:tc>
        <w:tc>
          <w:tcPr>
            <w:tcW w:w="4972" w:type="dxa"/>
            <w:vAlign w:val="center"/>
          </w:tcPr>
          <w:p>
            <w:pPr>
              <w:spacing w:before="20" w:after="20"/>
              <w:jc w:val="left"/>
            </w:pPr>
            <w:r>
              <w:rPr>
                <w:sz w:val="20"/>
                <w:szCs w:val="20"/>
              </w:rPr>
              <w:t xml:space="preserve">Kontrol tanımlı değildir ya da kişilere bağlı, plansız ve tekrarlanamaz biçimde uygulanır.</w:t>
            </w:r>
          </w:p>
        </w:tc>
      </w:tr>
      <w:tr>
        <w:trPr>
          <w:cantSplit/>
        </w:trPr>
        <w:tc>
          <w:tcPr>
            <w:tcW w:w="900" w:type="dxa"/>
            <w:vAlign w:val="center"/>
          </w:tcPr>
          <w:p>
            <w:pPr>
              <w:spacing w:before="20" w:after="20"/>
              <w:jc w:val="center"/>
            </w:pPr>
            <w:r>
              <w:rPr>
                <w:b/>
                <w:bCs/>
                <w:sz w:val="20"/>
                <w:szCs w:val="20"/>
              </w:rPr>
              <w:t xml:space="preserve">2</w:t>
            </w:r>
          </w:p>
        </w:tc>
        <w:tc>
          <w:tcPr>
            <w:tcW w:w="1300" w:type="dxa"/>
            <w:vAlign w:val="center"/>
          </w:tcPr>
          <w:p>
            <w:pPr>
              <w:spacing w:before="20" w:after="20"/>
              <w:jc w:val="center"/>
            </w:pPr>
            <w:r>
              <w:rPr>
                <w:sz w:val="20"/>
                <w:szCs w:val="20"/>
              </w:rPr>
              <w:t xml:space="preserve">2,0 – 2,9</w:t>
            </w:r>
          </w:p>
        </w:tc>
        <w:tc>
          <w:tcPr>
            <w:tcW w:w="1900" w:type="dxa"/>
            <w:vAlign w:val="center"/>
          </w:tcPr>
          <w:p>
            <w:pPr>
              <w:spacing w:before="20" w:after="20"/>
              <w:jc w:val="left"/>
            </w:pPr>
            <w:r>
              <w:rPr>
                <w:sz w:val="20"/>
                <w:szCs w:val="20"/>
              </w:rPr>
              <w:t xml:space="preserve">Başlangıç Seviyesi</w:t>
            </w:r>
          </w:p>
        </w:tc>
        <w:tc>
          <w:tcPr>
            <w:tcW w:w="4972" w:type="dxa"/>
            <w:vAlign w:val="center"/>
          </w:tcPr>
          <w:p>
            <w:pPr>
              <w:spacing w:before="20" w:after="20"/>
              <w:jc w:val="left"/>
            </w:pPr>
            <w:r>
              <w:rPr>
                <w:sz w:val="20"/>
                <w:szCs w:val="20"/>
              </w:rPr>
              <w:t xml:space="preserve">İhtiyaç bilinmektedir; uygulama kısmi ve gayriresmidir, dokümantasyon ve sahiplik eksiktir.</w:t>
            </w:r>
          </w:p>
        </w:tc>
      </w:tr>
      <w:tr>
        <w:trPr>
          <w:cantSplit/>
        </w:trPr>
        <w:tc>
          <w:tcPr>
            <w:tcW w:w="900" w:type="dxa"/>
            <w:vAlign w:val="center"/>
          </w:tcPr>
          <w:p>
            <w:pPr>
              <w:spacing w:before="20" w:after="20"/>
              <w:jc w:val="center"/>
            </w:pPr>
            <w:r>
              <w:rPr>
                <w:b/>
                <w:bCs/>
                <w:sz w:val="20"/>
                <w:szCs w:val="20"/>
              </w:rPr>
              <w:t xml:space="preserve">3</w:t>
            </w:r>
          </w:p>
        </w:tc>
        <w:tc>
          <w:tcPr>
            <w:tcW w:w="1300" w:type="dxa"/>
            <w:vAlign w:val="center"/>
          </w:tcPr>
          <w:p>
            <w:pPr>
              <w:spacing w:before="20" w:after="20"/>
              <w:jc w:val="center"/>
            </w:pPr>
            <w:r>
              <w:rPr>
                <w:sz w:val="20"/>
                <w:szCs w:val="20"/>
              </w:rPr>
              <w:t xml:space="preserve">3,0 – 3,9</w:t>
            </w:r>
          </w:p>
        </w:tc>
        <w:tc>
          <w:tcPr>
            <w:tcW w:w="1900" w:type="dxa"/>
            <w:vAlign w:val="center"/>
          </w:tcPr>
          <w:p>
            <w:pPr>
              <w:spacing w:before="20" w:after="20"/>
              <w:jc w:val="left"/>
            </w:pPr>
            <w:r>
              <w:rPr>
                <w:sz w:val="20"/>
                <w:szCs w:val="20"/>
              </w:rPr>
              <w:t xml:space="preserve">Yeterli Seviye</w:t>
            </w:r>
          </w:p>
        </w:tc>
        <w:tc>
          <w:tcPr>
            <w:tcW w:w="4972" w:type="dxa"/>
            <w:vAlign w:val="center"/>
          </w:tcPr>
          <w:p>
            <w:pPr>
              <w:spacing w:before="20" w:after="20"/>
              <w:jc w:val="left"/>
            </w:pPr>
            <w:r>
              <w:rPr>
                <w:sz w:val="20"/>
                <w:szCs w:val="20"/>
              </w:rPr>
              <w:t xml:space="preserve">Kontrol tanımlı, dokümante edilmiş ve kurum genelinde uygulanmaktadır. Asgari beklenen seviyedir.</w:t>
            </w:r>
          </w:p>
        </w:tc>
      </w:tr>
      <w:tr>
        <w:trPr>
          <w:cantSplit/>
        </w:trPr>
        <w:tc>
          <w:tcPr>
            <w:tcW w:w="900" w:type="dxa"/>
            <w:vAlign w:val="center"/>
          </w:tcPr>
          <w:p>
            <w:pPr>
              <w:spacing w:before="20" w:after="20"/>
              <w:jc w:val="center"/>
            </w:pPr>
            <w:r>
              <w:rPr>
                <w:b/>
                <w:bCs/>
                <w:sz w:val="20"/>
                <w:szCs w:val="20"/>
              </w:rPr>
              <w:t xml:space="preserve">4</w:t>
            </w:r>
          </w:p>
        </w:tc>
        <w:tc>
          <w:tcPr>
            <w:tcW w:w="1300" w:type="dxa"/>
            <w:vAlign w:val="center"/>
          </w:tcPr>
          <w:p>
            <w:pPr>
              <w:spacing w:before="20" w:after="20"/>
              <w:jc w:val="center"/>
            </w:pPr>
            <w:r>
              <w:rPr>
                <w:sz w:val="20"/>
                <w:szCs w:val="20"/>
              </w:rPr>
              <w:t xml:space="preserve">4,0 – 4,4</w:t>
            </w:r>
          </w:p>
        </w:tc>
        <w:tc>
          <w:tcPr>
            <w:tcW w:w="1900" w:type="dxa"/>
            <w:vAlign w:val="center"/>
          </w:tcPr>
          <w:p>
            <w:pPr>
              <w:spacing w:before="20" w:after="20"/>
              <w:jc w:val="left"/>
            </w:pPr>
            <w:r>
              <w:rPr>
                <w:sz w:val="20"/>
                <w:szCs w:val="20"/>
              </w:rPr>
              <w:t xml:space="preserve">İyi Seviye</w:t>
            </w:r>
          </w:p>
        </w:tc>
        <w:tc>
          <w:tcPr>
            <w:tcW w:w="4972" w:type="dxa"/>
            <w:vAlign w:val="center"/>
          </w:tcPr>
          <w:p>
            <w:pPr>
              <w:spacing w:before="20" w:after="20"/>
              <w:jc w:val="left"/>
            </w:pPr>
            <w:r>
              <w:rPr>
                <w:sz w:val="20"/>
                <w:szCs w:val="20"/>
              </w:rPr>
              <w:t xml:space="preserve">Kontrolün etkinliği düzenli olarak ölçülür, izlenir ve yönetime raporlanır.</w:t>
            </w:r>
          </w:p>
        </w:tc>
      </w:tr>
      <w:tr>
        <w:trPr>
          <w:cantSplit/>
        </w:trPr>
        <w:tc>
          <w:tcPr>
            <w:tcW w:w="900" w:type="dxa"/>
            <w:vAlign w:val="center"/>
          </w:tcPr>
          <w:p>
            <w:pPr>
              <w:spacing w:before="20" w:after="20"/>
              <w:jc w:val="center"/>
            </w:pPr>
            <w:r>
              <w:rPr>
                <w:b/>
                <w:bCs/>
                <w:sz w:val="20"/>
                <w:szCs w:val="20"/>
              </w:rPr>
              <w:t xml:space="preserve">5</w:t>
            </w:r>
          </w:p>
        </w:tc>
        <w:tc>
          <w:tcPr>
            <w:tcW w:w="1300" w:type="dxa"/>
            <w:vAlign w:val="center"/>
          </w:tcPr>
          <w:p>
            <w:pPr>
              <w:spacing w:before="20" w:after="20"/>
              <w:jc w:val="center"/>
            </w:pPr>
            <w:r>
              <w:rPr>
                <w:sz w:val="20"/>
                <w:szCs w:val="20"/>
              </w:rPr>
              <w:t xml:space="preserve">4,5 – 5,0</w:t>
            </w:r>
          </w:p>
        </w:tc>
        <w:tc>
          <w:tcPr>
            <w:tcW w:w="1900" w:type="dxa"/>
            <w:vAlign w:val="center"/>
          </w:tcPr>
          <w:p>
            <w:pPr>
              <w:spacing w:before="20" w:after="20"/>
              <w:jc w:val="left"/>
            </w:pPr>
            <w:r>
              <w:rPr>
                <w:sz w:val="20"/>
                <w:szCs w:val="20"/>
              </w:rPr>
              <w:t xml:space="preserve">Örnek Seviye</w:t>
            </w:r>
          </w:p>
        </w:tc>
        <w:tc>
          <w:tcPr>
            <w:tcW w:w="4972" w:type="dxa"/>
            <w:vAlign w:val="center"/>
          </w:tcPr>
          <w:p>
            <w:pPr>
              <w:spacing w:before="20" w:after="20"/>
              <w:jc w:val="left"/>
            </w:pPr>
            <w:r>
              <w:rPr>
                <w:sz w:val="20"/>
                <w:szCs w:val="20"/>
              </w:rPr>
              <w:t xml:space="preserve">Kontrol sürekli iyileştirilir, otomasyonla desteklenir ve iyi uygulamalarla uyumludur.</w:t>
            </w:r>
          </w:p>
        </w:tc>
      </w:tr>
    </w:tbl>
    <w:p>
      <w:pPr>
        <w:spacing w:before="0" w:after="60"/>
      </w:pPr>
      <w:r>
        <w:rPr>
          <w:sz w:val="8"/>
          <w:szCs w:val="8"/>
        </w:rPr>
        <w:t xml:space="preserve"/>
      </w:r>
    </w:p>
    <w:p>
      <w:pPr>
        <w:pStyle w:val="Heading2"/>
      </w:pPr>
      <w:r>
        <w:t xml:space="preserve">Asgari Seviye ve Regülatif Uyum Sinyali</w:t>
      </w:r>
    </w:p>
    <w:p>
      <w:r>
        <w:rPr>
          <w:b/>
          <w:bCs/>
        </w:rPr>
        <w:t xml:space="preserve">Asgari seviye 3,0’dır (Yeterli Seviye). </w:t>
      </w:r>
      <w:r>
        <w:t xml:space="preserve">Bu seviye, kontrolün tanımlı ve kurum genelinde uygulanır olduğunu ifade eder. Puanı 3,0’ın altında kalan her kontrol bir gelişim alanı olarak değerlendirilir ve bir öncelik sınıfına atanır.</w:t>
      </w:r>
    </w:p>
    <w:p>
      <w:r>
        <w:t xml:space="preserve">Sorular, ilgili oldukları mevzuat ve standart maddeleriyle (7545 Sayılı Siber Güvenlik Kanunu, BİGR, KVKK, ISO/IEC 27001) eşleştirilmiştir. Bir çerçeve için </w:t>
      </w:r>
      <w:r>
        <w:rPr>
          <w:b/>
          <w:bCs/>
        </w:rPr>
        <w:t xml:space="preserve">“Asgari Uyum Sağlanıyor”</w:t>
      </w:r>
      <w:r>
        <w:t xml:space="preserve"> sonucu, o çerçeveyle ilişkili kontrollerin hem ortalamasının hem de her birinin ayrı ayrı 3,0 ve üzerinde olmasını gerektirir. Bu sonuç yönlendirici bir sinyaldir; uyum denetimi veya hukuki görüş yerine geçmez.</w:t>
      </w:r>
    </w:p>
    <w:p>
      <w:pPr>
        <w:pStyle w:val="Heading2"/>
      </w:pPr>
      <w:r>
        <w:t xml:space="preserve">Etki Seviyeleri ve Önceliklendirme</w:t>
      </w:r>
    </w:p>
    <w:p>
      <w:pPr>
        <w:pStyle w:val="Caption"/>
        <w:keepNext/>
      </w:pPr>
      <w:r>
        <w:t xml:space="preserve">Tablo 4 – Etki seviyeleri</w:t>
      </w:r>
    </w:p>
    <w:tbl>
      <w:tblPr>
        <w:tblStyle w:val="TableGrid"/>
        <w:tblW w:w="9072" w:type="dxa"/>
        <w:tblLayout w:type="fixed"/>
        <w:tblCellMar>
          <w:left w:w="85" w:type="dxa"/>
          <w:right w:w="85" w:type="dxa"/>
        </w:tblCellMar>
        <w:tblLook w:val="04A0" w:firstRow="1" w:lastRow="0" w:firstColumn="1" w:lastColumn="0" w:noHBand="0" w:noVBand="1"/>
      </w:tblPr>
      <w:tblGrid>
        <w:gridCol w:w="2300"/>
        <w:gridCol w:w="6772"/>
      </w:tblGrid>
      <w:tr>
        <w:trPr>
          <w:cantSplit/>
          <w:tblHeader/>
        </w:trPr>
        <w:tc>
          <w:tcPr>
            <w:tcW w:w="2300" w:type="dxa"/>
            <w:shd w:val="clear" w:color="auto" w:fill="D9D9D9"/>
            <w:vAlign w:val="center"/>
          </w:tcPr>
          <w:p>
            <w:pPr>
              <w:spacing w:before="20" w:after="20"/>
              <w:jc w:val="left"/>
            </w:pPr>
            <w:r>
              <w:rPr>
                <w:b/>
                <w:bCs/>
                <w:sz w:val="20"/>
                <w:szCs w:val="20"/>
              </w:rPr>
              <w:t xml:space="preserve">Etki seviyesi</w:t>
            </w:r>
          </w:p>
        </w:tc>
        <w:tc>
          <w:tcPr>
            <w:tcW w:w="6772" w:type="dxa"/>
            <w:shd w:val="clear" w:color="auto" w:fill="D9D9D9"/>
            <w:vAlign w:val="center"/>
          </w:tcPr>
          <w:p>
            <w:pPr>
              <w:spacing w:before="20" w:after="20"/>
              <w:jc w:val="left"/>
            </w:pPr>
            <w:r>
              <w:rPr>
                <w:b/>
                <w:bCs/>
                <w:sz w:val="20"/>
                <w:szCs w:val="20"/>
              </w:rPr>
              <w:t xml:space="preserve">Anlamı</w:t>
            </w:r>
          </w:p>
        </w:tc>
      </w:tr>
      <w:tr>
        <w:trPr>
          <w:cantSplit/>
        </w:trPr>
        <w:tc>
          <w:tcPr>
            <w:tcW w:w="2300" w:type="dxa"/>
            <w:vAlign w:val="center"/>
          </w:tcPr>
          <w:p>
            <w:pPr>
              <w:spacing w:before="20" w:after="20"/>
              <w:jc w:val="left"/>
            </w:pPr>
            <w:r>
              <w:rPr>
                <w:sz w:val="20"/>
                <w:szCs w:val="20"/>
              </w:rPr>
              <w:t xml:space="preserve">Çok Yüksek Etki</w:t>
            </w:r>
          </w:p>
        </w:tc>
        <w:tc>
          <w:tcPr>
            <w:tcW w:w="6772" w:type="dxa"/>
            <w:vAlign w:val="center"/>
          </w:tcPr>
          <w:p>
            <w:pPr>
              <w:spacing w:before="20" w:after="20"/>
              <w:jc w:val="left"/>
            </w:pPr>
            <w:r>
              <w:rPr>
                <w:sz w:val="20"/>
                <w:szCs w:val="20"/>
              </w:rPr>
              <w:t xml:space="preserve">Kontroldeki bir eksiklik, kurumun temel faaliyetlerini veya yasal yükümlülüklerini doğrudan etkileyebilir.</w:t>
            </w:r>
          </w:p>
        </w:tc>
      </w:tr>
      <w:tr>
        <w:trPr>
          <w:cantSplit/>
        </w:trPr>
        <w:tc>
          <w:tcPr>
            <w:tcW w:w="2300" w:type="dxa"/>
            <w:vAlign w:val="center"/>
          </w:tcPr>
          <w:p>
            <w:pPr>
              <w:spacing w:before="20" w:after="20"/>
              <w:jc w:val="left"/>
            </w:pPr>
            <w:r>
              <w:rPr>
                <w:sz w:val="20"/>
                <w:szCs w:val="20"/>
              </w:rPr>
              <w:t xml:space="preserve">Yüksek Etki</w:t>
            </w:r>
          </w:p>
        </w:tc>
        <w:tc>
          <w:tcPr>
            <w:tcW w:w="6772" w:type="dxa"/>
            <w:vAlign w:val="center"/>
          </w:tcPr>
          <w:p>
            <w:pPr>
              <w:spacing w:before="20" w:after="20"/>
              <w:jc w:val="left"/>
            </w:pPr>
            <w:r>
              <w:rPr>
                <w:sz w:val="20"/>
                <w:szCs w:val="20"/>
              </w:rPr>
              <w:t xml:space="preserve">Operasyonel, finansal veya itibari açıdan önemli sonuçlar doğurabilir.</w:t>
            </w:r>
          </w:p>
        </w:tc>
      </w:tr>
      <w:tr>
        <w:trPr>
          <w:cantSplit/>
        </w:trPr>
        <w:tc>
          <w:tcPr>
            <w:tcW w:w="2300" w:type="dxa"/>
            <w:vAlign w:val="center"/>
          </w:tcPr>
          <w:p>
            <w:pPr>
              <w:spacing w:before="20" w:after="20"/>
              <w:jc w:val="left"/>
            </w:pPr>
            <w:r>
              <w:rPr>
                <w:sz w:val="20"/>
                <w:szCs w:val="20"/>
              </w:rPr>
              <w:t xml:space="preserve">Orta Etki</w:t>
            </w:r>
          </w:p>
        </w:tc>
        <w:tc>
          <w:tcPr>
            <w:tcW w:w="6772" w:type="dxa"/>
            <w:vAlign w:val="center"/>
          </w:tcPr>
          <w:p>
            <w:pPr>
              <w:spacing w:before="20" w:after="20"/>
              <w:jc w:val="left"/>
            </w:pPr>
            <w:r>
              <w:rPr>
                <w:sz w:val="20"/>
                <w:szCs w:val="20"/>
              </w:rPr>
              <w:t xml:space="preserve">Sınırlı ve yönetilebilir düzeyde etki doğurur.</w:t>
            </w:r>
          </w:p>
        </w:tc>
      </w:tr>
      <w:tr>
        <w:trPr>
          <w:cantSplit/>
        </w:trPr>
        <w:tc>
          <w:tcPr>
            <w:tcW w:w="2300" w:type="dxa"/>
            <w:vAlign w:val="center"/>
          </w:tcPr>
          <w:p>
            <w:pPr>
              <w:spacing w:before="20" w:after="20"/>
              <w:jc w:val="left"/>
            </w:pPr>
            <w:r>
              <w:rPr>
                <w:sz w:val="20"/>
                <w:szCs w:val="20"/>
              </w:rPr>
              <w:t xml:space="preserve">Düşük Etki</w:t>
            </w:r>
          </w:p>
        </w:tc>
        <w:tc>
          <w:tcPr>
            <w:tcW w:w="6772" w:type="dxa"/>
            <w:vAlign w:val="center"/>
          </w:tcPr>
          <w:p>
            <w:pPr>
              <w:spacing w:before="20" w:after="20"/>
              <w:jc w:val="left"/>
            </w:pPr>
            <w:r>
              <w:rPr>
                <w:sz w:val="20"/>
                <w:szCs w:val="20"/>
              </w:rPr>
              <w:t xml:space="preserve">Kurum üzerindeki etkisi düşüktür.</w:t>
            </w:r>
          </w:p>
        </w:tc>
      </w:tr>
    </w:tbl>
    <w:p>
      <w:pPr>
        <w:spacing w:before="0" w:after="60"/>
      </w:pPr>
      <w:r>
        <w:rPr>
          <w:sz w:val="8"/>
          <w:szCs w:val="8"/>
        </w:rPr>
        <w:t xml:space="preserve"/>
      </w:r>
    </w:p>
    <w:p>
      <w:pPr>
        <w:pStyle w:val="Caption"/>
        <w:keepNext/>
      </w:pPr>
      <w:r>
        <w:t xml:space="preserve">Tablo 5 – Öncelik sınıfları</w:t>
      </w:r>
    </w:p>
    <w:tbl>
      <w:tblPr>
        <w:tblStyle w:val="TableGrid"/>
        <w:tblW w:w="9072" w:type="dxa"/>
        <w:tblLayout w:type="fixed"/>
        <w:tblCellMar>
          <w:left w:w="85" w:type="dxa"/>
          <w:right w:w="85" w:type="dxa"/>
        </w:tblCellMar>
        <w:tblLook w:val="04A0" w:firstRow="1" w:lastRow="0" w:firstColumn="1" w:lastColumn="0" w:noHBand="0" w:noVBand="1"/>
      </w:tblPr>
      <w:tblGrid>
        <w:gridCol w:w="1500"/>
        <w:gridCol w:w="7572"/>
      </w:tblGrid>
      <w:tr>
        <w:trPr>
          <w:cantSplit/>
          <w:tblHeader/>
        </w:trPr>
        <w:tc>
          <w:tcPr>
            <w:tcW w:w="1500" w:type="dxa"/>
            <w:shd w:val="clear" w:color="auto" w:fill="D9D9D9"/>
            <w:vAlign w:val="center"/>
          </w:tcPr>
          <w:p>
            <w:pPr>
              <w:spacing w:before="20" w:after="20"/>
              <w:jc w:val="left"/>
            </w:pPr>
            <w:r>
              <w:rPr>
                <w:b/>
                <w:bCs/>
                <w:sz w:val="20"/>
                <w:szCs w:val="20"/>
              </w:rPr>
              <w:t xml:space="preserve">Öncelik</w:t>
            </w:r>
          </w:p>
        </w:tc>
        <w:tc>
          <w:tcPr>
            <w:tcW w:w="7572" w:type="dxa"/>
            <w:shd w:val="clear" w:color="auto" w:fill="D9D9D9"/>
            <w:vAlign w:val="center"/>
          </w:tcPr>
          <w:p>
            <w:pPr>
              <w:spacing w:before="20" w:after="20"/>
              <w:jc w:val="left"/>
            </w:pPr>
            <w:r>
              <w:rPr>
                <w:b/>
                <w:bCs/>
                <w:sz w:val="20"/>
                <w:szCs w:val="20"/>
              </w:rPr>
              <w:t xml:space="preserve">Ölçüt (yalnızca puanı 3,0’ın altında kalan kontroller)</w:t>
            </w:r>
          </w:p>
        </w:tc>
      </w:tr>
      <w:tr>
        <w:trPr>
          <w:cantSplit/>
        </w:trPr>
        <w:tc>
          <w:tcPr>
            <w:tcW w:w="1500" w:type="dxa"/>
            <w:vAlign w:val="center"/>
          </w:tcPr>
          <w:p>
            <w:pPr>
              <w:spacing w:before="20" w:after="20"/>
              <w:jc w:val="left"/>
            </w:pPr>
            <w:r>
              <w:rPr>
                <w:b/>
                <w:bCs/>
                <w:sz w:val="20"/>
                <w:szCs w:val="20"/>
              </w:rPr>
              <w:t xml:space="preserve">1. Öncelik</w:t>
            </w:r>
          </w:p>
        </w:tc>
        <w:tc>
          <w:tcPr>
            <w:tcW w:w="7572" w:type="dxa"/>
            <w:vAlign w:val="center"/>
          </w:tcPr>
          <w:p>
            <w:pPr>
              <w:spacing w:before="20" w:after="20"/>
              <w:jc w:val="left"/>
            </w:pPr>
            <w:r>
              <w:rPr>
                <w:sz w:val="20"/>
                <w:szCs w:val="20"/>
              </w:rPr>
              <w:t xml:space="preserve">Çok Yüksek veya Yüksek etkili kontrol, puanı 2,0’ın altında.</w:t>
            </w:r>
          </w:p>
        </w:tc>
      </w:tr>
      <w:tr>
        <w:trPr>
          <w:cantSplit/>
        </w:trPr>
        <w:tc>
          <w:tcPr>
            <w:tcW w:w="1500" w:type="dxa"/>
            <w:vAlign w:val="center"/>
          </w:tcPr>
          <w:p>
            <w:pPr>
              <w:spacing w:before="20" w:after="20"/>
              <w:jc w:val="left"/>
            </w:pPr>
            <w:r>
              <w:rPr>
                <w:b/>
                <w:bCs/>
                <w:sz w:val="20"/>
                <w:szCs w:val="20"/>
              </w:rPr>
              <w:t xml:space="preserve">2. Öncelik</w:t>
            </w:r>
          </w:p>
        </w:tc>
        <w:tc>
          <w:tcPr>
            <w:tcW w:w="7572" w:type="dxa"/>
            <w:vAlign w:val="center"/>
          </w:tcPr>
          <w:p>
            <w:pPr>
              <w:spacing w:before="20" w:after="20"/>
              <w:jc w:val="left"/>
            </w:pPr>
            <w:r>
              <w:rPr>
                <w:sz w:val="20"/>
                <w:szCs w:val="20"/>
              </w:rPr>
              <w:t xml:space="preserve">Çok Yüksek veya Yüksek etkili kontrol, puanı 2,0 – 2,9 aralığında; ya da Orta etkili kontrol, puanı 2,0’ın altında.</w:t>
            </w:r>
          </w:p>
        </w:tc>
      </w:tr>
      <w:tr>
        <w:trPr>
          <w:cantSplit/>
        </w:trPr>
        <w:tc>
          <w:tcPr>
            <w:tcW w:w="1500" w:type="dxa"/>
            <w:vAlign w:val="center"/>
          </w:tcPr>
          <w:p>
            <w:pPr>
              <w:spacing w:before="20" w:after="20"/>
              <w:jc w:val="left"/>
            </w:pPr>
            <w:r>
              <w:rPr>
                <w:b/>
                <w:bCs/>
                <w:sz w:val="20"/>
                <w:szCs w:val="20"/>
              </w:rPr>
              <w:t xml:space="preserve">3. Öncelik</w:t>
            </w:r>
          </w:p>
        </w:tc>
        <w:tc>
          <w:tcPr>
            <w:tcW w:w="7572" w:type="dxa"/>
            <w:vAlign w:val="center"/>
          </w:tcPr>
          <w:p>
            <w:pPr>
              <w:spacing w:before="20" w:after="20"/>
              <w:jc w:val="left"/>
            </w:pPr>
            <w:r>
              <w:rPr>
                <w:sz w:val="20"/>
                <w:szCs w:val="20"/>
              </w:rPr>
              <w:t xml:space="preserve">Asgari seviyenin altında kalan diğer kontroller.</w:t>
            </w:r>
          </w:p>
        </w:tc>
      </w:tr>
    </w:tbl>
    <w:p>
      <w:pPr>
        <w:spacing w:before="0" w:after="60"/>
      </w:pPr>
      <w:r>
        <w:rPr>
          <w:sz w:val="8"/>
          <w:szCs w:val="8"/>
        </w:rPr>
        <w:t xml:space="preserve"/>
      </w:r>
    </w:p>
    <w:p>
      <w:pPr>
        <w:pStyle w:val="Heading2"/>
      </w:pPr>
      <w:r>
        <w:t xml:space="preserve">Tanımlar</w:t>
      </w:r>
    </w:p>
    <w:p>
      <w:pPr>
        <w:pStyle w:val="Caption"/>
        <w:keepNext/>
      </w:pPr>
      <w:r>
        <w:t xml:space="preserve">Tablo 6 – Tanımlar</w:t>
      </w:r>
    </w:p>
    <w:tbl>
      <w:tblPr>
        <w:tblStyle w:val="TableGrid"/>
        <w:tblW w:w="9072" w:type="dxa"/>
        <w:tblLayout w:type="fixed"/>
        <w:tblCellMar>
          <w:left w:w="85" w:type="dxa"/>
          <w:right w:w="85" w:type="dxa"/>
        </w:tblCellMar>
        <w:tblLook w:val="04A0" w:firstRow="1" w:lastRow="0" w:firstColumn="1" w:lastColumn="0" w:noHBand="0" w:noVBand="1"/>
      </w:tblPr>
      <w:tblGrid>
        <w:gridCol w:w="2300"/>
        <w:gridCol w:w="6772"/>
      </w:tblGrid>
      <w:tr>
        <w:trPr>
          <w:cantSplit/>
          <w:tblHeader/>
        </w:trPr>
        <w:tc>
          <w:tcPr>
            <w:tcW w:w="2300" w:type="dxa"/>
            <w:shd w:val="clear" w:color="auto" w:fill="D9D9D9"/>
            <w:vAlign w:val="center"/>
          </w:tcPr>
          <w:p>
            <w:pPr>
              <w:spacing w:before="20" w:after="20"/>
              <w:jc w:val="left"/>
            </w:pPr>
            <w:r>
              <w:rPr>
                <w:b/>
                <w:bCs/>
                <w:sz w:val="20"/>
                <w:szCs w:val="20"/>
              </w:rPr>
              <w:t xml:space="preserve">Terim</w:t>
            </w:r>
          </w:p>
        </w:tc>
        <w:tc>
          <w:tcPr>
            <w:tcW w:w="6772" w:type="dxa"/>
            <w:shd w:val="clear" w:color="auto" w:fill="D9D9D9"/>
            <w:vAlign w:val="center"/>
          </w:tcPr>
          <w:p>
            <w:pPr>
              <w:spacing w:before="20" w:after="20"/>
              <w:jc w:val="left"/>
            </w:pPr>
            <w:r>
              <w:rPr>
                <w:b/>
                <w:bCs/>
                <w:sz w:val="20"/>
                <w:szCs w:val="20"/>
              </w:rPr>
              <w:t xml:space="preserve">Tanım</w:t>
            </w:r>
          </w:p>
        </w:tc>
      </w:tr>
      <w:tr>
        <w:trPr>
          <w:cantSplit/>
        </w:trPr>
        <w:tc>
          <w:tcPr>
            <w:tcW w:w="2300" w:type="dxa"/>
            <w:vAlign w:val="center"/>
          </w:tcPr>
          <w:p>
            <w:pPr>
              <w:spacing w:before="20" w:after="20"/>
              <w:jc w:val="left"/>
            </w:pPr>
            <w:r>
              <w:rPr>
                <w:sz w:val="20"/>
                <w:szCs w:val="20"/>
              </w:rPr>
              <w:t xml:space="preserve">Kontrol alanı</w:t>
            </w:r>
          </w:p>
        </w:tc>
        <w:tc>
          <w:tcPr>
            <w:tcW w:w="6772" w:type="dxa"/>
            <w:vAlign w:val="center"/>
          </w:tcPr>
          <w:p>
            <w:pPr>
              <w:spacing w:before="20" w:after="20"/>
              <w:jc w:val="left"/>
            </w:pPr>
            <w:r>
              <w:rPr>
                <w:sz w:val="20"/>
                <w:szCs w:val="20"/>
              </w:rPr>
              <w:t xml:space="preserve">Benzer güvenlik hedeflerine hizmet eden kontrollerin gruplandığı alan (ör. Kimlik ve Erişim Yönetimi).</w:t>
            </w:r>
          </w:p>
        </w:tc>
      </w:tr>
      <w:tr>
        <w:trPr>
          <w:cantSplit/>
        </w:trPr>
        <w:tc>
          <w:tcPr>
            <w:tcW w:w="2300" w:type="dxa"/>
            <w:vAlign w:val="center"/>
          </w:tcPr>
          <w:p>
            <w:pPr>
              <w:spacing w:before="20" w:after="20"/>
              <w:jc w:val="left"/>
            </w:pPr>
            <w:r>
              <w:rPr>
                <w:sz w:val="20"/>
                <w:szCs w:val="20"/>
              </w:rPr>
              <w:t xml:space="preserve">Boyut</w:t>
            </w:r>
          </w:p>
        </w:tc>
        <w:tc>
          <w:tcPr>
            <w:tcW w:w="6772" w:type="dxa"/>
            <w:vAlign w:val="center"/>
          </w:tcPr>
          <w:p>
            <w:pPr>
              <w:spacing w:before="20" w:after="20"/>
              <w:jc w:val="left"/>
            </w:pPr>
            <w:r>
              <w:rPr>
                <w:sz w:val="20"/>
                <w:szCs w:val="20"/>
              </w:rPr>
              <w:t xml:space="preserve">Bir kontrolün İnsan, Süreç veya Teknoloji açısından olgunluğu. Boyutlar birbirinden bağımsız yanıtlanır.</w:t>
            </w:r>
          </w:p>
        </w:tc>
      </w:tr>
      <w:tr>
        <w:trPr>
          <w:cantSplit/>
        </w:trPr>
        <w:tc>
          <w:tcPr>
            <w:tcW w:w="2300" w:type="dxa"/>
            <w:vAlign w:val="center"/>
          </w:tcPr>
          <w:p>
            <w:pPr>
              <w:spacing w:before="20" w:after="20"/>
              <w:jc w:val="left"/>
            </w:pPr>
            <w:r>
              <w:rPr>
                <w:sz w:val="20"/>
                <w:szCs w:val="20"/>
              </w:rPr>
              <w:t xml:space="preserve">Olgunluk puanı</w:t>
            </w:r>
          </w:p>
        </w:tc>
        <w:tc>
          <w:tcPr>
            <w:tcW w:w="6772" w:type="dxa"/>
            <w:vAlign w:val="center"/>
          </w:tcPr>
          <w:p>
            <w:pPr>
              <w:spacing w:before="20" w:after="20"/>
              <w:jc w:val="left"/>
            </w:pPr>
            <w:r>
              <w:rPr>
                <w:sz w:val="20"/>
                <w:szCs w:val="20"/>
              </w:rPr>
              <w:t xml:space="preserve">1–5 arası, etki seviyesine göre ağırlıklandırılmış ortalama. Ondalıklı puan, Tablo 3’teki puan aralıklarına göre bir seviyeye karşılık gelir.</w:t>
            </w:r>
          </w:p>
        </w:tc>
      </w:tr>
      <w:tr>
        <w:trPr>
          <w:cantSplit/>
        </w:trPr>
        <w:tc>
          <w:tcPr>
            <w:tcW w:w="2300" w:type="dxa"/>
            <w:vAlign w:val="center"/>
          </w:tcPr>
          <w:p>
            <w:pPr>
              <w:spacing w:before="20" w:after="20"/>
              <w:jc w:val="left"/>
            </w:pPr>
            <w:r>
              <w:rPr>
                <w:sz w:val="20"/>
                <w:szCs w:val="20"/>
              </w:rPr>
              <w:t xml:space="preserve">Kapsam Dışı</w:t>
            </w:r>
          </w:p>
        </w:tc>
        <w:tc>
          <w:tcPr>
            <w:tcW w:w="6772" w:type="dxa"/>
            <w:vAlign w:val="center"/>
          </w:tcPr>
          <w:p>
            <w:pPr>
              <w:spacing w:before="20" w:after="20"/>
              <w:jc w:val="left"/>
            </w:pPr>
            <w:r>
              <w:rPr>
                <w:sz w:val="20"/>
                <w:szCs w:val="20"/>
              </w:rPr>
              <w:t xml:space="preserve">Yanıt verenin kurum için geçerli olmadığını belirttiği boyut. Hesaplamalara dahil edilmez.</w:t>
            </w:r>
          </w:p>
        </w:tc>
      </w:tr>
      <w:tr>
        <w:trPr>
          <w:cantSplit/>
        </w:trPr>
        <w:tc>
          <w:tcPr>
            <w:tcW w:w="2300" w:type="dxa"/>
            <w:vAlign w:val="center"/>
          </w:tcPr>
          <w:p>
            <w:pPr>
              <w:spacing w:before="20" w:after="20"/>
              <w:jc w:val="left"/>
            </w:pPr>
            <w:r>
              <w:rPr>
                <w:sz w:val="20"/>
                <w:szCs w:val="20"/>
              </w:rPr>
              <w:t xml:space="preserve">Yanıtlanmamış</w:t>
            </w:r>
          </w:p>
        </w:tc>
        <w:tc>
          <w:tcPr>
            <w:tcW w:w="6772" w:type="dxa"/>
            <w:vAlign w:val="center"/>
          </w:tcPr>
          <w:p>
            <w:pPr>
              <w:spacing w:before="20" w:after="20"/>
              <w:jc w:val="left"/>
            </w:pPr>
            <w:r>
              <w:rPr>
                <w:sz w:val="20"/>
                <w:szCs w:val="20"/>
              </w:rPr>
              <w:t xml:space="preserve">Seviye seçilmemiş boyut. İhtiyatlılık gereği en düşük seviye (1) kabul edilir.</w:t>
            </w:r>
          </w:p>
        </w:tc>
      </w:tr>
      <w:tr>
        <w:trPr>
          <w:cantSplit/>
        </w:trPr>
        <w:tc>
          <w:tcPr>
            <w:tcW w:w="2300" w:type="dxa"/>
            <w:vAlign w:val="center"/>
          </w:tcPr>
          <w:p>
            <w:pPr>
              <w:spacing w:before="20" w:after="20"/>
              <w:jc w:val="left"/>
            </w:pPr>
            <w:r>
              <w:rPr>
                <w:sz w:val="20"/>
                <w:szCs w:val="20"/>
              </w:rPr>
              <w:t xml:space="preserve">Uygulanamaz</w:t>
            </w:r>
          </w:p>
        </w:tc>
        <w:tc>
          <w:tcPr>
            <w:tcW w:w="6772" w:type="dxa"/>
            <w:vAlign w:val="center"/>
          </w:tcPr>
          <w:p>
            <w:pPr>
              <w:spacing w:before="20" w:after="20"/>
              <w:jc w:val="left"/>
            </w:pPr>
            <w:r>
              <w:rPr>
                <w:sz w:val="20"/>
                <w:szCs w:val="20"/>
              </w:rPr>
              <w:t xml:space="preserve">Soru tasarımı gereği ilgili boyutu bulunmayan durum.</w:t>
            </w:r>
          </w:p>
        </w:tc>
      </w:tr>
      <w:tr>
        <w:trPr>
          <w:cantSplit/>
        </w:trPr>
        <w:tc>
          <w:tcPr>
            <w:tcW w:w="2300" w:type="dxa"/>
            <w:vAlign w:val="center"/>
          </w:tcPr>
          <w:p>
            <w:pPr>
              <w:spacing w:before="20" w:after="20"/>
              <w:jc w:val="left"/>
            </w:pPr>
            <w:r>
              <w:rPr>
                <w:sz w:val="20"/>
                <w:szCs w:val="20"/>
              </w:rPr>
              <w:t xml:space="preserve">Öncelikli gelişim alanı</w:t>
            </w:r>
          </w:p>
        </w:tc>
        <w:tc>
          <w:tcPr>
            <w:tcW w:w="6772" w:type="dxa"/>
            <w:vAlign w:val="center"/>
          </w:tcPr>
          <w:p>
            <w:pPr>
              <w:spacing w:before="20" w:after="20"/>
              <w:jc w:val="left"/>
            </w:pPr>
            <w:r>
              <w:rPr>
                <w:sz w:val="20"/>
                <w:szCs w:val="20"/>
              </w:rPr>
              <w:t xml:space="preserve">Puanı asgari seviyenin altında kalan kontrol; etki seviyesine göre 1., 2. veya 3. öncelik sınıfına atanır.</w:t>
            </w:r>
          </w:p>
        </w:tc>
      </w:tr>
      <w:tr>
        <w:trPr>
          <w:cantSplit/>
        </w:trPr>
        <w:tc>
          <w:tcPr>
            <w:tcW w:w="2300" w:type="dxa"/>
            <w:vAlign w:val="center"/>
          </w:tcPr>
          <w:p>
            <w:pPr>
              <w:spacing w:before="20" w:after="20"/>
              <w:jc w:val="left"/>
            </w:pPr>
            <w:r>
              <w:rPr>
                <w:sz w:val="20"/>
                <w:szCs w:val="20"/>
              </w:rPr>
              <w:t xml:space="preserve">Değerlendirme notu</w:t>
            </w:r>
          </w:p>
        </w:tc>
        <w:tc>
          <w:tcPr>
            <w:tcW w:w="6772" w:type="dxa"/>
            <w:vAlign w:val="center"/>
          </w:tcPr>
          <w:p>
            <w:pPr>
              <w:spacing w:before="20" w:after="20"/>
              <w:jc w:val="left"/>
            </w:pPr>
            <w:r>
              <w:rPr>
                <w:sz w:val="20"/>
                <w:szCs w:val="20"/>
              </w:rPr>
              <w:t xml:space="preserve">Yanıtlar arasında görülen ve kurumla birlikte teyit edilmesi önerilen uyumsuzluk (ör. bir konunun kapsam dışı belirtilip ilgili başka bir soruda uygulandığının belirtilmesi).</w:t>
            </w:r>
          </w:p>
        </w:tc>
      </w:tr>
      <w:tr>
        <w:trPr>
          <w:cantSplit/>
        </w:trPr>
        <w:tc>
          <w:tcPr>
            <w:tcW w:w="2300" w:type="dxa"/>
            <w:vAlign w:val="center"/>
          </w:tcPr>
          <w:p>
            <w:pPr>
              <w:spacing w:before="20" w:after="20"/>
              <w:jc w:val="left"/>
            </w:pPr>
            <w:r>
              <w:rPr>
                <w:sz w:val="20"/>
                <w:szCs w:val="20"/>
              </w:rPr>
              <w:t xml:space="preserve">Regülatif uyum sinyali</w:t>
            </w:r>
          </w:p>
        </w:tc>
        <w:tc>
          <w:tcPr>
            <w:tcW w:w="6772" w:type="dxa"/>
            <w:vAlign w:val="center"/>
          </w:tcPr>
          <w:p>
            <w:pPr>
              <w:spacing w:before="20" w:after="20"/>
              <w:jc w:val="left"/>
            </w:pPr>
            <w:r>
              <w:rPr>
                <w:sz w:val="20"/>
                <w:szCs w:val="20"/>
              </w:rPr>
              <w:t xml:space="preserve">Bir mevzuat veya standartla ilişkili kontrollerin asgari seviyeyi sağlayıp sağlamadığına dair yönlendirici gösterge.</w:t>
            </w:r>
          </w:p>
        </w:tc>
      </w:tr>
    </w:tbl>
    <w:p>
      <w:pPr>
        <w:spacing w:before="0" w:after="60"/>
      </w:pPr>
      <w:r>
        <w:rPr>
          <w:sz w:val="8"/>
          <w:szCs w:val="8"/>
        </w:rPr>
        <w:t xml:space="preserve"/>
      </w:r>
    </w:p>
    <w:p>
      <w:pPr>
        <w:pStyle w:val="Heading1"/>
        <w:pageBreakBefore/>
      </w:pPr>
      <w:r>
        <w:t xml:space="preserve">Olgunluk Değerlendirmesi</w:t>
      </w:r>
    </w:p>
    <w:p>
      <w:pPr>
        <w:pStyle w:val="Heading2"/>
      </w:pPr>
      <w:r>
        <w:t xml:space="preserve">İnsan, Süreç ve Teknoloji Boyutları</w:t>
      </w:r>
    </w:p>
    <w:p>
      <w:r>
        <w:t xml:space="preserve">Boyut bazında en yüksek olgunluk Teknoloji (3,3), en düşük olgunluk Süreç (1,7) boyutundadır. Asgari seviyenin altında kalan boyutlar, kontrollerin kurum geneline yaygınlaştırılmasında gelişim alanı bulunduğunu göstermektedir.</w:t>
      </w:r>
    </w:p>
    <w:p>
      <w:pPr>
        <w:keepNext/>
        <w:spacing w:before="120" w:after="0"/>
        <w:jc w:val="center"/>
      </w:pPr>
      <w:r>
        <w:drawing>
          <wp:inline xmlns:wp="http://schemas.openxmlformats.org/drawingml/2006/wordprocessingDrawing" distT="0" distB="0" distL="0" distR="0">
            <wp:extent cx="5760000" cy="1394526"/>
            <wp:effectExtent l="0" t="0" r="0" b="0"/>
            <wp:docPr id="1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qa_chart2.png"/>
                    <pic:cNvPicPr/>
                  </pic:nvPicPr>
                  <pic:blipFill>
                    <a:blip xmlns:r="http://schemas.openxmlformats.org/officeDocument/2006/relationships" r:embed="rIdQaImg2"/>
                    <a:stretch>
                      <a:fillRect/>
                    </a:stretch>
                  </pic:blipFill>
                  <pic:spPr>
                    <a:xfrm>
                      <a:off x="0" y="0"/>
                      <a:ext cx="5760000" cy="1394526"/>
                    </a:xfrm>
                    <a:prstGeom prst="rect">
                      <a:avLst/>
                    </a:prstGeom>
                  </pic:spPr>
                </pic:pic>
              </a:graphicData>
            </a:graphic>
          </wp:inline>
        </w:drawing>
      </w:r>
    </w:p>
    <w:p>
      <w:pPr>
        <w:pStyle w:val="Caption"/>
        <w:jc w:val="center"/>
      </w:pPr>
      <w:r>
        <w:t xml:space="preserve">Şekil 2 – Boyut bazında olgunluk puanları</w:t>
      </w:r>
    </w:p>
    <w:p>
      <w:pPr>
        <w:pStyle w:val="Caption"/>
        <w:keepNext/>
      </w:pPr>
      <w:r>
        <w:t xml:space="preserve">Tablo 7 – Boyut bazında sonuçlar</w:t>
      </w:r>
    </w:p>
    <w:tbl>
      <w:tblPr>
        <w:tblStyle w:val="TableGrid"/>
        <w:tblW w:w="9072" w:type="dxa"/>
        <w:tblLayout w:type="fixed"/>
        <w:tblCellMar>
          <w:left w:w="85" w:type="dxa"/>
          <w:right w:w="85" w:type="dxa"/>
        </w:tblCellMar>
        <w:tblLook w:val="04A0" w:firstRow="1" w:lastRow="0" w:firstColumn="1" w:lastColumn="0" w:noHBand="0" w:noVBand="1"/>
      </w:tblPr>
      <w:tblGrid>
        <w:gridCol w:w="2272"/>
        <w:gridCol w:w="1400"/>
        <w:gridCol w:w="2700"/>
        <w:gridCol w:w="2700"/>
      </w:tblGrid>
      <w:tr>
        <w:trPr>
          <w:cantSplit/>
          <w:tblHeader/>
        </w:trPr>
        <w:tc>
          <w:tcPr>
            <w:tcW w:w="2272" w:type="dxa"/>
            <w:shd w:val="clear" w:color="auto" w:fill="D9D9D9"/>
            <w:vAlign w:val="center"/>
          </w:tcPr>
          <w:p>
            <w:pPr>
              <w:spacing w:before="20" w:after="20"/>
              <w:jc w:val="left"/>
            </w:pPr>
            <w:r>
              <w:rPr>
                <w:b/>
                <w:bCs/>
                <w:sz w:val="20"/>
                <w:szCs w:val="20"/>
              </w:rPr>
              <w:t xml:space="preserve">Boyut</w:t>
            </w:r>
          </w:p>
        </w:tc>
        <w:tc>
          <w:tcPr>
            <w:tcW w:w="1400" w:type="dxa"/>
            <w:shd w:val="clear" w:color="auto" w:fill="D9D9D9"/>
            <w:vAlign w:val="center"/>
          </w:tcPr>
          <w:p>
            <w:pPr>
              <w:spacing w:before="20" w:after="20"/>
              <w:jc w:val="left"/>
            </w:pPr>
            <w:r>
              <w:rPr>
                <w:b/>
                <w:bCs/>
                <w:sz w:val="20"/>
                <w:szCs w:val="20"/>
              </w:rPr>
              <w:t xml:space="preserve">Puan</w:t>
            </w:r>
          </w:p>
        </w:tc>
        <w:tc>
          <w:tcPr>
            <w:tcW w:w="2700" w:type="dxa"/>
            <w:shd w:val="clear" w:color="auto" w:fill="D9D9D9"/>
            <w:vAlign w:val="center"/>
          </w:tcPr>
          <w:p>
            <w:pPr>
              <w:spacing w:before="20" w:after="20"/>
              <w:jc w:val="left"/>
            </w:pPr>
            <w:r>
              <w:rPr>
                <w:b/>
                <w:bCs/>
                <w:sz w:val="20"/>
                <w:szCs w:val="20"/>
              </w:rPr>
              <w:t xml:space="preserve">Seviye</w:t>
            </w:r>
          </w:p>
        </w:tc>
        <w:tc>
          <w:tcPr>
            <w:tcW w:w="2700" w:type="dxa"/>
            <w:shd w:val="clear" w:color="auto" w:fill="D9D9D9"/>
            <w:vAlign w:val="center"/>
          </w:tcPr>
          <w:p>
            <w:pPr>
              <w:spacing w:before="20" w:after="20"/>
              <w:jc w:val="left"/>
            </w:pPr>
            <w:r>
              <w:rPr>
                <w:b/>
                <w:bCs/>
                <w:sz w:val="20"/>
                <w:szCs w:val="20"/>
              </w:rPr>
              <w:t xml:space="preserve">Asgari altı soru</w:t>
            </w:r>
          </w:p>
        </w:tc>
      </w:tr>
      <w:tr>
        <w:trPr>
          <w:cantSplit/>
        </w:trPr>
        <w:tc>
          <w:tcPr>
            <w:tcW w:w="2272" w:type="dxa"/>
            <w:vAlign w:val="center"/>
          </w:tcPr>
          <w:p>
            <w:pPr>
              <w:spacing w:before="20" w:after="20"/>
              <w:jc w:val="left"/>
            </w:pPr>
            <w:r>
              <w:rPr>
                <w:sz w:val="20"/>
                <w:szCs w:val="20"/>
              </w:rPr>
              <w:t xml:space="preserve">İnsan</w:t>
            </w:r>
          </w:p>
        </w:tc>
        <w:tc>
          <w:tcPr>
            <w:tcW w:w="1400" w:type="dxa"/>
            <w:vAlign w:val="center"/>
          </w:tcPr>
          <w:p>
            <w:pPr>
              <w:spacing w:before="20" w:after="20"/>
              <w:jc w:val="center"/>
            </w:pPr>
            <w:r>
              <w:rPr>
                <w:b/>
                <w:bCs/>
                <w:sz w:val="20"/>
                <w:szCs w:val="20"/>
              </w:rPr>
              <w:t xml:space="preserve">2,4</w:t>
            </w:r>
          </w:p>
        </w:tc>
        <w:tc>
          <w:tcPr>
            <w:tcW w:w="2700" w:type="dxa"/>
            <w:vAlign w:val="center"/>
          </w:tcPr>
          <w:p>
            <w:pPr>
              <w:spacing w:before="20" w:after="20"/>
              <w:jc w:val="left"/>
            </w:pPr>
            <w:r>
              <w:rPr>
                <w:sz w:val="20"/>
                <w:szCs w:val="20"/>
              </w:rPr>
              <w:t xml:space="preserve">Başlangıç Seviyesi</w:t>
            </w:r>
          </w:p>
        </w:tc>
        <w:tc>
          <w:tcPr>
            <w:tcW w:w="2700" w:type="dxa"/>
            <w:vAlign w:val="center"/>
          </w:tcPr>
          <w:p>
            <w:pPr>
              <w:spacing w:before="20" w:after="20"/>
              <w:jc w:val="center"/>
            </w:pPr>
            <w:r>
              <w:rPr>
                <w:sz w:val="20"/>
                <w:szCs w:val="20"/>
              </w:rPr>
              <w:t xml:space="preserve">16 / 29</w:t>
            </w:r>
          </w:p>
        </w:tc>
      </w:tr>
      <w:tr>
        <w:trPr>
          <w:cantSplit/>
        </w:trPr>
        <w:tc>
          <w:tcPr>
            <w:tcW w:w="2272" w:type="dxa"/>
            <w:vAlign w:val="center"/>
          </w:tcPr>
          <w:p>
            <w:pPr>
              <w:spacing w:before="20" w:after="20"/>
              <w:jc w:val="left"/>
            </w:pPr>
            <w:r>
              <w:rPr>
                <w:sz w:val="20"/>
                <w:szCs w:val="20"/>
              </w:rPr>
              <w:t xml:space="preserve">Süreç</w:t>
            </w:r>
          </w:p>
        </w:tc>
        <w:tc>
          <w:tcPr>
            <w:tcW w:w="1400" w:type="dxa"/>
            <w:vAlign w:val="center"/>
          </w:tcPr>
          <w:p>
            <w:pPr>
              <w:spacing w:before="20" w:after="20"/>
              <w:jc w:val="center"/>
            </w:pPr>
            <w:r>
              <w:rPr>
                <w:b/>
                <w:bCs/>
                <w:sz w:val="20"/>
                <w:szCs w:val="20"/>
              </w:rPr>
              <w:t xml:space="preserve">1,7</w:t>
            </w:r>
          </w:p>
        </w:tc>
        <w:tc>
          <w:tcPr>
            <w:tcW w:w="2700" w:type="dxa"/>
            <w:vAlign w:val="center"/>
          </w:tcPr>
          <w:p>
            <w:pPr>
              <w:spacing w:before="20" w:after="20"/>
              <w:jc w:val="left"/>
            </w:pPr>
            <w:r>
              <w:rPr>
                <w:sz w:val="20"/>
                <w:szCs w:val="20"/>
              </w:rPr>
              <w:t xml:space="preserve">Geliştirilmesi Gereken</w:t>
            </w:r>
          </w:p>
        </w:tc>
        <w:tc>
          <w:tcPr>
            <w:tcW w:w="2700" w:type="dxa"/>
            <w:vAlign w:val="center"/>
          </w:tcPr>
          <w:p>
            <w:pPr>
              <w:spacing w:before="20" w:after="20"/>
              <w:jc w:val="center"/>
            </w:pPr>
            <w:r>
              <w:rPr>
                <w:sz w:val="20"/>
                <w:szCs w:val="20"/>
              </w:rPr>
              <w:t xml:space="preserve">25 / 29</w:t>
            </w:r>
          </w:p>
        </w:tc>
      </w:tr>
      <w:tr>
        <w:trPr>
          <w:cantSplit/>
        </w:trPr>
        <w:tc>
          <w:tcPr>
            <w:tcW w:w="2272" w:type="dxa"/>
            <w:vAlign w:val="center"/>
          </w:tcPr>
          <w:p>
            <w:pPr>
              <w:spacing w:before="20" w:after="20"/>
              <w:jc w:val="left"/>
            </w:pPr>
            <w:r>
              <w:rPr>
                <w:sz w:val="20"/>
                <w:szCs w:val="20"/>
              </w:rPr>
              <w:t xml:space="preserve">Teknoloji</w:t>
            </w:r>
          </w:p>
        </w:tc>
        <w:tc>
          <w:tcPr>
            <w:tcW w:w="1400" w:type="dxa"/>
            <w:vAlign w:val="center"/>
          </w:tcPr>
          <w:p>
            <w:pPr>
              <w:spacing w:before="20" w:after="20"/>
              <w:jc w:val="center"/>
            </w:pPr>
            <w:r>
              <w:rPr>
                <w:b/>
                <w:bCs/>
                <w:sz w:val="20"/>
                <w:szCs w:val="20"/>
              </w:rPr>
              <w:t xml:space="preserve">3,3</w:t>
            </w:r>
          </w:p>
        </w:tc>
        <w:tc>
          <w:tcPr>
            <w:tcW w:w="2700" w:type="dxa"/>
            <w:vAlign w:val="center"/>
          </w:tcPr>
          <w:p>
            <w:pPr>
              <w:spacing w:before="20" w:after="20"/>
              <w:jc w:val="left"/>
            </w:pPr>
            <w:r>
              <w:rPr>
                <w:sz w:val="20"/>
                <w:szCs w:val="20"/>
              </w:rPr>
              <w:t xml:space="preserve">Yeterli Seviye</w:t>
            </w:r>
          </w:p>
        </w:tc>
        <w:tc>
          <w:tcPr>
            <w:tcW w:w="2700" w:type="dxa"/>
            <w:vAlign w:val="center"/>
          </w:tcPr>
          <w:p>
            <w:pPr>
              <w:spacing w:before="20" w:after="20"/>
              <w:jc w:val="center"/>
            </w:pPr>
            <w:r>
              <w:rPr>
                <w:sz w:val="20"/>
                <w:szCs w:val="20"/>
              </w:rPr>
              <w:t xml:space="preserve">4 / 29</w:t>
            </w:r>
          </w:p>
        </w:tc>
      </w:tr>
    </w:tbl>
    <w:p>
      <w:pPr>
        <w:spacing w:before="0" w:after="60"/>
      </w:pPr>
      <w:r>
        <w:rPr>
          <w:sz w:val="8"/>
          <w:szCs w:val="8"/>
        </w:rPr>
        <w:t xml:space="preserve"/>
      </w:r>
    </w:p>
    <w:p>
      <w:pPr>
        <w:pStyle w:val="Heading2"/>
      </w:pPr>
      <w:r>
        <w:t xml:space="preserve">Kontrol Alanları</w:t>
      </w:r>
    </w:p>
    <w:p>
      <w:r>
        <w:t xml:space="preserve">10 kontrol alanından 2 tanesi asgari seviyede veya üzerindedir. En yüksek puan İnsan Kaynakları Güvenliği (3,0), en düşük puan Fiziksel Güvenlik (2,0) alanındadır. Kesikli çizgi asgari seviyeyi (3,0) gösterir.</w:t>
      </w:r>
    </w:p>
    <w:p>
      <w:pPr>
        <w:keepNext/>
        <w:spacing w:before="120" w:after="0"/>
        <w:jc w:val="center"/>
      </w:pPr>
      <w:r>
        <w:drawing>
          <wp:inline xmlns:wp="http://schemas.openxmlformats.org/drawingml/2006/wordprocessingDrawing" distT="0" distB="0" distL="0" distR="0">
            <wp:extent cx="5400000" cy="4263158"/>
            <wp:effectExtent l="0" t="0" r="0" b="0"/>
            <wp:docPr id="10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qa_chart3.png"/>
                    <pic:cNvPicPr/>
                  </pic:nvPicPr>
                  <pic:blipFill>
                    <a:blip xmlns:r="http://schemas.openxmlformats.org/officeDocument/2006/relationships" r:embed="rIdQaImg3"/>
                    <a:stretch>
                      <a:fillRect/>
                    </a:stretch>
                  </pic:blipFill>
                  <pic:spPr>
                    <a:xfrm>
                      <a:off x="0" y="0"/>
                      <a:ext cx="5400000" cy="4263158"/>
                    </a:xfrm>
                    <a:prstGeom prst="rect">
                      <a:avLst/>
                    </a:prstGeom>
                  </pic:spPr>
                </pic:pic>
              </a:graphicData>
            </a:graphic>
          </wp:inline>
        </w:drawing>
      </w:r>
    </w:p>
    <w:p>
      <w:pPr>
        <w:pStyle w:val="Caption"/>
        <w:jc w:val="center"/>
      </w:pPr>
      <w:r>
        <w:t xml:space="preserve">Şekil 3 – Kontrol alanlarının olgunluk profili</w:t>
      </w:r>
    </w:p>
    <w:p>
      <w:pPr>
        <w:keepNext/>
        <w:spacing w:before="120" w:after="0"/>
        <w:jc w:val="center"/>
      </w:pPr>
      <w:r>
        <w:drawing>
          <wp:inline xmlns:wp="http://schemas.openxmlformats.org/drawingml/2006/wordprocessingDrawing" distT="0" distB="0" distL="0" distR="0">
            <wp:extent cx="5760000" cy="2455579"/>
            <wp:effectExtent l="0" t="0" r="0" b="0"/>
            <wp:docPr id="10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qa_chart4.png"/>
                    <pic:cNvPicPr/>
                  </pic:nvPicPr>
                  <pic:blipFill>
                    <a:blip xmlns:r="http://schemas.openxmlformats.org/officeDocument/2006/relationships" r:embed="rIdQaImg4"/>
                    <a:stretch>
                      <a:fillRect/>
                    </a:stretch>
                  </pic:blipFill>
                  <pic:spPr>
                    <a:xfrm>
                      <a:off x="0" y="0"/>
                      <a:ext cx="5760000" cy="2455579"/>
                    </a:xfrm>
                    <a:prstGeom prst="rect">
                      <a:avLst/>
                    </a:prstGeom>
                  </pic:spPr>
                </pic:pic>
              </a:graphicData>
            </a:graphic>
          </wp:inline>
        </w:drawing>
      </w:r>
    </w:p>
    <w:p>
      <w:pPr>
        <w:pStyle w:val="Caption"/>
        <w:jc w:val="center"/>
      </w:pPr>
      <w:r>
        <w:t xml:space="preserve">Şekil 4 – Kontrol alanı × boyut ısı haritası (düşükten yükseğe)</w:t>
      </w:r>
    </w:p>
    <w:p>
      <w:pPr>
        <w:pStyle w:val="Caption"/>
        <w:keepNext/>
      </w:pPr>
      <w:r>
        <w:t xml:space="preserve">Tablo 8 – Kontrol alanı bazında sonuçlar</w:t>
      </w:r>
    </w:p>
    <w:tbl>
      <w:tblPr>
        <w:tblStyle w:val="TableGrid"/>
        <w:tblW w:w="9072" w:type="dxa"/>
        <w:tblLayout w:type="fixed"/>
        <w:tblCellMar>
          <w:left w:w="85" w:type="dxa"/>
          <w:right w:w="85" w:type="dxa"/>
        </w:tblCellMar>
        <w:tblLook w:val="04A0" w:firstRow="1" w:lastRow="0" w:firstColumn="1" w:lastColumn="0" w:noHBand="0" w:noVBand="1"/>
      </w:tblPr>
      <w:tblGrid>
        <w:gridCol w:w="3172"/>
        <w:gridCol w:w="900"/>
        <w:gridCol w:w="1000"/>
        <w:gridCol w:w="1000"/>
        <w:gridCol w:w="1000"/>
        <w:gridCol w:w="900"/>
        <w:gridCol w:w="1100"/>
      </w:tblGrid>
      <w:tr>
        <w:trPr>
          <w:cantSplit/>
          <w:tblHeader/>
        </w:trPr>
        <w:tc>
          <w:tcPr>
            <w:tcW w:w="3172" w:type="dxa"/>
            <w:shd w:val="clear" w:color="auto" w:fill="D9D9D9"/>
            <w:vAlign w:val="center"/>
          </w:tcPr>
          <w:p>
            <w:pPr>
              <w:spacing w:before="20" w:after="20"/>
              <w:jc w:val="left"/>
            </w:pPr>
            <w:r>
              <w:rPr>
                <w:b/>
                <w:bCs/>
                <w:sz w:val="18"/>
                <w:szCs w:val="18"/>
              </w:rPr>
              <w:t xml:space="preserve">Kontrol alanı</w:t>
            </w:r>
          </w:p>
        </w:tc>
        <w:tc>
          <w:tcPr>
            <w:tcW w:w="900" w:type="dxa"/>
            <w:shd w:val="clear" w:color="auto" w:fill="D9D9D9"/>
            <w:vAlign w:val="center"/>
          </w:tcPr>
          <w:p>
            <w:pPr>
              <w:spacing w:before="20" w:after="20"/>
              <w:jc w:val="left"/>
            </w:pPr>
            <w:r>
              <w:rPr>
                <w:b/>
                <w:bCs/>
                <w:sz w:val="18"/>
                <w:szCs w:val="18"/>
              </w:rPr>
              <w:t xml:space="preserve">Soru</w:t>
            </w:r>
          </w:p>
        </w:tc>
        <w:tc>
          <w:tcPr>
            <w:tcW w:w="1000" w:type="dxa"/>
            <w:shd w:val="clear" w:color="auto" w:fill="D9D9D9"/>
            <w:vAlign w:val="center"/>
          </w:tcPr>
          <w:p>
            <w:pPr>
              <w:spacing w:before="20" w:after="20"/>
              <w:jc w:val="left"/>
            </w:pPr>
            <w:r>
              <w:rPr>
                <w:b/>
                <w:bCs/>
                <w:sz w:val="18"/>
                <w:szCs w:val="18"/>
              </w:rPr>
              <w:t xml:space="preserve">İnsan</w:t>
            </w:r>
          </w:p>
        </w:tc>
        <w:tc>
          <w:tcPr>
            <w:tcW w:w="1000" w:type="dxa"/>
            <w:shd w:val="clear" w:color="auto" w:fill="D9D9D9"/>
            <w:vAlign w:val="center"/>
          </w:tcPr>
          <w:p>
            <w:pPr>
              <w:spacing w:before="20" w:after="20"/>
              <w:jc w:val="left"/>
            </w:pPr>
            <w:r>
              <w:rPr>
                <w:b/>
                <w:bCs/>
                <w:sz w:val="18"/>
                <w:szCs w:val="18"/>
              </w:rPr>
              <w:t xml:space="preserve">Süreç</w:t>
            </w:r>
          </w:p>
        </w:tc>
        <w:tc>
          <w:tcPr>
            <w:tcW w:w="1000" w:type="dxa"/>
            <w:shd w:val="clear" w:color="auto" w:fill="D9D9D9"/>
            <w:vAlign w:val="center"/>
          </w:tcPr>
          <w:p>
            <w:pPr>
              <w:spacing w:before="20" w:after="20"/>
              <w:jc w:val="left"/>
            </w:pPr>
            <w:r>
              <w:rPr>
                <w:b/>
                <w:bCs/>
                <w:sz w:val="18"/>
                <w:szCs w:val="18"/>
              </w:rPr>
              <w:t xml:space="preserve">Teknoloji</w:t>
            </w:r>
          </w:p>
        </w:tc>
        <w:tc>
          <w:tcPr>
            <w:tcW w:w="900" w:type="dxa"/>
            <w:shd w:val="clear" w:color="auto" w:fill="D9D9D9"/>
            <w:vAlign w:val="center"/>
          </w:tcPr>
          <w:p>
            <w:pPr>
              <w:spacing w:before="20" w:after="20"/>
              <w:jc w:val="left"/>
            </w:pPr>
            <w:r>
              <w:rPr>
                <w:b/>
                <w:bCs/>
                <w:sz w:val="18"/>
                <w:szCs w:val="18"/>
              </w:rPr>
              <w:t xml:space="preserve">Genel</w:t>
            </w:r>
          </w:p>
        </w:tc>
        <w:tc>
          <w:tcPr>
            <w:tcW w:w="1100" w:type="dxa"/>
            <w:shd w:val="clear" w:color="auto" w:fill="D9D9D9"/>
            <w:vAlign w:val="center"/>
          </w:tcPr>
          <w:p>
            <w:pPr>
              <w:spacing w:before="20" w:after="20"/>
              <w:jc w:val="left"/>
            </w:pPr>
            <w:r>
              <w:rPr>
                <w:b/>
                <w:bCs/>
                <w:sz w:val="18"/>
                <w:szCs w:val="18"/>
              </w:rPr>
              <w:t xml:space="preserve">Seviye</w:t>
            </w:r>
          </w:p>
        </w:tc>
      </w:tr>
      <w:tr>
        <w:trPr>
          <w:cantSplit/>
        </w:trPr>
        <w:tc>
          <w:tcPr>
            <w:tcW w:w="3172" w:type="dxa"/>
            <w:vAlign w:val="center"/>
          </w:tcPr>
          <w:p>
            <w:pPr>
              <w:spacing w:before="20" w:after="20"/>
              <w:jc w:val="left"/>
            </w:pPr>
            <w:r>
              <w:rPr>
                <w:sz w:val="18"/>
                <w:szCs w:val="18"/>
              </w:rPr>
              <w:t xml:space="preserve">Varlık ve Yapılandırma Yönetimi</w:t>
            </w:r>
          </w:p>
        </w:tc>
        <w:tc>
          <w:tcPr>
            <w:tcW w:w="900" w:type="dxa"/>
            <w:vAlign w:val="center"/>
          </w:tcPr>
          <w:p>
            <w:pPr>
              <w:spacing w:before="20" w:after="20"/>
              <w:jc w:val="center"/>
            </w:pPr>
            <w:r>
              <w:rPr>
                <w:sz w:val="18"/>
                <w:szCs w:val="18"/>
              </w:rPr>
              <w:t xml:space="preserve">1</w:t>
            </w:r>
          </w:p>
        </w:tc>
        <w:tc>
          <w:tcPr>
            <w:tcW w:w="1000" w:type="dxa"/>
            <w:vAlign w:val="center"/>
          </w:tcPr>
          <w:p>
            <w:pPr>
              <w:spacing w:before="20" w:after="20"/>
              <w:jc w:val="center"/>
            </w:pPr>
            <w:r>
              <w:rPr>
                <w:sz w:val="18"/>
                <w:szCs w:val="18"/>
              </w:rPr>
              <w:t xml:space="preserve">2,0</w:t>
            </w:r>
          </w:p>
        </w:tc>
        <w:tc>
          <w:tcPr>
            <w:tcW w:w="1000" w:type="dxa"/>
            <w:vAlign w:val="center"/>
          </w:tcPr>
          <w:p>
            <w:pPr>
              <w:spacing w:before="20" w:after="20"/>
              <w:jc w:val="center"/>
            </w:pPr>
            <w:r>
              <w:rPr>
                <w:sz w:val="18"/>
                <w:szCs w:val="18"/>
              </w:rPr>
              <w:t xml:space="preserve">1,0</w:t>
            </w:r>
          </w:p>
        </w:tc>
        <w:tc>
          <w:tcPr>
            <w:tcW w:w="1000" w:type="dxa"/>
            <w:vAlign w:val="center"/>
          </w:tcPr>
          <w:p>
            <w:pPr>
              <w:spacing w:before="20" w:after="20"/>
              <w:jc w:val="center"/>
            </w:pPr>
            <w:r>
              <w:rPr>
                <w:sz w:val="18"/>
                <w:szCs w:val="18"/>
              </w:rPr>
              <w:t xml:space="preserve">3,0</w:t>
            </w:r>
          </w:p>
        </w:tc>
        <w:tc>
          <w:tcPr>
            <w:tcW w:w="900" w:type="dxa"/>
            <w:vAlign w:val="center"/>
          </w:tcPr>
          <w:p>
            <w:pPr>
              <w:spacing w:before="20" w:after="20"/>
              <w:jc w:val="center"/>
            </w:pPr>
            <w:r>
              <w:rPr>
                <w:b/>
                <w:bCs/>
                <w:sz w:val="18"/>
                <w:szCs w:val="18"/>
              </w:rPr>
              <w:t xml:space="preserve">2,0</w:t>
            </w:r>
          </w:p>
        </w:tc>
        <w:tc>
          <w:tcPr>
            <w:tcW w:w="1100" w:type="dxa"/>
            <w:vAlign w:val="center"/>
          </w:tcPr>
          <w:p>
            <w:pPr>
              <w:spacing w:before="20" w:after="20"/>
              <w:jc w:val="left"/>
            </w:pPr>
            <w:r>
              <w:rPr>
                <w:sz w:val="18"/>
                <w:szCs w:val="18"/>
              </w:rPr>
              <w:t xml:space="preserve">Başlangıç Seviyesi</w:t>
            </w:r>
          </w:p>
        </w:tc>
      </w:tr>
      <w:tr>
        <w:trPr>
          <w:cantSplit/>
        </w:trPr>
        <w:tc>
          <w:tcPr>
            <w:tcW w:w="3172" w:type="dxa"/>
            <w:vAlign w:val="center"/>
          </w:tcPr>
          <w:p>
            <w:pPr>
              <w:spacing w:before="20" w:after="20"/>
              <w:jc w:val="left"/>
            </w:pPr>
            <w:r>
              <w:rPr>
                <w:sz w:val="18"/>
                <w:szCs w:val="18"/>
              </w:rPr>
              <w:t xml:space="preserve">Fiziksel Güvenlik</w:t>
            </w:r>
          </w:p>
        </w:tc>
        <w:tc>
          <w:tcPr>
            <w:tcW w:w="900" w:type="dxa"/>
            <w:vAlign w:val="center"/>
          </w:tcPr>
          <w:p>
            <w:pPr>
              <w:spacing w:before="20" w:after="20"/>
              <w:jc w:val="center"/>
            </w:pPr>
            <w:r>
              <w:rPr>
                <w:sz w:val="18"/>
                <w:szCs w:val="18"/>
              </w:rPr>
              <w:t xml:space="preserve">1</w:t>
            </w:r>
          </w:p>
        </w:tc>
        <w:tc>
          <w:tcPr>
            <w:tcW w:w="1000" w:type="dxa"/>
            <w:vAlign w:val="center"/>
          </w:tcPr>
          <w:p>
            <w:pPr>
              <w:spacing w:before="20" w:after="20"/>
              <w:jc w:val="center"/>
            </w:pPr>
            <w:r>
              <w:rPr>
                <w:sz w:val="18"/>
                <w:szCs w:val="18"/>
              </w:rPr>
              <w:t xml:space="preserve">2,0</w:t>
            </w:r>
          </w:p>
        </w:tc>
        <w:tc>
          <w:tcPr>
            <w:tcW w:w="1000" w:type="dxa"/>
            <w:vAlign w:val="center"/>
          </w:tcPr>
          <w:p>
            <w:pPr>
              <w:spacing w:before="20" w:after="20"/>
              <w:jc w:val="center"/>
            </w:pPr>
            <w:r>
              <w:rPr>
                <w:sz w:val="18"/>
                <w:szCs w:val="18"/>
              </w:rPr>
              <w:t xml:space="preserve">1,0</w:t>
            </w:r>
          </w:p>
        </w:tc>
        <w:tc>
          <w:tcPr>
            <w:tcW w:w="1000" w:type="dxa"/>
            <w:vAlign w:val="center"/>
          </w:tcPr>
          <w:p>
            <w:pPr>
              <w:spacing w:before="20" w:after="20"/>
              <w:jc w:val="center"/>
            </w:pPr>
            <w:r>
              <w:rPr>
                <w:sz w:val="18"/>
                <w:szCs w:val="18"/>
              </w:rPr>
              <w:t xml:space="preserve">3,0</w:t>
            </w:r>
          </w:p>
        </w:tc>
        <w:tc>
          <w:tcPr>
            <w:tcW w:w="900" w:type="dxa"/>
            <w:vAlign w:val="center"/>
          </w:tcPr>
          <w:p>
            <w:pPr>
              <w:spacing w:before="20" w:after="20"/>
              <w:jc w:val="center"/>
            </w:pPr>
            <w:r>
              <w:rPr>
                <w:b/>
                <w:bCs/>
                <w:sz w:val="18"/>
                <w:szCs w:val="18"/>
              </w:rPr>
              <w:t xml:space="preserve">2,0</w:t>
            </w:r>
          </w:p>
        </w:tc>
        <w:tc>
          <w:tcPr>
            <w:tcW w:w="1100" w:type="dxa"/>
            <w:vAlign w:val="center"/>
          </w:tcPr>
          <w:p>
            <w:pPr>
              <w:spacing w:before="20" w:after="20"/>
              <w:jc w:val="left"/>
            </w:pPr>
            <w:r>
              <w:rPr>
                <w:sz w:val="18"/>
                <w:szCs w:val="18"/>
              </w:rPr>
              <w:t xml:space="preserve">Başlangıç Seviyesi</w:t>
            </w:r>
          </w:p>
        </w:tc>
      </w:tr>
      <w:tr>
        <w:trPr>
          <w:cantSplit/>
        </w:trPr>
        <w:tc>
          <w:tcPr>
            <w:tcW w:w="3172" w:type="dxa"/>
            <w:vAlign w:val="center"/>
          </w:tcPr>
          <w:p>
            <w:pPr>
              <w:spacing w:before="20" w:after="20"/>
              <w:jc w:val="left"/>
            </w:pPr>
            <w:r>
              <w:rPr>
                <w:sz w:val="18"/>
                <w:szCs w:val="18"/>
              </w:rPr>
              <w:t xml:space="preserve">Tehdit ve Zafiyet Yönetimi</w:t>
            </w:r>
          </w:p>
        </w:tc>
        <w:tc>
          <w:tcPr>
            <w:tcW w:w="900" w:type="dxa"/>
            <w:vAlign w:val="center"/>
          </w:tcPr>
          <w:p>
            <w:pPr>
              <w:spacing w:before="20" w:after="20"/>
              <w:jc w:val="center"/>
            </w:pPr>
            <w:r>
              <w:rPr>
                <w:sz w:val="18"/>
                <w:szCs w:val="18"/>
              </w:rPr>
              <w:t xml:space="preserve">3</w:t>
            </w:r>
          </w:p>
        </w:tc>
        <w:tc>
          <w:tcPr>
            <w:tcW w:w="1000" w:type="dxa"/>
            <w:vAlign w:val="center"/>
          </w:tcPr>
          <w:p>
            <w:pPr>
              <w:spacing w:before="20" w:after="20"/>
              <w:jc w:val="center"/>
            </w:pPr>
            <w:r>
              <w:rPr>
                <w:sz w:val="18"/>
                <w:szCs w:val="18"/>
              </w:rPr>
              <w:t xml:space="preserve">2,0</w:t>
            </w:r>
          </w:p>
        </w:tc>
        <w:tc>
          <w:tcPr>
            <w:tcW w:w="1000" w:type="dxa"/>
            <w:vAlign w:val="center"/>
          </w:tcPr>
          <w:p>
            <w:pPr>
              <w:spacing w:before="20" w:after="20"/>
              <w:jc w:val="center"/>
            </w:pPr>
            <w:r>
              <w:rPr>
                <w:sz w:val="18"/>
                <w:szCs w:val="18"/>
              </w:rPr>
              <w:t xml:space="preserve">1,4</w:t>
            </w:r>
          </w:p>
        </w:tc>
        <w:tc>
          <w:tcPr>
            <w:tcW w:w="1000" w:type="dxa"/>
            <w:vAlign w:val="center"/>
          </w:tcPr>
          <w:p>
            <w:pPr>
              <w:spacing w:before="20" w:after="20"/>
              <w:jc w:val="center"/>
            </w:pPr>
            <w:r>
              <w:rPr>
                <w:sz w:val="18"/>
                <w:szCs w:val="18"/>
              </w:rPr>
              <w:t xml:space="preserve">3,0</w:t>
            </w:r>
          </w:p>
        </w:tc>
        <w:tc>
          <w:tcPr>
            <w:tcW w:w="900" w:type="dxa"/>
            <w:vAlign w:val="center"/>
          </w:tcPr>
          <w:p>
            <w:pPr>
              <w:spacing w:before="20" w:after="20"/>
              <w:jc w:val="center"/>
            </w:pPr>
            <w:r>
              <w:rPr>
                <w:b/>
                <w:bCs/>
                <w:sz w:val="18"/>
                <w:szCs w:val="18"/>
              </w:rPr>
              <w:t xml:space="preserve">2,1</w:t>
            </w:r>
          </w:p>
        </w:tc>
        <w:tc>
          <w:tcPr>
            <w:tcW w:w="1100" w:type="dxa"/>
            <w:vAlign w:val="center"/>
          </w:tcPr>
          <w:p>
            <w:pPr>
              <w:spacing w:before="20" w:after="20"/>
              <w:jc w:val="left"/>
            </w:pPr>
            <w:r>
              <w:rPr>
                <w:sz w:val="18"/>
                <w:szCs w:val="18"/>
              </w:rPr>
              <w:t xml:space="preserve">Başlangıç Seviyesi</w:t>
            </w:r>
          </w:p>
        </w:tc>
      </w:tr>
      <w:tr>
        <w:trPr>
          <w:cantSplit/>
        </w:trPr>
        <w:tc>
          <w:tcPr>
            <w:tcW w:w="3172" w:type="dxa"/>
            <w:vAlign w:val="center"/>
          </w:tcPr>
          <w:p>
            <w:pPr>
              <w:spacing w:before="20" w:after="20"/>
              <w:jc w:val="left"/>
            </w:pPr>
            <w:r>
              <w:rPr>
                <w:sz w:val="18"/>
                <w:szCs w:val="18"/>
              </w:rPr>
              <w:t xml:space="preserve">Kimlik ve Erişim Yönetimi</w:t>
            </w:r>
          </w:p>
        </w:tc>
        <w:tc>
          <w:tcPr>
            <w:tcW w:w="900" w:type="dxa"/>
            <w:vAlign w:val="center"/>
          </w:tcPr>
          <w:p>
            <w:pPr>
              <w:spacing w:before="20" w:after="20"/>
              <w:jc w:val="center"/>
            </w:pPr>
            <w:r>
              <w:rPr>
                <w:sz w:val="18"/>
                <w:szCs w:val="18"/>
              </w:rPr>
              <w:t xml:space="preserve">5</w:t>
            </w:r>
          </w:p>
        </w:tc>
        <w:tc>
          <w:tcPr>
            <w:tcW w:w="1000" w:type="dxa"/>
            <w:vAlign w:val="center"/>
          </w:tcPr>
          <w:p>
            <w:pPr>
              <w:spacing w:before="20" w:after="20"/>
              <w:jc w:val="center"/>
            </w:pPr>
            <w:r>
              <w:rPr>
                <w:sz w:val="18"/>
                <w:szCs w:val="18"/>
              </w:rPr>
              <w:t xml:space="preserve">2,1</w:t>
            </w:r>
          </w:p>
        </w:tc>
        <w:tc>
          <w:tcPr>
            <w:tcW w:w="1000" w:type="dxa"/>
            <w:vAlign w:val="center"/>
          </w:tcPr>
          <w:p>
            <w:pPr>
              <w:spacing w:before="20" w:after="20"/>
              <w:jc w:val="center"/>
            </w:pPr>
            <w:r>
              <w:rPr>
                <w:sz w:val="18"/>
                <w:szCs w:val="18"/>
              </w:rPr>
              <w:t xml:space="preserve">1,4</w:t>
            </w:r>
          </w:p>
        </w:tc>
        <w:tc>
          <w:tcPr>
            <w:tcW w:w="1000" w:type="dxa"/>
            <w:vAlign w:val="center"/>
          </w:tcPr>
          <w:p>
            <w:pPr>
              <w:spacing w:before="20" w:after="20"/>
              <w:jc w:val="center"/>
            </w:pPr>
            <w:r>
              <w:rPr>
                <w:sz w:val="18"/>
                <w:szCs w:val="18"/>
              </w:rPr>
              <w:t xml:space="preserve">3,1</w:t>
            </w:r>
          </w:p>
        </w:tc>
        <w:tc>
          <w:tcPr>
            <w:tcW w:w="900" w:type="dxa"/>
            <w:vAlign w:val="center"/>
          </w:tcPr>
          <w:p>
            <w:pPr>
              <w:spacing w:before="20" w:after="20"/>
              <w:jc w:val="center"/>
            </w:pPr>
            <w:r>
              <w:rPr>
                <w:b/>
                <w:bCs/>
                <w:sz w:val="18"/>
                <w:szCs w:val="18"/>
              </w:rPr>
              <w:t xml:space="preserve">2,2</w:t>
            </w:r>
          </w:p>
        </w:tc>
        <w:tc>
          <w:tcPr>
            <w:tcW w:w="1100" w:type="dxa"/>
            <w:vAlign w:val="center"/>
          </w:tcPr>
          <w:p>
            <w:pPr>
              <w:spacing w:before="20" w:after="20"/>
              <w:jc w:val="left"/>
            </w:pPr>
            <w:r>
              <w:rPr>
                <w:sz w:val="18"/>
                <w:szCs w:val="18"/>
              </w:rPr>
              <w:t xml:space="preserve">Başlangıç Seviyesi</w:t>
            </w:r>
          </w:p>
        </w:tc>
      </w:tr>
      <w:tr>
        <w:trPr>
          <w:cantSplit/>
        </w:trPr>
        <w:tc>
          <w:tcPr>
            <w:tcW w:w="3172" w:type="dxa"/>
            <w:vAlign w:val="center"/>
          </w:tcPr>
          <w:p>
            <w:pPr>
              <w:spacing w:before="20" w:after="20"/>
              <w:jc w:val="left"/>
            </w:pPr>
            <w:r>
              <w:rPr>
                <w:sz w:val="18"/>
                <w:szCs w:val="18"/>
              </w:rPr>
              <w:t xml:space="preserve">Ağ ve İletişim Güvenliği</w:t>
            </w:r>
          </w:p>
        </w:tc>
        <w:tc>
          <w:tcPr>
            <w:tcW w:w="900" w:type="dxa"/>
            <w:vAlign w:val="center"/>
          </w:tcPr>
          <w:p>
            <w:pPr>
              <w:spacing w:before="20" w:after="20"/>
              <w:jc w:val="center"/>
            </w:pPr>
            <w:r>
              <w:rPr>
                <w:sz w:val="18"/>
                <w:szCs w:val="18"/>
              </w:rPr>
              <w:t xml:space="preserve">4</w:t>
            </w:r>
          </w:p>
        </w:tc>
        <w:tc>
          <w:tcPr>
            <w:tcW w:w="1000" w:type="dxa"/>
            <w:vAlign w:val="center"/>
          </w:tcPr>
          <w:p>
            <w:pPr>
              <w:spacing w:before="20" w:after="20"/>
              <w:jc w:val="center"/>
            </w:pPr>
            <w:r>
              <w:rPr>
                <w:sz w:val="18"/>
                <w:szCs w:val="18"/>
              </w:rPr>
              <w:t xml:space="preserve">1,9</w:t>
            </w:r>
          </w:p>
        </w:tc>
        <w:tc>
          <w:tcPr>
            <w:tcW w:w="1000" w:type="dxa"/>
            <w:vAlign w:val="center"/>
          </w:tcPr>
          <w:p>
            <w:pPr>
              <w:spacing w:before="20" w:after="20"/>
              <w:jc w:val="center"/>
            </w:pPr>
            <w:r>
              <w:rPr>
                <w:sz w:val="18"/>
                <w:szCs w:val="18"/>
              </w:rPr>
              <w:t xml:space="preserve">1,2</w:t>
            </w:r>
          </w:p>
        </w:tc>
        <w:tc>
          <w:tcPr>
            <w:tcW w:w="1000" w:type="dxa"/>
            <w:vAlign w:val="center"/>
          </w:tcPr>
          <w:p>
            <w:pPr>
              <w:spacing w:before="20" w:after="20"/>
              <w:jc w:val="center"/>
            </w:pPr>
            <w:r>
              <w:rPr>
                <w:sz w:val="18"/>
                <w:szCs w:val="18"/>
              </w:rPr>
              <w:t xml:space="preserve">3,8</w:t>
            </w:r>
          </w:p>
        </w:tc>
        <w:tc>
          <w:tcPr>
            <w:tcW w:w="900" w:type="dxa"/>
            <w:vAlign w:val="center"/>
          </w:tcPr>
          <w:p>
            <w:pPr>
              <w:spacing w:before="20" w:after="20"/>
              <w:jc w:val="center"/>
            </w:pPr>
            <w:r>
              <w:rPr>
                <w:b/>
                <w:bCs/>
                <w:sz w:val="18"/>
                <w:szCs w:val="18"/>
              </w:rPr>
              <w:t xml:space="preserve">2,3</w:t>
            </w:r>
          </w:p>
        </w:tc>
        <w:tc>
          <w:tcPr>
            <w:tcW w:w="1100" w:type="dxa"/>
            <w:vAlign w:val="center"/>
          </w:tcPr>
          <w:p>
            <w:pPr>
              <w:spacing w:before="20" w:after="20"/>
              <w:jc w:val="left"/>
            </w:pPr>
            <w:r>
              <w:rPr>
                <w:sz w:val="18"/>
                <w:szCs w:val="18"/>
              </w:rPr>
              <w:t xml:space="preserve">Başlangıç Seviyesi</w:t>
            </w:r>
          </w:p>
        </w:tc>
      </w:tr>
      <w:tr>
        <w:trPr>
          <w:cantSplit/>
        </w:trPr>
        <w:tc>
          <w:tcPr>
            <w:tcW w:w="3172" w:type="dxa"/>
            <w:vAlign w:val="center"/>
          </w:tcPr>
          <w:p>
            <w:pPr>
              <w:spacing w:before="20" w:after="20"/>
              <w:jc w:val="left"/>
            </w:pPr>
            <w:r>
              <w:rPr>
                <w:sz w:val="18"/>
                <w:szCs w:val="18"/>
              </w:rPr>
              <w:t xml:space="preserve">Yönetişim, Risk ve Uyumluluk</w:t>
            </w:r>
          </w:p>
        </w:tc>
        <w:tc>
          <w:tcPr>
            <w:tcW w:w="900" w:type="dxa"/>
            <w:vAlign w:val="center"/>
          </w:tcPr>
          <w:p>
            <w:pPr>
              <w:spacing w:before="20" w:after="20"/>
              <w:jc w:val="center"/>
            </w:pPr>
            <w:r>
              <w:rPr>
                <w:sz w:val="18"/>
                <w:szCs w:val="18"/>
              </w:rPr>
              <w:t xml:space="preserve">5</w:t>
            </w:r>
          </w:p>
        </w:tc>
        <w:tc>
          <w:tcPr>
            <w:tcW w:w="1000" w:type="dxa"/>
            <w:vAlign w:val="center"/>
          </w:tcPr>
          <w:p>
            <w:pPr>
              <w:spacing w:before="20" w:after="20"/>
              <w:jc w:val="center"/>
            </w:pPr>
            <w:r>
              <w:rPr>
                <w:sz w:val="18"/>
                <w:szCs w:val="18"/>
              </w:rPr>
              <w:t xml:space="preserve">2,7</w:t>
            </w:r>
          </w:p>
        </w:tc>
        <w:tc>
          <w:tcPr>
            <w:tcW w:w="1000" w:type="dxa"/>
            <w:vAlign w:val="center"/>
          </w:tcPr>
          <w:p>
            <w:pPr>
              <w:spacing w:before="20" w:after="20"/>
              <w:jc w:val="center"/>
            </w:pPr>
            <w:r>
              <w:rPr>
                <w:sz w:val="18"/>
                <w:szCs w:val="18"/>
              </w:rPr>
              <w:t xml:space="preserve">1,7</w:t>
            </w:r>
          </w:p>
        </w:tc>
        <w:tc>
          <w:tcPr>
            <w:tcW w:w="1000" w:type="dxa"/>
            <w:vAlign w:val="center"/>
          </w:tcPr>
          <w:p>
            <w:pPr>
              <w:spacing w:before="20" w:after="20"/>
              <w:jc w:val="center"/>
            </w:pPr>
            <w:r>
              <w:rPr>
                <w:sz w:val="18"/>
                <w:szCs w:val="18"/>
              </w:rPr>
              <w:t xml:space="preserve">3,7</w:t>
            </w:r>
          </w:p>
        </w:tc>
        <w:tc>
          <w:tcPr>
            <w:tcW w:w="900" w:type="dxa"/>
            <w:vAlign w:val="center"/>
          </w:tcPr>
          <w:p>
            <w:pPr>
              <w:spacing w:before="20" w:after="20"/>
              <w:jc w:val="center"/>
            </w:pPr>
            <w:r>
              <w:rPr>
                <w:b/>
                <w:bCs/>
                <w:sz w:val="18"/>
                <w:szCs w:val="18"/>
              </w:rPr>
              <w:t xml:space="preserve">2,7</w:t>
            </w:r>
          </w:p>
        </w:tc>
        <w:tc>
          <w:tcPr>
            <w:tcW w:w="1100" w:type="dxa"/>
            <w:vAlign w:val="center"/>
          </w:tcPr>
          <w:p>
            <w:pPr>
              <w:spacing w:before="20" w:after="20"/>
              <w:jc w:val="left"/>
            </w:pPr>
            <w:r>
              <w:rPr>
                <w:sz w:val="18"/>
                <w:szCs w:val="18"/>
              </w:rPr>
              <w:t xml:space="preserve">Başlangıç Seviyesi</w:t>
            </w:r>
          </w:p>
        </w:tc>
      </w:tr>
      <w:tr>
        <w:trPr>
          <w:cantSplit/>
        </w:trPr>
        <w:tc>
          <w:tcPr>
            <w:tcW w:w="3172" w:type="dxa"/>
            <w:vAlign w:val="center"/>
          </w:tcPr>
          <w:p>
            <w:pPr>
              <w:spacing w:before="20" w:after="20"/>
              <w:jc w:val="left"/>
            </w:pPr>
            <w:r>
              <w:rPr>
                <w:sz w:val="18"/>
                <w:szCs w:val="18"/>
              </w:rPr>
              <w:t xml:space="preserve">Olay Müdahale, İzleme ve Süreklilik</w:t>
            </w:r>
          </w:p>
        </w:tc>
        <w:tc>
          <w:tcPr>
            <w:tcW w:w="900" w:type="dxa"/>
            <w:vAlign w:val="center"/>
          </w:tcPr>
          <w:p>
            <w:pPr>
              <w:spacing w:before="20" w:after="20"/>
              <w:jc w:val="center"/>
            </w:pPr>
            <w:r>
              <w:rPr>
                <w:sz w:val="18"/>
                <w:szCs w:val="18"/>
              </w:rPr>
              <w:t xml:space="preserve">5</w:t>
            </w:r>
          </w:p>
        </w:tc>
        <w:tc>
          <w:tcPr>
            <w:tcW w:w="1000" w:type="dxa"/>
            <w:vAlign w:val="center"/>
          </w:tcPr>
          <w:p>
            <w:pPr>
              <w:spacing w:before="20" w:after="20"/>
              <w:jc w:val="center"/>
            </w:pPr>
            <w:r>
              <w:rPr>
                <w:sz w:val="18"/>
                <w:szCs w:val="18"/>
              </w:rPr>
              <w:t xml:space="preserve">2,7</w:t>
            </w:r>
          </w:p>
        </w:tc>
        <w:tc>
          <w:tcPr>
            <w:tcW w:w="1000" w:type="dxa"/>
            <w:vAlign w:val="center"/>
          </w:tcPr>
          <w:p>
            <w:pPr>
              <w:spacing w:before="20" w:after="20"/>
              <w:jc w:val="center"/>
            </w:pPr>
            <w:r>
              <w:rPr>
                <w:sz w:val="18"/>
                <w:szCs w:val="18"/>
              </w:rPr>
              <w:t xml:space="preserve">2,6</w:t>
            </w:r>
          </w:p>
        </w:tc>
        <w:tc>
          <w:tcPr>
            <w:tcW w:w="1000" w:type="dxa"/>
            <w:vAlign w:val="center"/>
          </w:tcPr>
          <w:p>
            <w:pPr>
              <w:spacing w:before="20" w:after="20"/>
              <w:jc w:val="center"/>
            </w:pPr>
            <w:r>
              <w:rPr>
                <w:sz w:val="18"/>
                <w:szCs w:val="18"/>
              </w:rPr>
              <w:t xml:space="preserve">2,8</w:t>
            </w:r>
          </w:p>
        </w:tc>
        <w:tc>
          <w:tcPr>
            <w:tcW w:w="900" w:type="dxa"/>
            <w:vAlign w:val="center"/>
          </w:tcPr>
          <w:p>
            <w:pPr>
              <w:spacing w:before="20" w:after="20"/>
              <w:jc w:val="center"/>
            </w:pPr>
            <w:r>
              <w:rPr>
                <w:b/>
                <w:bCs/>
                <w:sz w:val="18"/>
                <w:szCs w:val="18"/>
              </w:rPr>
              <w:t xml:space="preserve">2,7</w:t>
            </w:r>
          </w:p>
        </w:tc>
        <w:tc>
          <w:tcPr>
            <w:tcW w:w="1100" w:type="dxa"/>
            <w:vAlign w:val="center"/>
          </w:tcPr>
          <w:p>
            <w:pPr>
              <w:spacing w:before="20" w:after="20"/>
              <w:jc w:val="left"/>
            </w:pPr>
            <w:r>
              <w:rPr>
                <w:sz w:val="18"/>
                <w:szCs w:val="18"/>
              </w:rPr>
              <w:t xml:space="preserve">Başlangıç Seviyesi</w:t>
            </w:r>
          </w:p>
        </w:tc>
      </w:tr>
      <w:tr>
        <w:trPr>
          <w:cantSplit/>
        </w:trPr>
        <w:tc>
          <w:tcPr>
            <w:tcW w:w="3172" w:type="dxa"/>
            <w:vAlign w:val="center"/>
          </w:tcPr>
          <w:p>
            <w:pPr>
              <w:spacing w:before="20" w:after="20"/>
              <w:jc w:val="left"/>
            </w:pPr>
            <w:r>
              <w:rPr>
                <w:sz w:val="18"/>
                <w:szCs w:val="18"/>
              </w:rPr>
              <w:t xml:space="preserve">Veri ve Kriptografi Güvenliği</w:t>
            </w:r>
          </w:p>
        </w:tc>
        <w:tc>
          <w:tcPr>
            <w:tcW w:w="900" w:type="dxa"/>
            <w:vAlign w:val="center"/>
          </w:tcPr>
          <w:p>
            <w:pPr>
              <w:spacing w:before="20" w:after="20"/>
              <w:jc w:val="center"/>
            </w:pPr>
            <w:r>
              <w:rPr>
                <w:sz w:val="18"/>
                <w:szCs w:val="18"/>
              </w:rPr>
              <w:t xml:space="preserve">3</w:t>
            </w:r>
          </w:p>
        </w:tc>
        <w:tc>
          <w:tcPr>
            <w:tcW w:w="1000" w:type="dxa"/>
            <w:vAlign w:val="center"/>
          </w:tcPr>
          <w:p>
            <w:pPr>
              <w:spacing w:before="20" w:after="20"/>
              <w:jc w:val="center"/>
            </w:pPr>
            <w:r>
              <w:rPr>
                <w:sz w:val="18"/>
                <w:szCs w:val="18"/>
              </w:rPr>
              <w:t xml:space="preserve">2,8</w:t>
            </w:r>
          </w:p>
        </w:tc>
        <w:tc>
          <w:tcPr>
            <w:tcW w:w="1000" w:type="dxa"/>
            <w:vAlign w:val="center"/>
          </w:tcPr>
          <w:p>
            <w:pPr>
              <w:spacing w:before="20" w:after="20"/>
              <w:jc w:val="center"/>
            </w:pPr>
            <w:r>
              <w:rPr>
                <w:sz w:val="18"/>
                <w:szCs w:val="18"/>
              </w:rPr>
              <w:t xml:space="preserve">1,8</w:t>
            </w:r>
          </w:p>
        </w:tc>
        <w:tc>
          <w:tcPr>
            <w:tcW w:w="1000" w:type="dxa"/>
            <w:vAlign w:val="center"/>
          </w:tcPr>
          <w:p>
            <w:pPr>
              <w:spacing w:before="20" w:after="20"/>
              <w:jc w:val="center"/>
            </w:pPr>
            <w:r>
              <w:rPr>
                <w:sz w:val="18"/>
                <w:szCs w:val="18"/>
              </w:rPr>
              <w:t xml:space="preserve">3,8</w:t>
            </w:r>
          </w:p>
        </w:tc>
        <w:tc>
          <w:tcPr>
            <w:tcW w:w="900" w:type="dxa"/>
            <w:vAlign w:val="center"/>
          </w:tcPr>
          <w:p>
            <w:pPr>
              <w:spacing w:before="20" w:after="20"/>
              <w:jc w:val="center"/>
            </w:pPr>
            <w:r>
              <w:rPr>
                <w:b/>
                <w:bCs/>
                <w:sz w:val="18"/>
                <w:szCs w:val="18"/>
              </w:rPr>
              <w:t xml:space="preserve">2,8</w:t>
            </w:r>
          </w:p>
        </w:tc>
        <w:tc>
          <w:tcPr>
            <w:tcW w:w="1100" w:type="dxa"/>
            <w:vAlign w:val="center"/>
          </w:tcPr>
          <w:p>
            <w:pPr>
              <w:spacing w:before="20" w:after="20"/>
              <w:jc w:val="left"/>
            </w:pPr>
            <w:r>
              <w:rPr>
                <w:sz w:val="18"/>
                <w:szCs w:val="18"/>
              </w:rPr>
              <w:t xml:space="preserve">Başlangıç Seviyesi</w:t>
            </w:r>
          </w:p>
        </w:tc>
      </w:tr>
      <w:tr>
        <w:trPr>
          <w:cantSplit/>
        </w:trPr>
        <w:tc>
          <w:tcPr>
            <w:tcW w:w="3172" w:type="dxa"/>
            <w:vAlign w:val="center"/>
          </w:tcPr>
          <w:p>
            <w:pPr>
              <w:spacing w:before="20" w:after="20"/>
              <w:jc w:val="left"/>
            </w:pPr>
            <w:r>
              <w:rPr>
                <w:sz w:val="18"/>
                <w:szCs w:val="18"/>
              </w:rPr>
              <w:t xml:space="preserve">İnsan Kaynakları Güvenliği</w:t>
            </w:r>
          </w:p>
        </w:tc>
        <w:tc>
          <w:tcPr>
            <w:tcW w:w="900" w:type="dxa"/>
            <w:vAlign w:val="center"/>
          </w:tcPr>
          <w:p>
            <w:pPr>
              <w:spacing w:before="20" w:after="20"/>
              <w:jc w:val="center"/>
            </w:pPr>
            <w:r>
              <w:rPr>
                <w:sz w:val="18"/>
                <w:szCs w:val="18"/>
              </w:rPr>
              <w:t xml:space="preserve">1</w:t>
            </w:r>
          </w:p>
        </w:tc>
        <w:tc>
          <w:tcPr>
            <w:tcW w:w="1000" w:type="dxa"/>
            <w:vAlign w:val="center"/>
          </w:tcPr>
          <w:p>
            <w:pPr>
              <w:spacing w:before="20" w:after="20"/>
              <w:jc w:val="center"/>
            </w:pPr>
            <w:r>
              <w:rPr>
                <w:sz w:val="18"/>
                <w:szCs w:val="18"/>
              </w:rPr>
              <w:t xml:space="preserve">3,0</w:t>
            </w:r>
          </w:p>
        </w:tc>
        <w:tc>
          <w:tcPr>
            <w:tcW w:w="1000" w:type="dxa"/>
            <w:vAlign w:val="center"/>
          </w:tcPr>
          <w:p>
            <w:pPr>
              <w:spacing w:before="20" w:after="20"/>
              <w:jc w:val="center"/>
            </w:pPr>
            <w:r>
              <w:rPr>
                <w:sz w:val="18"/>
                <w:szCs w:val="18"/>
              </w:rPr>
              <w:t xml:space="preserve">2,0</w:t>
            </w:r>
          </w:p>
        </w:tc>
        <w:tc>
          <w:tcPr>
            <w:tcW w:w="1000" w:type="dxa"/>
            <w:vAlign w:val="center"/>
          </w:tcPr>
          <w:p>
            <w:pPr>
              <w:spacing w:before="20" w:after="20"/>
              <w:jc w:val="center"/>
            </w:pPr>
            <w:r>
              <w:rPr>
                <w:sz w:val="18"/>
                <w:szCs w:val="18"/>
              </w:rPr>
              <w:t xml:space="preserve">4,0</w:t>
            </w:r>
          </w:p>
        </w:tc>
        <w:tc>
          <w:tcPr>
            <w:tcW w:w="900" w:type="dxa"/>
            <w:vAlign w:val="center"/>
          </w:tcPr>
          <w:p>
            <w:pPr>
              <w:spacing w:before="20" w:after="20"/>
              <w:jc w:val="center"/>
            </w:pPr>
            <w:r>
              <w:rPr>
                <w:b/>
                <w:bCs/>
                <w:sz w:val="18"/>
                <w:szCs w:val="18"/>
              </w:rPr>
              <w:t xml:space="preserve">3,0</w:t>
            </w:r>
          </w:p>
        </w:tc>
        <w:tc>
          <w:tcPr>
            <w:tcW w:w="1100" w:type="dxa"/>
            <w:vAlign w:val="center"/>
          </w:tcPr>
          <w:p>
            <w:pPr>
              <w:spacing w:before="20" w:after="20"/>
              <w:jc w:val="left"/>
            </w:pPr>
            <w:r>
              <w:rPr>
                <w:sz w:val="18"/>
                <w:szCs w:val="18"/>
              </w:rPr>
              <w:t xml:space="preserve">Yeterli Seviye</w:t>
            </w:r>
          </w:p>
        </w:tc>
      </w:tr>
      <w:tr>
        <w:trPr>
          <w:cantSplit/>
        </w:trPr>
        <w:tc>
          <w:tcPr>
            <w:tcW w:w="3172" w:type="dxa"/>
            <w:vAlign w:val="center"/>
          </w:tcPr>
          <w:p>
            <w:pPr>
              <w:spacing w:before="20" w:after="20"/>
              <w:jc w:val="left"/>
            </w:pPr>
            <w:r>
              <w:rPr>
                <w:sz w:val="18"/>
                <w:szCs w:val="18"/>
              </w:rPr>
              <w:t xml:space="preserve">Tedarikçi ve Üçüncü Taraf Güvenliği</w:t>
            </w:r>
          </w:p>
        </w:tc>
        <w:tc>
          <w:tcPr>
            <w:tcW w:w="900" w:type="dxa"/>
            <w:vAlign w:val="center"/>
          </w:tcPr>
          <w:p>
            <w:pPr>
              <w:spacing w:before="20" w:after="20"/>
              <w:jc w:val="center"/>
            </w:pPr>
            <w:r>
              <w:rPr>
                <w:sz w:val="18"/>
                <w:szCs w:val="18"/>
              </w:rPr>
              <w:t xml:space="preserve">2</w:t>
            </w:r>
          </w:p>
        </w:tc>
        <w:tc>
          <w:tcPr>
            <w:tcW w:w="1000" w:type="dxa"/>
            <w:vAlign w:val="center"/>
          </w:tcPr>
          <w:p>
            <w:pPr>
              <w:spacing w:before="20" w:after="20"/>
              <w:jc w:val="center"/>
            </w:pPr>
            <w:r>
              <w:rPr>
                <w:sz w:val="18"/>
                <w:szCs w:val="18"/>
              </w:rPr>
              <w:t xml:space="preserve">3,0</w:t>
            </w:r>
          </w:p>
        </w:tc>
        <w:tc>
          <w:tcPr>
            <w:tcW w:w="1000" w:type="dxa"/>
            <w:vAlign w:val="center"/>
          </w:tcPr>
          <w:p>
            <w:pPr>
              <w:spacing w:before="20" w:after="20"/>
              <w:jc w:val="center"/>
            </w:pPr>
            <w:r>
              <w:rPr>
                <w:sz w:val="18"/>
                <w:szCs w:val="18"/>
              </w:rPr>
              <w:t xml:space="preserve">3,0</w:t>
            </w:r>
          </w:p>
        </w:tc>
        <w:tc>
          <w:tcPr>
            <w:tcW w:w="1000" w:type="dxa"/>
            <w:vAlign w:val="center"/>
          </w:tcPr>
          <w:p>
            <w:pPr>
              <w:spacing w:before="20" w:after="20"/>
              <w:jc w:val="center"/>
            </w:pPr>
            <w:r>
              <w:rPr>
                <w:sz w:val="18"/>
                <w:szCs w:val="18"/>
              </w:rPr>
              <w:t xml:space="preserve">3,0</w:t>
            </w:r>
          </w:p>
        </w:tc>
        <w:tc>
          <w:tcPr>
            <w:tcW w:w="900" w:type="dxa"/>
            <w:vAlign w:val="center"/>
          </w:tcPr>
          <w:p>
            <w:pPr>
              <w:spacing w:before="20" w:after="20"/>
              <w:jc w:val="center"/>
            </w:pPr>
            <w:r>
              <w:rPr>
                <w:b/>
                <w:bCs/>
                <w:sz w:val="18"/>
                <w:szCs w:val="18"/>
              </w:rPr>
              <w:t xml:space="preserve">3,0</w:t>
            </w:r>
          </w:p>
        </w:tc>
        <w:tc>
          <w:tcPr>
            <w:tcW w:w="1100" w:type="dxa"/>
            <w:vAlign w:val="center"/>
          </w:tcPr>
          <w:p>
            <w:pPr>
              <w:spacing w:before="20" w:after="20"/>
              <w:jc w:val="left"/>
            </w:pPr>
            <w:r>
              <w:rPr>
                <w:sz w:val="18"/>
                <w:szCs w:val="18"/>
              </w:rPr>
              <w:t xml:space="preserve">Yeterli Seviye</w:t>
            </w:r>
          </w:p>
        </w:tc>
      </w:tr>
    </w:tbl>
    <w:p>
      <w:pPr>
        <w:spacing w:before="0" w:after="60"/>
      </w:pPr>
      <w:r>
        <w:rPr>
          <w:sz w:val="8"/>
          <w:szCs w:val="8"/>
        </w:rPr>
        <w:t xml:space="preserve"/>
      </w:r>
    </w:p>
    <w:p>
      <w:pPr>
        <w:pStyle w:val="Heading2"/>
      </w:pPr>
      <w:r>
        <w:t xml:space="preserve">Regülasyon Alanları</w:t>
      </w:r>
    </w:p>
    <w:p>
      <w:r>
        <w:t xml:space="preserve">Aşağıdaki göstergeler, ilgili çerçeveyle eşleştirilmiş kontrollerin ağırlıklı ortalamasını ve asgari eşiğin altında kalan kontrol sayısını gösterir.</w:t>
      </w:r>
    </w:p>
    <w:p>
      <w:pPr>
        <w:keepNext/>
        <w:spacing w:before="120" w:after="0"/>
        <w:jc w:val="center"/>
      </w:pPr>
      <w:r>
        <w:drawing>
          <wp:inline xmlns:wp="http://schemas.openxmlformats.org/drawingml/2006/wordprocessingDrawing" distT="0" distB="0" distL="0" distR="0">
            <wp:extent cx="5760000" cy="1637053"/>
            <wp:effectExtent l="0" t="0" r="0" b="0"/>
            <wp:docPr id="10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qa_chart5.png"/>
                    <pic:cNvPicPr/>
                  </pic:nvPicPr>
                  <pic:blipFill>
                    <a:blip xmlns:r="http://schemas.openxmlformats.org/officeDocument/2006/relationships" r:embed="rIdQaImg5"/>
                    <a:stretch>
                      <a:fillRect/>
                    </a:stretch>
                  </pic:blipFill>
                  <pic:spPr>
                    <a:xfrm>
                      <a:off x="0" y="0"/>
                      <a:ext cx="5760000" cy="1637053"/>
                    </a:xfrm>
                    <a:prstGeom prst="rect">
                      <a:avLst/>
                    </a:prstGeom>
                  </pic:spPr>
                </pic:pic>
              </a:graphicData>
            </a:graphic>
          </wp:inline>
        </w:drawing>
      </w:r>
    </w:p>
    <w:p>
      <w:pPr>
        <w:pStyle w:val="Caption"/>
        <w:jc w:val="center"/>
      </w:pPr>
      <w:r>
        <w:t xml:space="preserve">Şekil 5 – Mevzuat / standart bazında olgunluk</w:t>
      </w:r>
    </w:p>
    <w:p>
      <w:pPr>
        <w:pStyle w:val="Caption"/>
        <w:keepNext/>
      </w:pPr>
      <w:r>
        <w:t xml:space="preserve">Tablo 9 – Regülatif uyum sinyali</w:t>
      </w:r>
    </w:p>
    <w:tbl>
      <w:tblPr>
        <w:tblStyle w:val="TableGrid"/>
        <w:tblW w:w="9072" w:type="dxa"/>
        <w:tblLayout w:type="fixed"/>
        <w:tblCellMar>
          <w:left w:w="85" w:type="dxa"/>
          <w:right w:w="85" w:type="dxa"/>
        </w:tblCellMar>
        <w:tblLook w:val="04A0" w:firstRow="1" w:lastRow="0" w:firstColumn="1" w:lastColumn="0" w:noHBand="0" w:noVBand="1"/>
      </w:tblPr>
      <w:tblGrid>
        <w:gridCol w:w="3172"/>
        <w:gridCol w:w="1300"/>
        <w:gridCol w:w="1000"/>
        <w:gridCol w:w="1300"/>
        <w:gridCol w:w="2300"/>
      </w:tblGrid>
      <w:tr>
        <w:trPr>
          <w:cantSplit/>
          <w:tblHeader/>
        </w:trPr>
        <w:tc>
          <w:tcPr>
            <w:tcW w:w="3172" w:type="dxa"/>
            <w:shd w:val="clear" w:color="auto" w:fill="D9D9D9"/>
            <w:vAlign w:val="center"/>
          </w:tcPr>
          <w:p>
            <w:pPr>
              <w:spacing w:before="20" w:after="20"/>
              <w:jc w:val="left"/>
            </w:pPr>
            <w:r>
              <w:rPr>
                <w:b/>
                <w:bCs/>
                <w:sz w:val="20"/>
                <w:szCs w:val="20"/>
              </w:rPr>
              <w:t xml:space="preserve">Mevzuat / standart</w:t>
            </w:r>
          </w:p>
        </w:tc>
        <w:tc>
          <w:tcPr>
            <w:tcW w:w="1300" w:type="dxa"/>
            <w:shd w:val="clear" w:color="auto" w:fill="D9D9D9"/>
            <w:vAlign w:val="center"/>
          </w:tcPr>
          <w:p>
            <w:pPr>
              <w:spacing w:before="20" w:after="20"/>
              <w:jc w:val="left"/>
            </w:pPr>
            <w:r>
              <w:rPr>
                <w:b/>
                <w:bCs/>
                <w:sz w:val="20"/>
                <w:szCs w:val="20"/>
              </w:rPr>
              <w:t xml:space="preserve">İlgili kontrol</w:t>
            </w:r>
          </w:p>
        </w:tc>
        <w:tc>
          <w:tcPr>
            <w:tcW w:w="1000" w:type="dxa"/>
            <w:shd w:val="clear" w:color="auto" w:fill="D9D9D9"/>
            <w:vAlign w:val="center"/>
          </w:tcPr>
          <w:p>
            <w:pPr>
              <w:spacing w:before="20" w:after="20"/>
              <w:jc w:val="left"/>
            </w:pPr>
            <w:r>
              <w:rPr>
                <w:b/>
                <w:bCs/>
                <w:sz w:val="20"/>
                <w:szCs w:val="20"/>
              </w:rPr>
              <w:t xml:space="preserve">Puan</w:t>
            </w:r>
          </w:p>
        </w:tc>
        <w:tc>
          <w:tcPr>
            <w:tcW w:w="1300" w:type="dxa"/>
            <w:shd w:val="clear" w:color="auto" w:fill="D9D9D9"/>
            <w:vAlign w:val="center"/>
          </w:tcPr>
          <w:p>
            <w:pPr>
              <w:spacing w:before="20" w:after="20"/>
              <w:jc w:val="left"/>
            </w:pPr>
            <w:r>
              <w:rPr>
                <w:b/>
                <w:bCs/>
                <w:sz w:val="20"/>
                <w:szCs w:val="20"/>
              </w:rPr>
              <w:t xml:space="preserve">Eşik altı</w:t>
            </w:r>
          </w:p>
        </w:tc>
        <w:tc>
          <w:tcPr>
            <w:tcW w:w="2300" w:type="dxa"/>
            <w:shd w:val="clear" w:color="auto" w:fill="D9D9D9"/>
            <w:vAlign w:val="center"/>
          </w:tcPr>
          <w:p>
            <w:pPr>
              <w:spacing w:before="20" w:after="20"/>
              <w:jc w:val="left"/>
            </w:pPr>
            <w:r>
              <w:rPr>
                <w:b/>
                <w:bCs/>
                <w:sz w:val="20"/>
                <w:szCs w:val="20"/>
              </w:rPr>
              <w:t xml:space="preserve">Durum</w:t>
            </w:r>
          </w:p>
        </w:tc>
      </w:tr>
      <w:tr>
        <w:trPr>
          <w:cantSplit/>
        </w:trPr>
        <w:tc>
          <w:tcPr>
            <w:tcW w:w="3172" w:type="dxa"/>
            <w:vAlign w:val="center"/>
          </w:tcPr>
          <w:p>
            <w:pPr>
              <w:spacing w:before="20" w:after="20"/>
              <w:jc w:val="left"/>
            </w:pPr>
            <w:r>
              <w:rPr>
                <w:sz w:val="20"/>
                <w:szCs w:val="20"/>
              </w:rPr>
              <w:t xml:space="preserve">7545 Sayılı Siber Güvenlik Kanunu</w:t>
            </w:r>
          </w:p>
        </w:tc>
        <w:tc>
          <w:tcPr>
            <w:tcW w:w="1300" w:type="dxa"/>
            <w:vAlign w:val="center"/>
          </w:tcPr>
          <w:p>
            <w:pPr>
              <w:spacing w:before="20" w:after="20"/>
              <w:jc w:val="center"/>
            </w:pPr>
            <w:r>
              <w:rPr>
                <w:sz w:val="20"/>
                <w:szCs w:val="20"/>
              </w:rPr>
              <w:t xml:space="preserve">9 / 10</w:t>
            </w:r>
          </w:p>
        </w:tc>
        <w:tc>
          <w:tcPr>
            <w:tcW w:w="1000" w:type="dxa"/>
            <w:vAlign w:val="center"/>
          </w:tcPr>
          <w:p>
            <w:pPr>
              <w:spacing w:before="20" w:after="20"/>
              <w:jc w:val="center"/>
            </w:pPr>
            <w:r>
              <w:rPr>
                <w:b/>
                <w:bCs/>
                <w:sz w:val="20"/>
                <w:szCs w:val="20"/>
              </w:rPr>
              <w:t xml:space="preserve">2,7</w:t>
            </w:r>
          </w:p>
        </w:tc>
        <w:tc>
          <w:tcPr>
            <w:tcW w:w="1300" w:type="dxa"/>
            <w:vAlign w:val="center"/>
          </w:tcPr>
          <w:p>
            <w:pPr>
              <w:spacing w:before="20" w:after="20"/>
              <w:jc w:val="center"/>
            </w:pPr>
            <w:r>
              <w:rPr>
                <w:sz w:val="20"/>
                <w:szCs w:val="20"/>
              </w:rPr>
              <w:t xml:space="preserve">4</w:t>
            </w:r>
          </w:p>
        </w:tc>
        <w:tc>
          <w:tcPr>
            <w:tcW w:w="2300" w:type="dxa"/>
            <w:vAlign w:val="center"/>
          </w:tcPr>
          <w:p>
            <w:pPr>
              <w:spacing w:before="20" w:after="20"/>
              <w:jc w:val="left"/>
            </w:pPr>
            <w:r>
              <w:rPr>
                <w:b/>
                <w:bCs/>
                <w:sz w:val="20"/>
                <w:szCs w:val="20"/>
              </w:rPr>
              <w:t xml:space="preserve">Asgari uyum seviyesine henüz ulaşılmadı</w:t>
            </w:r>
          </w:p>
        </w:tc>
      </w:tr>
      <w:tr>
        <w:trPr>
          <w:cantSplit/>
        </w:trPr>
        <w:tc>
          <w:tcPr>
            <w:tcW w:w="3172" w:type="dxa"/>
            <w:vAlign w:val="center"/>
          </w:tcPr>
          <w:p>
            <w:pPr>
              <w:spacing w:before="20" w:after="20"/>
              <w:jc w:val="left"/>
            </w:pPr>
            <w:r>
              <w:rPr>
                <w:sz w:val="20"/>
                <w:szCs w:val="20"/>
              </w:rPr>
              <w:t xml:space="preserve">BİGR (Bilgi ve İletişim Güvenliği Rehberi)</w:t>
            </w:r>
          </w:p>
        </w:tc>
        <w:tc>
          <w:tcPr>
            <w:tcW w:w="1300" w:type="dxa"/>
            <w:vAlign w:val="center"/>
          </w:tcPr>
          <w:p>
            <w:pPr>
              <w:spacing w:before="20" w:after="20"/>
              <w:jc w:val="center"/>
            </w:pPr>
            <w:r>
              <w:rPr>
                <w:sz w:val="20"/>
                <w:szCs w:val="20"/>
              </w:rPr>
              <w:t xml:space="preserve">24 / 25</w:t>
            </w:r>
          </w:p>
        </w:tc>
        <w:tc>
          <w:tcPr>
            <w:tcW w:w="1000" w:type="dxa"/>
            <w:vAlign w:val="center"/>
          </w:tcPr>
          <w:p>
            <w:pPr>
              <w:spacing w:before="20" w:after="20"/>
              <w:jc w:val="center"/>
            </w:pPr>
            <w:r>
              <w:rPr>
                <w:b/>
                <w:bCs/>
                <w:sz w:val="20"/>
                <w:szCs w:val="20"/>
              </w:rPr>
              <w:t xml:space="preserve">2,5</w:t>
            </w:r>
          </w:p>
        </w:tc>
        <w:tc>
          <w:tcPr>
            <w:tcW w:w="1300" w:type="dxa"/>
            <w:vAlign w:val="center"/>
          </w:tcPr>
          <w:p>
            <w:pPr>
              <w:spacing w:before="20" w:after="20"/>
              <w:jc w:val="center"/>
            </w:pPr>
            <w:r>
              <w:rPr>
                <w:sz w:val="20"/>
                <w:szCs w:val="20"/>
              </w:rPr>
              <w:t xml:space="preserve">13</w:t>
            </w:r>
          </w:p>
        </w:tc>
        <w:tc>
          <w:tcPr>
            <w:tcW w:w="2300" w:type="dxa"/>
            <w:vAlign w:val="center"/>
          </w:tcPr>
          <w:p>
            <w:pPr>
              <w:spacing w:before="20" w:after="20"/>
              <w:jc w:val="left"/>
            </w:pPr>
            <w:r>
              <w:rPr>
                <w:b/>
                <w:bCs/>
                <w:sz w:val="20"/>
                <w:szCs w:val="20"/>
              </w:rPr>
              <w:t xml:space="preserve">Asgari uyum seviyesine henüz ulaşılmadı</w:t>
            </w:r>
          </w:p>
        </w:tc>
      </w:tr>
      <w:tr>
        <w:trPr>
          <w:cantSplit/>
        </w:trPr>
        <w:tc>
          <w:tcPr>
            <w:tcW w:w="3172" w:type="dxa"/>
            <w:vAlign w:val="center"/>
          </w:tcPr>
          <w:p>
            <w:pPr>
              <w:spacing w:before="20" w:after="20"/>
              <w:jc w:val="left"/>
            </w:pPr>
            <w:r>
              <w:rPr>
                <w:sz w:val="20"/>
                <w:szCs w:val="20"/>
              </w:rPr>
              <w:t xml:space="preserve">KVKK</w:t>
            </w:r>
          </w:p>
        </w:tc>
        <w:tc>
          <w:tcPr>
            <w:tcW w:w="1300" w:type="dxa"/>
            <w:vAlign w:val="center"/>
          </w:tcPr>
          <w:p>
            <w:pPr>
              <w:spacing w:before="20" w:after="20"/>
              <w:jc w:val="center"/>
            </w:pPr>
            <w:r>
              <w:rPr>
                <w:sz w:val="20"/>
                <w:szCs w:val="20"/>
              </w:rPr>
              <w:t xml:space="preserve">26 / 27</w:t>
            </w:r>
          </w:p>
        </w:tc>
        <w:tc>
          <w:tcPr>
            <w:tcW w:w="1000" w:type="dxa"/>
            <w:vAlign w:val="center"/>
          </w:tcPr>
          <w:p>
            <w:pPr>
              <w:spacing w:before="20" w:after="20"/>
              <w:jc w:val="center"/>
            </w:pPr>
            <w:r>
              <w:rPr>
                <w:b/>
                <w:bCs/>
                <w:sz w:val="20"/>
                <w:szCs w:val="20"/>
              </w:rPr>
              <w:t xml:space="preserve">2,5</w:t>
            </w:r>
          </w:p>
        </w:tc>
        <w:tc>
          <w:tcPr>
            <w:tcW w:w="1300" w:type="dxa"/>
            <w:vAlign w:val="center"/>
          </w:tcPr>
          <w:p>
            <w:pPr>
              <w:spacing w:before="20" w:after="20"/>
              <w:jc w:val="center"/>
            </w:pPr>
            <w:r>
              <w:rPr>
                <w:sz w:val="20"/>
                <w:szCs w:val="20"/>
              </w:rPr>
              <w:t xml:space="preserve">14</w:t>
            </w:r>
          </w:p>
        </w:tc>
        <w:tc>
          <w:tcPr>
            <w:tcW w:w="2300" w:type="dxa"/>
            <w:vAlign w:val="center"/>
          </w:tcPr>
          <w:p>
            <w:pPr>
              <w:spacing w:before="20" w:after="20"/>
              <w:jc w:val="left"/>
            </w:pPr>
            <w:r>
              <w:rPr>
                <w:b/>
                <w:bCs/>
                <w:sz w:val="20"/>
                <w:szCs w:val="20"/>
              </w:rPr>
              <w:t xml:space="preserve">Asgari uyum seviyesine henüz ulaşılmadı</w:t>
            </w:r>
          </w:p>
        </w:tc>
      </w:tr>
      <w:tr>
        <w:trPr>
          <w:cantSplit/>
        </w:trPr>
        <w:tc>
          <w:tcPr>
            <w:tcW w:w="3172" w:type="dxa"/>
            <w:vAlign w:val="center"/>
          </w:tcPr>
          <w:p>
            <w:pPr>
              <w:spacing w:before="20" w:after="20"/>
              <w:jc w:val="left"/>
            </w:pPr>
            <w:r>
              <w:rPr>
                <w:sz w:val="20"/>
                <w:szCs w:val="20"/>
              </w:rPr>
              <w:t xml:space="preserve">ISO/IEC 27001</w:t>
            </w:r>
          </w:p>
        </w:tc>
        <w:tc>
          <w:tcPr>
            <w:tcW w:w="1300" w:type="dxa"/>
            <w:vAlign w:val="center"/>
          </w:tcPr>
          <w:p>
            <w:pPr>
              <w:spacing w:before="20" w:after="20"/>
              <w:jc w:val="center"/>
            </w:pPr>
            <w:r>
              <w:rPr>
                <w:sz w:val="20"/>
                <w:szCs w:val="20"/>
              </w:rPr>
              <w:t xml:space="preserve">24 / 25</w:t>
            </w:r>
          </w:p>
        </w:tc>
        <w:tc>
          <w:tcPr>
            <w:tcW w:w="1000" w:type="dxa"/>
            <w:vAlign w:val="center"/>
          </w:tcPr>
          <w:p>
            <w:pPr>
              <w:spacing w:before="20" w:after="20"/>
              <w:jc w:val="center"/>
            </w:pPr>
            <w:r>
              <w:rPr>
                <w:b/>
                <w:bCs/>
                <w:sz w:val="20"/>
                <w:szCs w:val="20"/>
              </w:rPr>
              <w:t xml:space="preserve">2,4</w:t>
            </w:r>
          </w:p>
        </w:tc>
        <w:tc>
          <w:tcPr>
            <w:tcW w:w="1300" w:type="dxa"/>
            <w:vAlign w:val="center"/>
          </w:tcPr>
          <w:p>
            <w:pPr>
              <w:spacing w:before="20" w:after="20"/>
              <w:jc w:val="center"/>
            </w:pPr>
            <w:r>
              <w:rPr>
                <w:sz w:val="20"/>
                <w:szCs w:val="20"/>
              </w:rPr>
              <w:t xml:space="preserve">14</w:t>
            </w:r>
          </w:p>
        </w:tc>
        <w:tc>
          <w:tcPr>
            <w:tcW w:w="2300" w:type="dxa"/>
            <w:vAlign w:val="center"/>
          </w:tcPr>
          <w:p>
            <w:pPr>
              <w:spacing w:before="20" w:after="20"/>
              <w:jc w:val="left"/>
            </w:pPr>
            <w:r>
              <w:rPr>
                <w:b/>
                <w:bCs/>
                <w:sz w:val="20"/>
                <w:szCs w:val="20"/>
              </w:rPr>
              <w:t xml:space="preserve">Asgari uyum seviyesine henüz ulaşılmadı</w:t>
            </w:r>
          </w:p>
        </w:tc>
      </w:tr>
    </w:tbl>
    <w:p>
      <w:pPr>
        <w:spacing w:before="0" w:after="60"/>
      </w:pPr>
      <w:r>
        <w:rPr>
          <w:sz w:val="8"/>
          <w:szCs w:val="8"/>
        </w:rPr>
        <w:t xml:space="preserve"/>
      </w:r>
    </w:p>
    <w:p>
      <w:r>
        <w:t xml:space="preserve">Asgari eşiğin altında kalan ve en az bir çerçeveyle ilişkili 16 kontrol, ilgili maddeleriyle birlikte aşağıda listelenmiştir. Bu kontrollerde yapılacak iyileştirmeler birden fazla çerçevedeki uyum seviyesini aynı anda yükseltecektir.</w:t>
      </w:r>
    </w:p>
    <w:p>
      <w:pPr>
        <w:pStyle w:val="Caption"/>
        <w:keepNext/>
      </w:pPr>
      <w:r>
        <w:t xml:space="preserve">Tablo 10 – Mevzuat ile ilişkili asgari eşik altı kontroller</w:t>
      </w:r>
    </w:p>
    <w:tbl>
      <w:tblPr>
        <w:tblStyle w:val="TableGrid"/>
        <w:tblW w:w="9072" w:type="dxa"/>
        <w:tblLayout w:type="fixed"/>
        <w:tblCellMar>
          <w:left w:w="85" w:type="dxa"/>
          <w:right w:w="85" w:type="dxa"/>
        </w:tblCellMar>
        <w:tblLook w:val="04A0" w:firstRow="1" w:lastRow="0" w:firstColumn="1" w:lastColumn="0" w:noHBand="0" w:noVBand="1"/>
      </w:tblPr>
      <w:tblGrid>
        <w:gridCol w:w="600"/>
        <w:gridCol w:w="1350"/>
        <w:gridCol w:w="2850"/>
        <w:gridCol w:w="600"/>
        <w:gridCol w:w="918"/>
        <w:gridCol w:w="918"/>
        <w:gridCol w:w="918"/>
        <w:gridCol w:w="918"/>
      </w:tblGrid>
      <w:tr>
        <w:trPr>
          <w:cantSplit/>
          <w:tblHeader/>
        </w:trPr>
        <w:tc>
          <w:tcPr>
            <w:tcW w:w="600" w:type="dxa"/>
            <w:shd w:val="clear" w:color="auto" w:fill="D9D9D9"/>
            <w:vAlign w:val="center"/>
          </w:tcPr>
          <w:p>
            <w:pPr>
              <w:spacing w:before="20" w:after="20"/>
              <w:jc w:val="left"/>
            </w:pPr>
            <w:r>
              <w:rPr>
                <w:b/>
                <w:bCs/>
                <w:sz w:val="16"/>
                <w:szCs w:val="16"/>
              </w:rPr>
              <w:t xml:space="preserve">Soru No</w:t>
            </w:r>
          </w:p>
        </w:tc>
        <w:tc>
          <w:tcPr>
            <w:tcW w:w="1350" w:type="dxa"/>
            <w:shd w:val="clear" w:color="auto" w:fill="D9D9D9"/>
            <w:vAlign w:val="center"/>
          </w:tcPr>
          <w:p>
            <w:pPr>
              <w:spacing w:before="20" w:after="20"/>
              <w:jc w:val="left"/>
            </w:pPr>
            <w:r>
              <w:rPr>
                <w:b/>
                <w:bCs/>
                <w:sz w:val="16"/>
                <w:szCs w:val="16"/>
              </w:rPr>
              <w:t xml:space="preserve">Kontrol alanı</w:t>
            </w:r>
          </w:p>
        </w:tc>
        <w:tc>
          <w:tcPr>
            <w:tcW w:w="2850" w:type="dxa"/>
            <w:shd w:val="clear" w:color="auto" w:fill="D9D9D9"/>
            <w:vAlign w:val="center"/>
          </w:tcPr>
          <w:p>
            <w:pPr>
              <w:spacing w:before="20" w:after="20"/>
              <w:jc w:val="left"/>
            </w:pPr>
            <w:r>
              <w:rPr>
                <w:b/>
                <w:bCs/>
                <w:sz w:val="16"/>
                <w:szCs w:val="16"/>
              </w:rPr>
              <w:t xml:space="preserve">Kontrol</w:t>
            </w:r>
          </w:p>
        </w:tc>
        <w:tc>
          <w:tcPr>
            <w:tcW w:w="600" w:type="dxa"/>
            <w:shd w:val="clear" w:color="auto" w:fill="D9D9D9"/>
            <w:vAlign w:val="center"/>
          </w:tcPr>
          <w:p>
            <w:pPr>
              <w:spacing w:before="20" w:after="20"/>
              <w:jc w:val="left"/>
            </w:pPr>
            <w:r>
              <w:rPr>
                <w:b/>
                <w:bCs/>
                <w:sz w:val="16"/>
                <w:szCs w:val="16"/>
              </w:rPr>
              <w:t xml:space="preserve">Puan</w:t>
            </w:r>
          </w:p>
        </w:tc>
        <w:tc>
          <w:tcPr>
            <w:tcW w:w="918" w:type="dxa"/>
            <w:shd w:val="clear" w:color="auto" w:fill="D9D9D9"/>
            <w:vAlign w:val="center"/>
          </w:tcPr>
          <w:p>
            <w:pPr>
              <w:spacing w:before="20" w:after="20"/>
              <w:jc w:val="left"/>
            </w:pPr>
            <w:r>
              <w:rPr>
                <w:b/>
                <w:bCs/>
                <w:sz w:val="16"/>
                <w:szCs w:val="16"/>
              </w:rPr>
              <w:t xml:space="preserve">7545</w:t>
            </w:r>
          </w:p>
        </w:tc>
        <w:tc>
          <w:tcPr>
            <w:tcW w:w="918" w:type="dxa"/>
            <w:shd w:val="clear" w:color="auto" w:fill="D9D9D9"/>
            <w:vAlign w:val="center"/>
          </w:tcPr>
          <w:p>
            <w:pPr>
              <w:spacing w:before="20" w:after="20"/>
              <w:jc w:val="left"/>
            </w:pPr>
            <w:r>
              <w:rPr>
                <w:b/>
                <w:bCs/>
                <w:sz w:val="16"/>
                <w:szCs w:val="16"/>
              </w:rPr>
              <w:t xml:space="preserve">BİGR</w:t>
            </w:r>
          </w:p>
        </w:tc>
        <w:tc>
          <w:tcPr>
            <w:tcW w:w="918" w:type="dxa"/>
            <w:shd w:val="clear" w:color="auto" w:fill="D9D9D9"/>
            <w:vAlign w:val="center"/>
          </w:tcPr>
          <w:p>
            <w:pPr>
              <w:spacing w:before="20" w:after="20"/>
              <w:jc w:val="left"/>
            </w:pPr>
            <w:r>
              <w:rPr>
                <w:b/>
                <w:bCs/>
                <w:sz w:val="16"/>
                <w:szCs w:val="16"/>
              </w:rPr>
              <w:t xml:space="preserve">KVKK</w:t>
            </w:r>
          </w:p>
        </w:tc>
        <w:tc>
          <w:tcPr>
            <w:tcW w:w="918" w:type="dxa"/>
            <w:shd w:val="clear" w:color="auto" w:fill="D9D9D9"/>
            <w:vAlign w:val="center"/>
          </w:tcPr>
          <w:p>
            <w:pPr>
              <w:spacing w:before="20" w:after="20"/>
              <w:jc w:val="left"/>
            </w:pPr>
            <w:r>
              <w:rPr>
                <w:b/>
                <w:bCs/>
                <w:sz w:val="16"/>
                <w:szCs w:val="16"/>
              </w:rPr>
              <w:t xml:space="preserve">ISO 27001</w:t>
            </w:r>
          </w:p>
        </w:tc>
      </w:tr>
      <w:tr>
        <w:trPr>
          <w:cantSplit/>
        </w:trPr>
        <w:tc>
          <w:tcPr>
            <w:tcW w:w="600" w:type="dxa"/>
            <w:vAlign w:val="center"/>
          </w:tcPr>
          <w:p>
            <w:pPr>
              <w:spacing w:before="20" w:after="20"/>
              <w:jc w:val="center"/>
            </w:pPr>
            <w:r>
              <w:rPr>
                <w:b/>
                <w:bCs/>
                <w:sz w:val="16"/>
                <w:szCs w:val="16"/>
              </w:rPr>
              <w:t xml:space="preserve">8</w:t>
            </w:r>
          </w:p>
        </w:tc>
        <w:tc>
          <w:tcPr>
            <w:tcW w:w="1350" w:type="dxa"/>
            <w:vAlign w:val="center"/>
          </w:tcPr>
          <w:p>
            <w:pPr>
              <w:spacing w:before="20" w:after="20"/>
              <w:jc w:val="left"/>
            </w:pPr>
            <w:r>
              <w:rPr>
                <w:sz w:val="16"/>
                <w:szCs w:val="16"/>
              </w:rPr>
              <w:t xml:space="preserve">Kimlik ve Erişim Yönetimi</w:t>
            </w:r>
          </w:p>
        </w:tc>
        <w:tc>
          <w:tcPr>
            <w:tcW w:w="2850" w:type="dxa"/>
            <w:vAlign w:val="center"/>
          </w:tcPr>
          <w:p>
            <w:pPr>
              <w:spacing w:before="20" w:after="20"/>
              <w:jc w:val="left"/>
            </w:pPr>
            <w:r>
              <w:rPr>
                <w:sz w:val="16"/>
                <w:szCs w:val="16"/>
              </w:rPr>
              <w:t xml:space="preserve">VPN, E-posta ve kritik sistemlere erişimde parola dışında ikinci bir doğrulama (MFA/SMS/OTP) zorunlu mu?</w:t>
            </w:r>
          </w:p>
        </w:tc>
        <w:tc>
          <w:tcPr>
            <w:tcW w:w="600" w:type="dxa"/>
            <w:vAlign w:val="center"/>
          </w:tcPr>
          <w:p>
            <w:pPr>
              <w:spacing w:before="20" w:after="20"/>
              <w:jc w:val="center"/>
            </w:pPr>
            <w:r>
              <w:rPr>
                <w:b/>
                <w:bCs/>
                <w:sz w:val="16"/>
                <w:szCs w:val="16"/>
              </w:rPr>
              <w:t xml:space="preserve">1,3</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KVK.T.72</w:t>
            </w:r>
          </w:p>
        </w:tc>
        <w:tc>
          <w:tcPr>
            <w:tcW w:w="918" w:type="dxa"/>
            <w:vAlign w:val="center"/>
          </w:tcPr>
          <w:p>
            <w:pPr>
              <w:spacing w:before="20" w:after="20"/>
              <w:jc w:val="center"/>
            </w:pPr>
            <w:r>
              <w:rPr>
                <w:sz w:val="16"/>
                <w:szCs w:val="16"/>
              </w:rPr>
              <w:t xml:space="preserve">MD.01.016</w:t>
            </w:r>
          </w:p>
        </w:tc>
      </w:tr>
      <w:tr>
        <w:trPr>
          <w:cantSplit/>
        </w:trPr>
        <w:tc>
          <w:tcPr>
            <w:tcW w:w="600" w:type="dxa"/>
            <w:vAlign w:val="center"/>
          </w:tcPr>
          <w:p>
            <w:pPr>
              <w:spacing w:before="20" w:after="20"/>
              <w:jc w:val="center"/>
            </w:pPr>
            <w:r>
              <w:rPr>
                <w:b/>
                <w:bCs/>
                <w:sz w:val="16"/>
                <w:szCs w:val="16"/>
              </w:rPr>
              <w:t xml:space="preserve">18</w:t>
            </w:r>
          </w:p>
        </w:tc>
        <w:tc>
          <w:tcPr>
            <w:tcW w:w="1350" w:type="dxa"/>
            <w:vAlign w:val="center"/>
          </w:tcPr>
          <w:p>
            <w:pPr>
              <w:spacing w:before="20" w:after="20"/>
              <w:jc w:val="left"/>
            </w:pPr>
            <w:r>
              <w:rPr>
                <w:sz w:val="16"/>
                <w:szCs w:val="16"/>
              </w:rPr>
              <w:t xml:space="preserve">Tehdit ve Zafiyet Yönetimi</w:t>
            </w:r>
          </w:p>
        </w:tc>
        <w:tc>
          <w:tcPr>
            <w:tcW w:w="2850" w:type="dxa"/>
            <w:vAlign w:val="center"/>
          </w:tcPr>
          <w:p>
            <w:pPr>
              <w:spacing w:before="20" w:after="20"/>
              <w:jc w:val="left"/>
            </w:pPr>
            <w:r>
              <w:rPr>
                <w:sz w:val="16"/>
                <w:szCs w:val="16"/>
              </w:rPr>
              <w:t xml:space="preserve">İşletim sistemlerinin ve kritik yazılımların güvenlik güncellemeleri (yamaları) merkezi ve otomatik olarak yapılıyor mu?</w:t>
            </w:r>
          </w:p>
        </w:tc>
        <w:tc>
          <w:tcPr>
            <w:tcW w:w="600" w:type="dxa"/>
            <w:vAlign w:val="center"/>
          </w:tcPr>
          <w:p>
            <w:pPr>
              <w:spacing w:before="20" w:after="20"/>
              <w:jc w:val="center"/>
            </w:pPr>
            <w:r>
              <w:rPr>
                <w:b/>
                <w:bCs/>
                <w:sz w:val="16"/>
                <w:szCs w:val="16"/>
              </w:rPr>
              <w:t xml:space="preserve">1,3</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3.1.3.8</w:t>
            </w:r>
          </w:p>
        </w:tc>
        <w:tc>
          <w:tcPr>
            <w:tcW w:w="918" w:type="dxa"/>
            <w:vAlign w:val="center"/>
          </w:tcPr>
          <w:p>
            <w:pPr>
              <w:spacing w:before="20" w:after="20"/>
              <w:jc w:val="center"/>
            </w:pPr>
            <w:r>
              <w:rPr>
                <w:sz w:val="16"/>
                <w:szCs w:val="16"/>
              </w:rPr>
              <w:t xml:space="preserve">KVK.T.85</w:t>
            </w:r>
          </w:p>
        </w:tc>
        <w:tc>
          <w:tcPr>
            <w:tcW w:w="918" w:type="dxa"/>
            <w:vAlign w:val="center"/>
          </w:tcPr>
          <w:p>
            <w:pPr>
              <w:spacing w:before="20" w:after="20"/>
              <w:jc w:val="center"/>
            </w:pPr>
            <w:r>
              <w:rPr>
                <w:sz w:val="16"/>
                <w:szCs w:val="16"/>
              </w:rPr>
              <w:t xml:space="preserve">MD.04.008</w:t>
            </w:r>
          </w:p>
        </w:tc>
      </w:tr>
      <w:tr>
        <w:trPr>
          <w:cantSplit/>
        </w:trPr>
        <w:tc>
          <w:tcPr>
            <w:tcW w:w="600" w:type="dxa"/>
            <w:vAlign w:val="center"/>
          </w:tcPr>
          <w:p>
            <w:pPr>
              <w:spacing w:before="20" w:after="20"/>
              <w:jc w:val="center"/>
            </w:pPr>
            <w:r>
              <w:rPr>
                <w:b/>
                <w:bCs/>
                <w:sz w:val="16"/>
                <w:szCs w:val="16"/>
              </w:rPr>
              <w:t xml:space="preserve">24</w:t>
            </w:r>
          </w:p>
        </w:tc>
        <w:tc>
          <w:tcPr>
            <w:tcW w:w="1350" w:type="dxa"/>
            <w:vAlign w:val="center"/>
          </w:tcPr>
          <w:p>
            <w:pPr>
              <w:spacing w:before="20" w:after="20"/>
              <w:jc w:val="left"/>
            </w:pPr>
            <w:r>
              <w:rPr>
                <w:sz w:val="16"/>
                <w:szCs w:val="16"/>
              </w:rPr>
              <w:t xml:space="preserve">Olay Müdahale, İzleme ve Süreklilik</w:t>
            </w:r>
          </w:p>
        </w:tc>
        <w:tc>
          <w:tcPr>
            <w:tcW w:w="2850" w:type="dxa"/>
            <w:vAlign w:val="center"/>
          </w:tcPr>
          <w:p>
            <w:pPr>
              <w:spacing w:before="20" w:after="20"/>
              <w:jc w:val="left"/>
            </w:pPr>
            <w:r>
              <w:rPr>
                <w:sz w:val="16"/>
                <w:szCs w:val="16"/>
              </w:rPr>
              <w:t xml:space="preserve">Kritik veriler düzenli yedekleniyor ve bu yedeklerin çalıştığı "Geri Dönüş (Restore)" testleri ile doğrulanıyor mu?</w:t>
            </w:r>
          </w:p>
        </w:tc>
        <w:tc>
          <w:tcPr>
            <w:tcW w:w="600" w:type="dxa"/>
            <w:vAlign w:val="center"/>
          </w:tcPr>
          <w:p>
            <w:pPr>
              <w:spacing w:before="20" w:after="20"/>
              <w:jc w:val="center"/>
            </w:pPr>
            <w:r>
              <w:rPr>
                <w:b/>
                <w:bCs/>
                <w:sz w:val="16"/>
                <w:szCs w:val="16"/>
              </w:rPr>
              <w:t xml:space="preserve">1,3</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3.1.13.4</w:t>
            </w:r>
          </w:p>
        </w:tc>
        <w:tc>
          <w:tcPr>
            <w:tcW w:w="918" w:type="dxa"/>
            <w:vAlign w:val="center"/>
          </w:tcPr>
          <w:p>
            <w:pPr>
              <w:spacing w:before="20" w:after="20"/>
              <w:jc w:val="center"/>
            </w:pPr>
            <w:r>
              <w:rPr>
                <w:sz w:val="16"/>
                <w:szCs w:val="16"/>
              </w:rPr>
              <w:t xml:space="preserve">KVK.T.149</w:t>
            </w:r>
          </w:p>
        </w:tc>
        <w:tc>
          <w:tcPr>
            <w:tcW w:w="918" w:type="dxa"/>
            <w:vAlign w:val="center"/>
          </w:tcPr>
          <w:p>
            <w:pPr>
              <w:spacing w:before="20" w:after="20"/>
              <w:jc w:val="center"/>
            </w:pPr>
            <w:r>
              <w:rPr>
                <w:sz w:val="16"/>
                <w:szCs w:val="16"/>
              </w:rPr>
              <w:t xml:space="preserve">MD.04.013</w:t>
            </w:r>
          </w:p>
        </w:tc>
      </w:tr>
      <w:tr>
        <w:trPr>
          <w:cantSplit/>
        </w:trPr>
        <w:tc>
          <w:tcPr>
            <w:tcW w:w="600" w:type="dxa"/>
            <w:vAlign w:val="center"/>
          </w:tcPr>
          <w:p>
            <w:pPr>
              <w:spacing w:before="20" w:after="20"/>
              <w:jc w:val="center"/>
            </w:pPr>
            <w:r>
              <w:rPr>
                <w:b/>
                <w:bCs/>
                <w:sz w:val="16"/>
                <w:szCs w:val="16"/>
              </w:rPr>
              <w:t xml:space="preserve">27</w:t>
            </w:r>
          </w:p>
        </w:tc>
        <w:tc>
          <w:tcPr>
            <w:tcW w:w="1350" w:type="dxa"/>
            <w:vAlign w:val="center"/>
          </w:tcPr>
          <w:p>
            <w:pPr>
              <w:spacing w:before="20" w:after="20"/>
              <w:jc w:val="left"/>
            </w:pPr>
            <w:r>
              <w:rPr>
                <w:sz w:val="16"/>
                <w:szCs w:val="16"/>
              </w:rPr>
              <w:t xml:space="preserve">Olay Müdahale, İzleme ve Süreklilik</w:t>
            </w:r>
          </w:p>
        </w:tc>
        <w:tc>
          <w:tcPr>
            <w:tcW w:w="2850" w:type="dxa"/>
            <w:vAlign w:val="center"/>
          </w:tcPr>
          <w:p>
            <w:pPr>
              <w:spacing w:before="20" w:after="20"/>
              <w:jc w:val="left"/>
            </w:pPr>
            <w:r>
              <w:rPr>
                <w:sz w:val="16"/>
                <w:szCs w:val="16"/>
              </w:rPr>
              <w:t xml:space="preserve">Log kayıtları 5651 ve 7545 sayılı kanunlara uygun şekilde, imzalı ve merkezi bir sistemde (SIEM) saklanıyor mu?</w:t>
            </w:r>
          </w:p>
        </w:tc>
        <w:tc>
          <w:tcPr>
            <w:tcW w:w="600" w:type="dxa"/>
            <w:vAlign w:val="center"/>
          </w:tcPr>
          <w:p>
            <w:pPr>
              <w:spacing w:before="20" w:after="20"/>
              <w:jc w:val="center"/>
            </w:pPr>
            <w:r>
              <w:rPr>
                <w:b/>
                <w:bCs/>
                <w:sz w:val="16"/>
                <w:szCs w:val="16"/>
              </w:rPr>
              <w:t xml:space="preserve">1,7</w:t>
            </w:r>
          </w:p>
        </w:tc>
        <w:tc>
          <w:tcPr>
            <w:tcW w:w="918" w:type="dxa"/>
            <w:vAlign w:val="center"/>
          </w:tcPr>
          <w:p>
            <w:pPr>
              <w:spacing w:before="20" w:after="20"/>
              <w:jc w:val="center"/>
            </w:pPr>
            <w:r>
              <w:rPr>
                <w:sz w:val="16"/>
                <w:szCs w:val="16"/>
              </w:rPr>
              <w:t xml:space="preserve">6/b, 6/d</w:t>
            </w:r>
          </w:p>
        </w:tc>
        <w:tc>
          <w:tcPr>
            <w:tcW w:w="918" w:type="dxa"/>
            <w:vAlign w:val="center"/>
          </w:tcPr>
          <w:p>
            <w:pPr>
              <w:spacing w:before="20" w:after="20"/>
              <w:jc w:val="center"/>
            </w:pPr>
            <w:r>
              <w:rPr>
                <w:sz w:val="16"/>
                <w:szCs w:val="16"/>
              </w:rPr>
              <w:t xml:space="preserve">3.1.6.18</w:t>
            </w:r>
          </w:p>
        </w:tc>
        <w:tc>
          <w:tcPr>
            <w:tcW w:w="918" w:type="dxa"/>
            <w:vAlign w:val="center"/>
          </w:tcPr>
          <w:p>
            <w:pPr>
              <w:spacing w:before="20" w:after="20"/>
              <w:jc w:val="center"/>
            </w:pPr>
            <w:r>
              <w:rPr>
                <w:sz w:val="16"/>
                <w:szCs w:val="16"/>
              </w:rPr>
              <w:t xml:space="preserve">KVK.T.51</w:t>
            </w:r>
          </w:p>
        </w:tc>
        <w:tc>
          <w:tcPr>
            <w:tcW w:w="918" w:type="dxa"/>
            <w:vAlign w:val="center"/>
          </w:tcPr>
          <w:p>
            <w:pPr>
              <w:spacing w:before="20" w:after="20"/>
              <w:jc w:val="center"/>
            </w:pPr>
            <w:r>
              <w:rPr>
                <w:sz w:val="16"/>
                <w:szCs w:val="16"/>
              </w:rPr>
              <w:t xml:space="preserve">MD.04.015</w:t>
            </w:r>
          </w:p>
        </w:tc>
      </w:tr>
      <w:tr>
        <w:trPr>
          <w:cantSplit/>
        </w:trPr>
        <w:tc>
          <w:tcPr>
            <w:tcW w:w="600" w:type="dxa"/>
            <w:vAlign w:val="center"/>
          </w:tcPr>
          <w:p>
            <w:pPr>
              <w:spacing w:before="20" w:after="20"/>
              <w:jc w:val="center"/>
            </w:pPr>
            <w:r>
              <w:rPr>
                <w:b/>
                <w:bCs/>
                <w:sz w:val="16"/>
                <w:szCs w:val="16"/>
              </w:rPr>
              <w:t xml:space="preserve">26</w:t>
            </w:r>
          </w:p>
        </w:tc>
        <w:tc>
          <w:tcPr>
            <w:tcW w:w="1350" w:type="dxa"/>
            <w:vAlign w:val="center"/>
          </w:tcPr>
          <w:p>
            <w:pPr>
              <w:spacing w:before="20" w:after="20"/>
              <w:jc w:val="left"/>
            </w:pPr>
            <w:r>
              <w:rPr>
                <w:sz w:val="16"/>
                <w:szCs w:val="16"/>
              </w:rPr>
              <w:t xml:space="preserve">Olay Müdahale, İzleme ve Süreklilik</w:t>
            </w:r>
          </w:p>
        </w:tc>
        <w:tc>
          <w:tcPr>
            <w:tcW w:w="2850" w:type="dxa"/>
            <w:vAlign w:val="center"/>
          </w:tcPr>
          <w:p>
            <w:pPr>
              <w:spacing w:before="20" w:after="20"/>
              <w:jc w:val="left"/>
            </w:pPr>
            <w:r>
              <w:rPr>
                <w:sz w:val="16"/>
                <w:szCs w:val="16"/>
              </w:rPr>
              <w:t xml:space="preserve">Siber saldırı veya felaket anında işin durmaması için yazılı ve test edilmiş bir İş Sürekliliği Planınız var mı?</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3.1.13.7</w:t>
            </w:r>
          </w:p>
        </w:tc>
        <w:tc>
          <w:tcPr>
            <w:tcW w:w="918" w:type="dxa"/>
            <w:vAlign w:val="center"/>
          </w:tcPr>
          <w:p>
            <w:pPr>
              <w:spacing w:before="20" w:after="20"/>
              <w:jc w:val="center"/>
            </w:pPr>
            <w:r>
              <w:rPr>
                <w:sz w:val="16"/>
                <w:szCs w:val="16"/>
              </w:rPr>
              <w:t xml:space="preserve">KVK.T.153</w:t>
            </w:r>
          </w:p>
        </w:tc>
        <w:tc>
          <w:tcPr>
            <w:tcW w:w="918" w:type="dxa"/>
            <w:vAlign w:val="center"/>
          </w:tcPr>
          <w:p>
            <w:pPr>
              <w:spacing w:before="20" w:after="20"/>
              <w:jc w:val="center"/>
            </w:pPr>
            <w:r>
              <w:rPr>
                <w:sz w:val="16"/>
                <w:szCs w:val="16"/>
              </w:rPr>
              <w:t xml:space="preserve">MD.01.027</w:t>
            </w:r>
          </w:p>
        </w:tc>
      </w:tr>
      <w:tr>
        <w:trPr>
          <w:cantSplit/>
        </w:trPr>
        <w:tc>
          <w:tcPr>
            <w:tcW w:w="600" w:type="dxa"/>
            <w:vAlign w:val="center"/>
          </w:tcPr>
          <w:p>
            <w:pPr>
              <w:spacing w:before="20" w:after="20"/>
              <w:jc w:val="center"/>
            </w:pPr>
            <w:r>
              <w:rPr>
                <w:b/>
                <w:bCs/>
                <w:sz w:val="16"/>
                <w:szCs w:val="16"/>
              </w:rPr>
              <w:t xml:space="preserve">14</w:t>
            </w:r>
          </w:p>
        </w:tc>
        <w:tc>
          <w:tcPr>
            <w:tcW w:w="1350" w:type="dxa"/>
            <w:vAlign w:val="center"/>
          </w:tcPr>
          <w:p>
            <w:pPr>
              <w:spacing w:before="20" w:after="20"/>
              <w:jc w:val="left"/>
            </w:pPr>
            <w:r>
              <w:rPr>
                <w:sz w:val="16"/>
                <w:szCs w:val="16"/>
              </w:rPr>
              <w:t xml:space="preserve">Ağ ve İletişim Güvenliği</w:t>
            </w:r>
          </w:p>
        </w:tc>
        <w:tc>
          <w:tcPr>
            <w:tcW w:w="2850" w:type="dxa"/>
            <w:vAlign w:val="center"/>
          </w:tcPr>
          <w:p>
            <w:pPr>
              <w:spacing w:before="20" w:after="20"/>
              <w:jc w:val="left"/>
            </w:pPr>
            <w:r>
              <w:rPr>
                <w:sz w:val="16"/>
                <w:szCs w:val="16"/>
              </w:rPr>
              <w:t xml:space="preserve">İnternet çıkışında trafiği denetleyen ve saldırıları engelleyen güncel bir Güvenlik Duvarı (NGFW/IPS) yönetiliyor mu?</w:t>
            </w:r>
          </w:p>
        </w:tc>
        <w:tc>
          <w:tcPr>
            <w:tcW w:w="600" w:type="dxa"/>
            <w:vAlign w:val="center"/>
          </w:tcPr>
          <w:p>
            <w:pPr>
              <w:spacing w:before="20" w:after="20"/>
              <w:jc w:val="center"/>
            </w:pPr>
            <w:r>
              <w:rPr>
                <w:b/>
                <w:bCs/>
                <w:sz w:val="16"/>
                <w:szCs w:val="16"/>
              </w:rPr>
              <w:t xml:space="preserve">2,3</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3.1.6.11</w:t>
            </w:r>
          </w:p>
        </w:tc>
        <w:tc>
          <w:tcPr>
            <w:tcW w:w="918" w:type="dxa"/>
            <w:vAlign w:val="center"/>
          </w:tcPr>
          <w:p>
            <w:pPr>
              <w:spacing w:before="20" w:after="20"/>
              <w:jc w:val="center"/>
            </w:pPr>
            <w:r>
              <w:rPr>
                <w:sz w:val="16"/>
                <w:szCs w:val="16"/>
              </w:rPr>
              <w:t xml:space="preserve">KVK.T.14</w:t>
            </w:r>
          </w:p>
        </w:tc>
        <w:tc>
          <w:tcPr>
            <w:tcW w:w="918" w:type="dxa"/>
            <w:vAlign w:val="center"/>
          </w:tcPr>
          <w:p>
            <w:pPr>
              <w:spacing w:before="20" w:after="20"/>
              <w:jc w:val="center"/>
            </w:pPr>
            <w:r>
              <w:rPr>
                <w:sz w:val="16"/>
                <w:szCs w:val="16"/>
              </w:rPr>
              <w:t xml:space="preserve">MD.04.043</w:t>
            </w:r>
          </w:p>
        </w:tc>
      </w:tr>
      <w:tr>
        <w:trPr>
          <w:cantSplit/>
        </w:trPr>
        <w:tc>
          <w:tcPr>
            <w:tcW w:w="600" w:type="dxa"/>
            <w:vAlign w:val="center"/>
          </w:tcPr>
          <w:p>
            <w:pPr>
              <w:spacing w:before="20" w:after="20"/>
              <w:jc w:val="center"/>
            </w:pPr>
            <w:r>
              <w:rPr>
                <w:b/>
                <w:bCs/>
                <w:sz w:val="16"/>
                <w:szCs w:val="16"/>
              </w:rPr>
              <w:t xml:space="preserve">1</w:t>
            </w:r>
          </w:p>
        </w:tc>
        <w:tc>
          <w:tcPr>
            <w:tcW w:w="1350" w:type="dxa"/>
            <w:vAlign w:val="center"/>
          </w:tcPr>
          <w:p>
            <w:pPr>
              <w:spacing w:before="20" w:after="20"/>
              <w:jc w:val="left"/>
            </w:pPr>
            <w:r>
              <w:rPr>
                <w:sz w:val="16"/>
                <w:szCs w:val="16"/>
              </w:rPr>
              <w:t xml:space="preserve">Yönetişim, Risk ve Uyumluluk</w:t>
            </w:r>
          </w:p>
        </w:tc>
        <w:tc>
          <w:tcPr>
            <w:tcW w:w="2850" w:type="dxa"/>
            <w:vAlign w:val="center"/>
          </w:tcPr>
          <w:p>
            <w:pPr>
              <w:spacing w:before="20" w:after="20"/>
              <w:jc w:val="left"/>
            </w:pPr>
            <w:r>
              <w:rPr>
                <w:sz w:val="16"/>
                <w:szCs w:val="16"/>
              </w:rPr>
              <w:t xml:space="preserve">Siber güvenlik riskleri üst yönetim seviyesinde düzenli görüşülüp, riskleri azaltmak için ayrı bir bütçe ve kaynak ayrılıyor mu?</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4</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MD.01.038</w:t>
            </w:r>
          </w:p>
        </w:tc>
      </w:tr>
      <w:tr>
        <w:trPr>
          <w:cantSplit/>
        </w:trPr>
        <w:tc>
          <w:tcPr>
            <w:tcW w:w="600" w:type="dxa"/>
            <w:vAlign w:val="center"/>
          </w:tcPr>
          <w:p>
            <w:pPr>
              <w:spacing w:before="20" w:after="20"/>
              <w:jc w:val="center"/>
            </w:pPr>
            <w:r>
              <w:rPr>
                <w:b/>
                <w:bCs/>
                <w:sz w:val="16"/>
                <w:szCs w:val="16"/>
              </w:rPr>
              <w:t xml:space="preserve">6</w:t>
            </w:r>
          </w:p>
        </w:tc>
        <w:tc>
          <w:tcPr>
            <w:tcW w:w="1350" w:type="dxa"/>
            <w:vAlign w:val="center"/>
          </w:tcPr>
          <w:p>
            <w:pPr>
              <w:spacing w:before="20" w:after="20"/>
              <w:jc w:val="left"/>
            </w:pPr>
            <w:r>
              <w:rPr>
                <w:sz w:val="16"/>
                <w:szCs w:val="16"/>
              </w:rPr>
              <w:t xml:space="preserve">Kimlik ve Erişim Yönetimi</w:t>
            </w:r>
          </w:p>
        </w:tc>
        <w:tc>
          <w:tcPr>
            <w:tcW w:w="2850" w:type="dxa"/>
            <w:vAlign w:val="center"/>
          </w:tcPr>
          <w:p>
            <w:pPr>
              <w:spacing w:before="20" w:after="20"/>
              <w:jc w:val="left"/>
            </w:pPr>
            <w:r>
              <w:rPr>
                <w:sz w:val="16"/>
                <w:szCs w:val="16"/>
              </w:rPr>
              <w:t xml:space="preserve">İşe giriş ve çıkışlarda (özellikle ayrılan personelin) erişim yetkileri anında ve eksiksiz olarak yönetiliyor mu?</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KVK.M.22</w:t>
            </w:r>
          </w:p>
        </w:tc>
        <w:tc>
          <w:tcPr>
            <w:tcW w:w="918" w:type="dxa"/>
            <w:vAlign w:val="center"/>
          </w:tcPr>
          <w:p>
            <w:pPr>
              <w:spacing w:before="20" w:after="20"/>
              <w:jc w:val="center"/>
            </w:pPr>
            <w:r>
              <w:rPr>
                <w:sz w:val="16"/>
                <w:szCs w:val="16"/>
              </w:rPr>
              <w:t xml:space="preserve">MD.01.017</w:t>
            </w:r>
          </w:p>
        </w:tc>
      </w:tr>
      <w:tr>
        <w:trPr>
          <w:cantSplit/>
        </w:trPr>
        <w:tc>
          <w:tcPr>
            <w:tcW w:w="600" w:type="dxa"/>
            <w:vAlign w:val="center"/>
          </w:tcPr>
          <w:p>
            <w:pPr>
              <w:spacing w:before="20" w:after="20"/>
              <w:jc w:val="center"/>
            </w:pPr>
            <w:r>
              <w:rPr>
                <w:b/>
                <w:bCs/>
                <w:sz w:val="16"/>
                <w:szCs w:val="16"/>
              </w:rPr>
              <w:t xml:space="preserve">11</w:t>
            </w:r>
          </w:p>
        </w:tc>
        <w:tc>
          <w:tcPr>
            <w:tcW w:w="1350" w:type="dxa"/>
            <w:vAlign w:val="center"/>
          </w:tcPr>
          <w:p>
            <w:pPr>
              <w:spacing w:before="20" w:after="20"/>
              <w:jc w:val="left"/>
            </w:pPr>
            <w:r>
              <w:rPr>
                <w:sz w:val="16"/>
                <w:szCs w:val="16"/>
              </w:rPr>
              <w:t xml:space="preserve">Yönetişim, Risk ve Uyumluluk</w:t>
            </w:r>
          </w:p>
        </w:tc>
        <w:tc>
          <w:tcPr>
            <w:tcW w:w="2850" w:type="dxa"/>
            <w:vAlign w:val="center"/>
          </w:tcPr>
          <w:p>
            <w:pPr>
              <w:spacing w:before="20" w:after="20"/>
              <w:jc w:val="left"/>
            </w:pPr>
            <w:r>
              <w:rPr>
                <w:sz w:val="16"/>
                <w:szCs w:val="16"/>
              </w:rPr>
              <w:t xml:space="preserve">Bir siber olay veya zafiyet yaşandığında, bunu yasal süresi içinde Siber Güvenlik Başkanlığı'na bildirecek prosedürünüz hazır mı?</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7/b (Olay)</w:t>
            </w:r>
          </w:p>
        </w:tc>
        <w:tc>
          <w:tcPr>
            <w:tcW w:w="918" w:type="dxa"/>
            <w:vAlign w:val="center"/>
          </w:tcPr>
          <w:p>
            <w:pPr>
              <w:spacing w:before="20" w:after="20"/>
              <w:jc w:val="center"/>
            </w:pPr>
            <w:r>
              <w:rPr>
                <w:sz w:val="16"/>
                <w:szCs w:val="16"/>
              </w:rPr>
              <w:t xml:space="preserve">3.1.10.5</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w:t>
            </w:r>
          </w:p>
        </w:tc>
      </w:tr>
      <w:tr>
        <w:trPr>
          <w:cantSplit/>
        </w:trPr>
        <w:tc>
          <w:tcPr>
            <w:tcW w:w="600" w:type="dxa"/>
            <w:vAlign w:val="center"/>
          </w:tcPr>
          <w:p>
            <w:pPr>
              <w:spacing w:before="20" w:after="20"/>
              <w:jc w:val="center"/>
            </w:pPr>
            <w:r>
              <w:rPr>
                <w:b/>
                <w:bCs/>
                <w:sz w:val="16"/>
                <w:szCs w:val="16"/>
              </w:rPr>
              <w:t xml:space="preserve">13</w:t>
            </w:r>
          </w:p>
        </w:tc>
        <w:tc>
          <w:tcPr>
            <w:tcW w:w="1350" w:type="dxa"/>
            <w:vAlign w:val="center"/>
          </w:tcPr>
          <w:p>
            <w:pPr>
              <w:spacing w:before="20" w:after="20"/>
              <w:jc w:val="left"/>
            </w:pPr>
            <w:r>
              <w:rPr>
                <w:sz w:val="16"/>
                <w:szCs w:val="16"/>
              </w:rPr>
              <w:t xml:space="preserve">Fiziksel Güvenlik</w:t>
            </w:r>
          </w:p>
        </w:tc>
        <w:tc>
          <w:tcPr>
            <w:tcW w:w="2850" w:type="dxa"/>
            <w:vAlign w:val="center"/>
          </w:tcPr>
          <w:p>
            <w:pPr>
              <w:spacing w:before="20" w:after="20"/>
              <w:jc w:val="left"/>
            </w:pPr>
            <w:r>
              <w:rPr>
                <w:sz w:val="16"/>
                <w:szCs w:val="16"/>
              </w:rPr>
              <w:t xml:space="preserve">Sunucu odasıyetkisiz girişlere, yangın/ısı risklerine ve elektrik kesintilerine (UPS/Jeneratör) karşı korunuyor mu?</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3.6.1.1</w:t>
            </w:r>
          </w:p>
        </w:tc>
        <w:tc>
          <w:tcPr>
            <w:tcW w:w="918" w:type="dxa"/>
            <w:vAlign w:val="center"/>
          </w:tcPr>
          <w:p>
            <w:pPr>
              <w:spacing w:before="20" w:after="20"/>
              <w:jc w:val="center"/>
            </w:pPr>
            <w:r>
              <w:rPr>
                <w:sz w:val="16"/>
                <w:szCs w:val="16"/>
              </w:rPr>
              <w:t xml:space="preserve">KVK.T.61</w:t>
            </w:r>
          </w:p>
        </w:tc>
        <w:tc>
          <w:tcPr>
            <w:tcW w:w="918" w:type="dxa"/>
            <w:vAlign w:val="center"/>
          </w:tcPr>
          <w:p>
            <w:pPr>
              <w:spacing w:before="20" w:after="20"/>
              <w:jc w:val="center"/>
            </w:pPr>
            <w:r>
              <w:rPr>
                <w:sz w:val="16"/>
                <w:szCs w:val="16"/>
              </w:rPr>
              <w:t xml:space="preserve">MD.03.001</w:t>
            </w:r>
          </w:p>
        </w:tc>
      </w:tr>
      <w:tr>
        <w:trPr>
          <w:cantSplit/>
        </w:trPr>
        <w:tc>
          <w:tcPr>
            <w:tcW w:w="600" w:type="dxa"/>
            <w:vAlign w:val="center"/>
          </w:tcPr>
          <w:p>
            <w:pPr>
              <w:spacing w:before="20" w:after="20"/>
              <w:jc w:val="center"/>
            </w:pPr>
            <w:r>
              <w:rPr>
                <w:b/>
                <w:bCs/>
                <w:sz w:val="16"/>
                <w:szCs w:val="16"/>
              </w:rPr>
              <w:t xml:space="preserve">16</w:t>
            </w:r>
          </w:p>
        </w:tc>
        <w:tc>
          <w:tcPr>
            <w:tcW w:w="1350" w:type="dxa"/>
            <w:vAlign w:val="center"/>
          </w:tcPr>
          <w:p>
            <w:pPr>
              <w:spacing w:before="20" w:after="20"/>
              <w:jc w:val="left"/>
            </w:pPr>
            <w:r>
              <w:rPr>
                <w:sz w:val="16"/>
                <w:szCs w:val="16"/>
              </w:rPr>
              <w:t xml:space="preserve">Ağ ve İletişim Güvenliği</w:t>
            </w:r>
          </w:p>
        </w:tc>
        <w:tc>
          <w:tcPr>
            <w:tcW w:w="2850" w:type="dxa"/>
            <w:vAlign w:val="center"/>
          </w:tcPr>
          <w:p>
            <w:pPr>
              <w:spacing w:before="20" w:after="20"/>
              <w:jc w:val="left"/>
            </w:pPr>
            <w:r>
              <w:rPr>
                <w:sz w:val="16"/>
                <w:szCs w:val="16"/>
              </w:rPr>
              <w:t xml:space="preserve">Dışarıdan şirket ağına yapılan tüm bağlantılar "Güvenli VPN" veya şifreli tüneller üzerinden mi yapılıyor?</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3.1.6.32</w:t>
            </w:r>
          </w:p>
        </w:tc>
        <w:tc>
          <w:tcPr>
            <w:tcW w:w="918" w:type="dxa"/>
            <w:vAlign w:val="center"/>
          </w:tcPr>
          <w:p>
            <w:pPr>
              <w:spacing w:before="20" w:after="20"/>
              <w:jc w:val="center"/>
            </w:pPr>
            <w:r>
              <w:rPr>
                <w:sz w:val="16"/>
                <w:szCs w:val="16"/>
              </w:rPr>
              <w:t xml:space="preserve">KVK.T.90</w:t>
            </w:r>
          </w:p>
        </w:tc>
        <w:tc>
          <w:tcPr>
            <w:tcW w:w="918" w:type="dxa"/>
            <w:vAlign w:val="center"/>
          </w:tcPr>
          <w:p>
            <w:pPr>
              <w:spacing w:before="20" w:after="20"/>
              <w:jc w:val="center"/>
            </w:pPr>
            <w:r>
              <w:rPr>
                <w:sz w:val="16"/>
                <w:szCs w:val="16"/>
              </w:rPr>
              <w:t xml:space="preserve">MD.04.019</w:t>
            </w:r>
          </w:p>
        </w:tc>
      </w:tr>
      <w:tr>
        <w:trPr>
          <w:cantSplit/>
        </w:trPr>
        <w:tc>
          <w:tcPr>
            <w:tcW w:w="600" w:type="dxa"/>
            <w:vAlign w:val="center"/>
          </w:tcPr>
          <w:p>
            <w:pPr>
              <w:spacing w:before="20" w:after="20"/>
              <w:jc w:val="center"/>
            </w:pPr>
            <w:r>
              <w:rPr>
                <w:b/>
                <w:bCs/>
                <w:sz w:val="16"/>
                <w:szCs w:val="16"/>
              </w:rPr>
              <w:t xml:space="preserve">20</w:t>
            </w:r>
          </w:p>
        </w:tc>
        <w:tc>
          <w:tcPr>
            <w:tcW w:w="1350" w:type="dxa"/>
            <w:vAlign w:val="center"/>
          </w:tcPr>
          <w:p>
            <w:pPr>
              <w:spacing w:before="20" w:after="20"/>
              <w:jc w:val="left"/>
            </w:pPr>
            <w:r>
              <w:rPr>
                <w:sz w:val="16"/>
                <w:szCs w:val="16"/>
              </w:rPr>
              <w:t xml:space="preserve">Ağ ve İletişim Güvenliği</w:t>
            </w:r>
          </w:p>
        </w:tc>
        <w:tc>
          <w:tcPr>
            <w:tcW w:w="2850" w:type="dxa"/>
            <w:vAlign w:val="center"/>
          </w:tcPr>
          <w:p>
            <w:pPr>
              <w:spacing w:before="20" w:after="20"/>
              <w:jc w:val="left"/>
            </w:pPr>
            <w:r>
              <w:rPr>
                <w:sz w:val="16"/>
                <w:szCs w:val="16"/>
              </w:rPr>
              <w:t xml:space="preserve">Oltalama (Phishing) ve zararlı e-postaları engelleyen profesyonel bir E-Posta Güvenlik Ağ Geçidi (Gateway) var mı?</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3.1.4.7</w:t>
            </w:r>
          </w:p>
        </w:tc>
        <w:tc>
          <w:tcPr>
            <w:tcW w:w="918" w:type="dxa"/>
            <w:vAlign w:val="center"/>
          </w:tcPr>
          <w:p>
            <w:pPr>
              <w:spacing w:before="20" w:after="20"/>
              <w:jc w:val="center"/>
            </w:pPr>
            <w:r>
              <w:rPr>
                <w:sz w:val="16"/>
                <w:szCs w:val="16"/>
              </w:rPr>
              <w:t xml:space="preserve">KVK.T.45</w:t>
            </w:r>
          </w:p>
        </w:tc>
        <w:tc>
          <w:tcPr>
            <w:tcW w:w="918" w:type="dxa"/>
            <w:vAlign w:val="center"/>
          </w:tcPr>
          <w:p>
            <w:pPr>
              <w:spacing w:before="20" w:after="20"/>
              <w:jc w:val="center"/>
            </w:pPr>
            <w:r>
              <w:rPr>
                <w:sz w:val="16"/>
                <w:szCs w:val="16"/>
              </w:rPr>
              <w:t xml:space="preserve">—</w:t>
            </w:r>
          </w:p>
        </w:tc>
      </w:tr>
      <w:tr>
        <w:trPr>
          <w:cantSplit/>
        </w:trPr>
        <w:tc>
          <w:tcPr>
            <w:tcW w:w="600" w:type="dxa"/>
            <w:vAlign w:val="center"/>
          </w:tcPr>
          <w:p>
            <w:pPr>
              <w:spacing w:before="20" w:after="20"/>
              <w:jc w:val="center"/>
            </w:pPr>
            <w:r>
              <w:rPr>
                <w:b/>
                <w:bCs/>
                <w:sz w:val="16"/>
                <w:szCs w:val="16"/>
              </w:rPr>
              <w:t xml:space="preserve">21</w:t>
            </w:r>
          </w:p>
        </w:tc>
        <w:tc>
          <w:tcPr>
            <w:tcW w:w="1350" w:type="dxa"/>
            <w:vAlign w:val="center"/>
          </w:tcPr>
          <w:p>
            <w:pPr>
              <w:spacing w:before="20" w:after="20"/>
              <w:jc w:val="left"/>
            </w:pPr>
            <w:r>
              <w:rPr>
                <w:sz w:val="16"/>
                <w:szCs w:val="16"/>
              </w:rPr>
              <w:t xml:space="preserve">Tehdit ve Zafiyet Yönetimi</w:t>
            </w:r>
          </w:p>
        </w:tc>
        <w:tc>
          <w:tcPr>
            <w:tcW w:w="2850" w:type="dxa"/>
            <w:vAlign w:val="center"/>
          </w:tcPr>
          <w:p>
            <w:pPr>
              <w:spacing w:before="20" w:after="20"/>
              <w:jc w:val="left"/>
            </w:pPr>
            <w:r>
              <w:rPr>
                <w:sz w:val="16"/>
                <w:szCs w:val="16"/>
              </w:rPr>
              <w:t xml:space="preserve">Yılda en az bir kez Sızma Testi (Pentest) yaptırıp, rapordaki kritik açıkları kapatarak doğruluyor musunuz?</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3.1.11.1</w:t>
            </w:r>
          </w:p>
        </w:tc>
        <w:tc>
          <w:tcPr>
            <w:tcW w:w="918" w:type="dxa"/>
            <w:vAlign w:val="center"/>
          </w:tcPr>
          <w:p>
            <w:pPr>
              <w:spacing w:before="20" w:after="20"/>
              <w:jc w:val="center"/>
            </w:pPr>
            <w:r>
              <w:rPr>
                <w:sz w:val="16"/>
                <w:szCs w:val="16"/>
              </w:rPr>
              <w:t xml:space="preserve">KVK.T.120</w:t>
            </w:r>
          </w:p>
        </w:tc>
        <w:tc>
          <w:tcPr>
            <w:tcW w:w="918" w:type="dxa"/>
            <w:vAlign w:val="center"/>
          </w:tcPr>
          <w:p>
            <w:pPr>
              <w:spacing w:before="20" w:after="20"/>
              <w:jc w:val="center"/>
            </w:pPr>
            <w:r>
              <w:rPr>
                <w:sz w:val="16"/>
                <w:szCs w:val="16"/>
              </w:rPr>
              <w:t xml:space="preserve">MD.04.033</w:t>
            </w:r>
          </w:p>
        </w:tc>
      </w:tr>
      <w:tr>
        <w:trPr>
          <w:cantSplit/>
        </w:trPr>
        <w:tc>
          <w:tcPr>
            <w:tcW w:w="600" w:type="dxa"/>
            <w:vAlign w:val="center"/>
          </w:tcPr>
          <w:p>
            <w:pPr>
              <w:spacing w:before="20" w:after="20"/>
              <w:jc w:val="center"/>
            </w:pPr>
            <w:r>
              <w:rPr>
                <w:b/>
                <w:bCs/>
                <w:sz w:val="16"/>
                <w:szCs w:val="16"/>
              </w:rPr>
              <w:t xml:space="preserve">3</w:t>
            </w:r>
          </w:p>
        </w:tc>
        <w:tc>
          <w:tcPr>
            <w:tcW w:w="1350" w:type="dxa"/>
            <w:vAlign w:val="center"/>
          </w:tcPr>
          <w:p>
            <w:pPr>
              <w:spacing w:before="20" w:after="20"/>
              <w:jc w:val="left"/>
            </w:pPr>
            <w:r>
              <w:rPr>
                <w:sz w:val="16"/>
                <w:szCs w:val="16"/>
              </w:rPr>
              <w:t xml:space="preserve">Varlık ve Yapılandırma Yönetimi</w:t>
            </w:r>
          </w:p>
        </w:tc>
        <w:tc>
          <w:tcPr>
            <w:tcW w:w="2850" w:type="dxa"/>
            <w:vAlign w:val="center"/>
          </w:tcPr>
          <w:p>
            <w:pPr>
              <w:spacing w:before="20" w:after="20"/>
              <w:jc w:val="left"/>
            </w:pPr>
            <w:r>
              <w:rPr>
                <w:sz w:val="16"/>
                <w:szCs w:val="16"/>
              </w:rPr>
              <w:t xml:space="preserve">Kritik donanım/yazılımlarınızı ve hassas verilerinizin nerede tutulduğunu gösteren güncel bir envanter/veri haritanız var mı?</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5/a</w:t>
            </w:r>
          </w:p>
        </w:tc>
        <w:tc>
          <w:tcPr>
            <w:tcW w:w="918" w:type="dxa"/>
            <w:vAlign w:val="center"/>
          </w:tcPr>
          <w:p>
            <w:pPr>
              <w:spacing w:before="20" w:after="20"/>
              <w:jc w:val="center"/>
            </w:pPr>
            <w:r>
              <w:rPr>
                <w:sz w:val="16"/>
                <w:szCs w:val="16"/>
              </w:rPr>
              <w:t xml:space="preserve">3.1.1.1</w:t>
            </w:r>
          </w:p>
        </w:tc>
        <w:tc>
          <w:tcPr>
            <w:tcW w:w="918" w:type="dxa"/>
            <w:vAlign w:val="center"/>
          </w:tcPr>
          <w:p>
            <w:pPr>
              <w:spacing w:before="20" w:after="20"/>
              <w:jc w:val="center"/>
            </w:pPr>
            <w:r>
              <w:rPr>
                <w:sz w:val="16"/>
                <w:szCs w:val="16"/>
              </w:rPr>
              <w:t xml:space="preserve">KVK.M.9</w:t>
            </w:r>
          </w:p>
        </w:tc>
        <w:tc>
          <w:tcPr>
            <w:tcW w:w="918" w:type="dxa"/>
            <w:vAlign w:val="center"/>
          </w:tcPr>
          <w:p>
            <w:pPr>
              <w:spacing w:before="20" w:after="20"/>
              <w:jc w:val="center"/>
            </w:pPr>
            <w:r>
              <w:rPr>
                <w:sz w:val="16"/>
                <w:szCs w:val="16"/>
              </w:rPr>
              <w:t xml:space="preserve">MD.01.008</w:t>
            </w:r>
          </w:p>
        </w:tc>
      </w:tr>
      <w:tr>
        <w:trPr>
          <w:cantSplit/>
        </w:trPr>
        <w:tc>
          <w:tcPr>
            <w:tcW w:w="600" w:type="dxa"/>
            <w:vAlign w:val="center"/>
          </w:tcPr>
          <w:p>
            <w:pPr>
              <w:spacing w:before="20" w:after="20"/>
              <w:jc w:val="center"/>
            </w:pPr>
            <w:r>
              <w:rPr>
                <w:b/>
                <w:bCs/>
                <w:sz w:val="16"/>
                <w:szCs w:val="16"/>
              </w:rPr>
              <w:t xml:space="preserve">10</w:t>
            </w:r>
          </w:p>
        </w:tc>
        <w:tc>
          <w:tcPr>
            <w:tcW w:w="1350" w:type="dxa"/>
            <w:vAlign w:val="center"/>
          </w:tcPr>
          <w:p>
            <w:pPr>
              <w:spacing w:before="20" w:after="20"/>
              <w:jc w:val="left"/>
            </w:pPr>
            <w:r>
              <w:rPr>
                <w:sz w:val="16"/>
                <w:szCs w:val="16"/>
              </w:rPr>
              <w:t xml:space="preserve">Kimlik ve Erişim Yönetimi</w:t>
            </w:r>
          </w:p>
        </w:tc>
        <w:tc>
          <w:tcPr>
            <w:tcW w:w="2850" w:type="dxa"/>
            <w:vAlign w:val="center"/>
          </w:tcPr>
          <w:p>
            <w:pPr>
              <w:spacing w:before="20" w:after="20"/>
              <w:jc w:val="left"/>
            </w:pPr>
            <w:r>
              <w:rPr>
                <w:sz w:val="16"/>
                <w:szCs w:val="16"/>
              </w:rPr>
              <w:t xml:space="preserve">Kullanıcıların "neye, nereye" erişebileceği "En Az Yetki" prensibine göre ve merkezi bir sistemden (AD) yönetiliyor mu?</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3.1.12.14</w:t>
            </w:r>
          </w:p>
        </w:tc>
        <w:tc>
          <w:tcPr>
            <w:tcW w:w="918" w:type="dxa"/>
            <w:vAlign w:val="center"/>
          </w:tcPr>
          <w:p>
            <w:pPr>
              <w:spacing w:before="20" w:after="20"/>
              <w:jc w:val="center"/>
            </w:pPr>
            <w:r>
              <w:rPr>
                <w:sz w:val="16"/>
                <w:szCs w:val="16"/>
              </w:rPr>
              <w:t xml:space="preserve">KVK.T.53</w:t>
            </w:r>
          </w:p>
        </w:tc>
        <w:tc>
          <w:tcPr>
            <w:tcW w:w="918" w:type="dxa"/>
            <w:vAlign w:val="center"/>
          </w:tcPr>
          <w:p>
            <w:pPr>
              <w:spacing w:before="20" w:after="20"/>
              <w:jc w:val="center"/>
            </w:pPr>
            <w:r>
              <w:rPr>
                <w:sz w:val="16"/>
                <w:szCs w:val="16"/>
              </w:rPr>
              <w:t xml:space="preserve">MD.01.014</w:t>
            </w:r>
          </w:p>
        </w:tc>
      </w:tr>
      <w:tr>
        <w:trPr>
          <w:cantSplit/>
        </w:trPr>
        <w:tc>
          <w:tcPr>
            <w:tcW w:w="600" w:type="dxa"/>
            <w:vAlign w:val="center"/>
          </w:tcPr>
          <w:p>
            <w:pPr>
              <w:spacing w:before="20" w:after="20"/>
              <w:jc w:val="center"/>
            </w:pPr>
            <w:r>
              <w:rPr>
                <w:b/>
                <w:bCs/>
                <w:sz w:val="16"/>
                <w:szCs w:val="16"/>
              </w:rPr>
              <w:t xml:space="preserve">23</w:t>
            </w:r>
          </w:p>
        </w:tc>
        <w:tc>
          <w:tcPr>
            <w:tcW w:w="1350" w:type="dxa"/>
            <w:vAlign w:val="center"/>
          </w:tcPr>
          <w:p>
            <w:pPr>
              <w:spacing w:before="20" w:after="20"/>
              <w:jc w:val="left"/>
            </w:pPr>
            <w:r>
              <w:rPr>
                <w:sz w:val="16"/>
                <w:szCs w:val="16"/>
              </w:rPr>
              <w:t xml:space="preserve">Veri ve Kriptografi Güvenliği</w:t>
            </w:r>
          </w:p>
        </w:tc>
        <w:tc>
          <w:tcPr>
            <w:tcW w:w="2850" w:type="dxa"/>
            <w:vAlign w:val="center"/>
          </w:tcPr>
          <w:p>
            <w:pPr>
              <w:spacing w:before="20" w:after="20"/>
              <w:jc w:val="left"/>
            </w:pPr>
            <w:r>
              <w:rPr>
                <w:sz w:val="16"/>
                <w:szCs w:val="16"/>
              </w:rPr>
              <w:t xml:space="preserve">Yasal saklama süresi dolan verilerin güvenli ve geri döndürülemez şekilde silinmesi için bir süreciniz var mı?</w:t>
            </w:r>
          </w:p>
        </w:tc>
        <w:tc>
          <w:tcPr>
            <w:tcW w:w="600" w:type="dxa"/>
            <w:vAlign w:val="center"/>
          </w:tcPr>
          <w:p>
            <w:pPr>
              <w:spacing w:before="20" w:after="20"/>
              <w:jc w:val="center"/>
            </w:pPr>
            <w:r>
              <w:rPr>
                <w:b/>
                <w:bCs/>
                <w:sz w:val="16"/>
                <w:szCs w:val="16"/>
              </w:rPr>
              <w:t xml:space="preserve">2,0</w:t>
            </w:r>
          </w:p>
        </w:tc>
        <w:tc>
          <w:tcPr>
            <w:tcW w:w="918" w:type="dxa"/>
            <w:vAlign w:val="center"/>
          </w:tcPr>
          <w:p>
            <w:pPr>
              <w:spacing w:before="20" w:after="20"/>
              <w:jc w:val="center"/>
            </w:pPr>
            <w:r>
              <w:rPr>
                <w:sz w:val="16"/>
                <w:szCs w:val="16"/>
              </w:rPr>
              <w:t xml:space="preserve">—</w:t>
            </w:r>
          </w:p>
        </w:tc>
        <w:tc>
          <w:tcPr>
            <w:tcW w:w="918" w:type="dxa"/>
            <w:vAlign w:val="center"/>
          </w:tcPr>
          <w:p>
            <w:pPr>
              <w:spacing w:before="20" w:after="20"/>
              <w:jc w:val="center"/>
            </w:pPr>
            <w:r>
              <w:rPr>
                <w:sz w:val="16"/>
                <w:szCs w:val="16"/>
              </w:rPr>
              <w:t xml:space="preserve">4.1.1.10</w:t>
            </w:r>
          </w:p>
        </w:tc>
        <w:tc>
          <w:tcPr>
            <w:tcW w:w="918" w:type="dxa"/>
            <w:vAlign w:val="center"/>
          </w:tcPr>
          <w:p>
            <w:pPr>
              <w:spacing w:before="20" w:after="20"/>
              <w:jc w:val="center"/>
            </w:pPr>
            <w:r>
              <w:rPr>
                <w:sz w:val="16"/>
                <w:szCs w:val="16"/>
              </w:rPr>
              <w:t xml:space="preserve">KVK.M.15</w:t>
            </w:r>
          </w:p>
        </w:tc>
        <w:tc>
          <w:tcPr>
            <w:tcW w:w="918" w:type="dxa"/>
            <w:vAlign w:val="center"/>
          </w:tcPr>
          <w:p>
            <w:pPr>
              <w:spacing w:before="20" w:after="20"/>
              <w:jc w:val="center"/>
            </w:pPr>
            <w:r>
              <w:rPr>
                <w:sz w:val="16"/>
                <w:szCs w:val="16"/>
              </w:rPr>
              <w:t xml:space="preserve">MD.04.010</w:t>
            </w:r>
          </w:p>
        </w:tc>
      </w:tr>
    </w:tbl>
    <w:p>
      <w:pPr>
        <w:spacing w:before="0" w:after="60"/>
      </w:pPr>
      <w:r>
        <w:rPr>
          <w:sz w:val="8"/>
          <w:szCs w:val="8"/>
        </w:rPr>
        <w:t xml:space="preserve"/>
      </w:r>
    </w:p>
    <w:p>
      <w:r>
        <w:rPr>
          <w:i/>
          <w:iCs/>
          <w:sz w:val="18"/>
          <w:szCs w:val="18"/>
        </w:rPr>
        <w:t xml:space="preserve">Soru No, EK-1 Soru / Cevap Tablosu’ndaki numaralandırmayı esas alır.</w:t>
      </w:r>
    </w:p>
    <w:p>
      <w:pPr>
        <w:pStyle w:val="Heading1"/>
        <w:pageBreakBefore/>
      </w:pPr>
      <w:r>
        <w:t xml:space="preserve">Öncelikli Risk Alanları</w:t>
      </w:r>
    </w:p>
    <w:p>
      <w:r>
        <w:t xml:space="preserve">Puanı asgari seviyenin (3,0) altında kalan 16 kontrol, etki seviyesi ve olgunluk düzeyi birlikte dikkate alınarak önceliklendirilmiştir: 4 kontrol 1. öncelik, 9 kontrol 2. öncelik, 3 kontrol 3. öncelik sınıfındadır. Risk matrisinde her hücre, ilgili etki seviyesi ve puan aralığındaki kontrol sayısını gösterir.</w:t>
      </w:r>
    </w:p>
    <w:p>
      <w:pPr>
        <w:keepNext/>
        <w:spacing w:before="120" w:after="0"/>
        <w:jc w:val="center"/>
      </w:pPr>
      <w:r>
        <w:drawing>
          <wp:inline xmlns:wp="http://schemas.openxmlformats.org/drawingml/2006/wordprocessingDrawing" distT="0" distB="0" distL="0" distR="0">
            <wp:extent cx="5760000" cy="2501053"/>
            <wp:effectExtent l="0" t="0" r="0" b="0"/>
            <wp:docPr id="10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qa_chart6.png"/>
                    <pic:cNvPicPr/>
                  </pic:nvPicPr>
                  <pic:blipFill>
                    <a:blip xmlns:r="http://schemas.openxmlformats.org/officeDocument/2006/relationships" r:embed="rIdQaImg6"/>
                    <a:stretch>
                      <a:fillRect/>
                    </a:stretch>
                  </pic:blipFill>
                  <pic:spPr>
                    <a:xfrm>
                      <a:off x="0" y="0"/>
                      <a:ext cx="5760000" cy="2501053"/>
                    </a:xfrm>
                    <a:prstGeom prst="rect">
                      <a:avLst/>
                    </a:prstGeom>
                  </pic:spPr>
                </pic:pic>
              </a:graphicData>
            </a:graphic>
          </wp:inline>
        </w:drawing>
      </w:r>
    </w:p>
    <w:p>
      <w:pPr>
        <w:pStyle w:val="Caption"/>
        <w:jc w:val="center"/>
      </w:pPr>
      <w:r>
        <w:t xml:space="preserve">Şekil 6 – Etki × olgunluk risk matrisi</w:t>
      </w:r>
    </w:p>
    <w:p>
      <w:pPr>
        <w:pStyle w:val="Caption"/>
        <w:keepNext/>
      </w:pPr>
      <w:r>
        <w:t xml:space="preserve">Tablo 11 – Öncelikli risk alanları</w:t>
      </w:r>
    </w:p>
    <w:tbl>
      <w:tblPr>
        <w:tblStyle w:val="TableGrid"/>
        <w:tblW w:w="9072" w:type="dxa"/>
        <w:tblLayout w:type="fixed"/>
        <w:tblCellMar>
          <w:left w:w="85" w:type="dxa"/>
          <w:right w:w="85" w:type="dxa"/>
        </w:tblCellMar>
        <w:tblLook w:val="04A0" w:firstRow="1" w:lastRow="0" w:firstColumn="1" w:lastColumn="0" w:noHBand="0" w:noVBand="1"/>
      </w:tblPr>
      <w:tblGrid>
        <w:gridCol w:w="450"/>
        <w:gridCol w:w="850"/>
        <w:gridCol w:w="600"/>
        <w:gridCol w:w="1450"/>
        <w:gridCol w:w="2800"/>
        <w:gridCol w:w="900"/>
        <w:gridCol w:w="600"/>
        <w:gridCol w:w="1422"/>
      </w:tblGrid>
      <w:tr>
        <w:trPr>
          <w:cantSplit/>
          <w:tblHeader/>
        </w:trPr>
        <w:tc>
          <w:tcPr>
            <w:tcW w:w="450" w:type="dxa"/>
            <w:shd w:val="clear" w:color="auto" w:fill="D9D9D9"/>
            <w:vAlign w:val="center"/>
          </w:tcPr>
          <w:p>
            <w:pPr>
              <w:spacing w:before="20" w:after="20"/>
              <w:jc w:val="left"/>
            </w:pPr>
            <w:r>
              <w:rPr>
                <w:b/>
                <w:bCs/>
                <w:sz w:val="17"/>
                <w:szCs w:val="17"/>
              </w:rPr>
              <w:t xml:space="preserve">Sıra</w:t>
            </w:r>
          </w:p>
        </w:tc>
        <w:tc>
          <w:tcPr>
            <w:tcW w:w="850" w:type="dxa"/>
            <w:shd w:val="clear" w:color="auto" w:fill="D9D9D9"/>
            <w:vAlign w:val="center"/>
          </w:tcPr>
          <w:p>
            <w:pPr>
              <w:spacing w:before="20" w:after="20"/>
              <w:jc w:val="left"/>
            </w:pPr>
            <w:r>
              <w:rPr>
                <w:b/>
                <w:bCs/>
                <w:sz w:val="17"/>
                <w:szCs w:val="17"/>
              </w:rPr>
              <w:t xml:space="preserve">Öncelik</w:t>
            </w:r>
          </w:p>
        </w:tc>
        <w:tc>
          <w:tcPr>
            <w:tcW w:w="600" w:type="dxa"/>
            <w:shd w:val="clear" w:color="auto" w:fill="D9D9D9"/>
            <w:vAlign w:val="center"/>
          </w:tcPr>
          <w:p>
            <w:pPr>
              <w:spacing w:before="20" w:after="20"/>
              <w:jc w:val="left"/>
            </w:pPr>
            <w:r>
              <w:rPr>
                <w:b/>
                <w:bCs/>
                <w:sz w:val="17"/>
                <w:szCs w:val="17"/>
              </w:rPr>
              <w:t xml:space="preserve">Soru No</w:t>
            </w:r>
          </w:p>
        </w:tc>
        <w:tc>
          <w:tcPr>
            <w:tcW w:w="1450" w:type="dxa"/>
            <w:shd w:val="clear" w:color="auto" w:fill="D9D9D9"/>
            <w:vAlign w:val="center"/>
          </w:tcPr>
          <w:p>
            <w:pPr>
              <w:spacing w:before="20" w:after="20"/>
              <w:jc w:val="left"/>
            </w:pPr>
            <w:r>
              <w:rPr>
                <w:b/>
                <w:bCs/>
                <w:sz w:val="17"/>
                <w:szCs w:val="17"/>
              </w:rPr>
              <w:t xml:space="preserve">Kontrol alanı</w:t>
            </w:r>
          </w:p>
        </w:tc>
        <w:tc>
          <w:tcPr>
            <w:tcW w:w="2800" w:type="dxa"/>
            <w:shd w:val="clear" w:color="auto" w:fill="D9D9D9"/>
            <w:vAlign w:val="center"/>
          </w:tcPr>
          <w:p>
            <w:pPr>
              <w:spacing w:before="20" w:after="20"/>
              <w:jc w:val="left"/>
            </w:pPr>
            <w:r>
              <w:rPr>
                <w:b/>
                <w:bCs/>
                <w:sz w:val="17"/>
                <w:szCs w:val="17"/>
              </w:rPr>
              <w:t xml:space="preserve">Kontrol</w:t>
            </w:r>
          </w:p>
        </w:tc>
        <w:tc>
          <w:tcPr>
            <w:tcW w:w="900" w:type="dxa"/>
            <w:shd w:val="clear" w:color="auto" w:fill="D9D9D9"/>
            <w:vAlign w:val="center"/>
          </w:tcPr>
          <w:p>
            <w:pPr>
              <w:spacing w:before="20" w:after="20"/>
              <w:jc w:val="left"/>
            </w:pPr>
            <w:r>
              <w:rPr>
                <w:b/>
                <w:bCs/>
                <w:sz w:val="17"/>
                <w:szCs w:val="17"/>
              </w:rPr>
              <w:t xml:space="preserve">Etki</w:t>
            </w:r>
          </w:p>
        </w:tc>
        <w:tc>
          <w:tcPr>
            <w:tcW w:w="600" w:type="dxa"/>
            <w:shd w:val="clear" w:color="auto" w:fill="D9D9D9"/>
            <w:vAlign w:val="center"/>
          </w:tcPr>
          <w:p>
            <w:pPr>
              <w:spacing w:before="20" w:after="20"/>
              <w:jc w:val="left"/>
            </w:pPr>
            <w:r>
              <w:rPr>
                <w:b/>
                <w:bCs/>
                <w:sz w:val="17"/>
                <w:szCs w:val="17"/>
              </w:rPr>
              <w:t xml:space="preserve">Puan</w:t>
            </w:r>
          </w:p>
        </w:tc>
        <w:tc>
          <w:tcPr>
            <w:tcW w:w="1422" w:type="dxa"/>
            <w:shd w:val="clear" w:color="auto" w:fill="D9D9D9"/>
            <w:vAlign w:val="center"/>
          </w:tcPr>
          <w:p>
            <w:pPr>
              <w:spacing w:before="20" w:after="20"/>
              <w:jc w:val="left"/>
            </w:pPr>
            <w:r>
              <w:rPr>
                <w:b/>
                <w:bCs/>
                <w:sz w:val="17"/>
                <w:szCs w:val="17"/>
              </w:rPr>
              <w:t xml:space="preserve">Geliştirilecek boyut</w:t>
            </w:r>
          </w:p>
        </w:tc>
      </w:tr>
      <w:tr>
        <w:trPr>
          <w:cantSplit/>
        </w:trPr>
        <w:tc>
          <w:tcPr>
            <w:tcW w:w="450" w:type="dxa"/>
            <w:vAlign w:val="center"/>
          </w:tcPr>
          <w:p>
            <w:pPr>
              <w:spacing w:before="20" w:after="20"/>
              <w:jc w:val="center"/>
            </w:pPr>
            <w:r>
              <w:rPr>
                <w:sz w:val="17"/>
                <w:szCs w:val="17"/>
              </w:rPr>
              <w:t xml:space="preserve">1</w:t>
            </w:r>
          </w:p>
        </w:tc>
        <w:tc>
          <w:tcPr>
            <w:tcW w:w="850" w:type="dxa"/>
            <w:vAlign w:val="center"/>
          </w:tcPr>
          <w:p>
            <w:pPr>
              <w:spacing w:before="20" w:after="20"/>
              <w:jc w:val="left"/>
            </w:pPr>
            <w:r>
              <w:rPr>
                <w:b/>
                <w:bCs/>
                <w:sz w:val="17"/>
                <w:szCs w:val="17"/>
              </w:rPr>
              <w:t xml:space="preserve">1. Öncelik</w:t>
            </w:r>
          </w:p>
        </w:tc>
        <w:tc>
          <w:tcPr>
            <w:tcW w:w="600" w:type="dxa"/>
            <w:vAlign w:val="center"/>
          </w:tcPr>
          <w:p>
            <w:pPr>
              <w:spacing w:before="20" w:after="20"/>
              <w:jc w:val="center"/>
            </w:pPr>
            <w:r>
              <w:rPr>
                <w:b/>
                <w:bCs/>
                <w:sz w:val="17"/>
                <w:szCs w:val="17"/>
              </w:rPr>
              <w:t xml:space="preserve">8</w:t>
            </w:r>
          </w:p>
        </w:tc>
        <w:tc>
          <w:tcPr>
            <w:tcW w:w="1450" w:type="dxa"/>
            <w:vAlign w:val="center"/>
          </w:tcPr>
          <w:p>
            <w:pPr>
              <w:spacing w:before="20" w:after="20"/>
              <w:jc w:val="left"/>
            </w:pPr>
            <w:r>
              <w:rPr>
                <w:sz w:val="17"/>
                <w:szCs w:val="17"/>
              </w:rPr>
              <w:t xml:space="preserve">Kimlik ve Erişim Yönetimi</w:t>
            </w:r>
          </w:p>
        </w:tc>
        <w:tc>
          <w:tcPr>
            <w:tcW w:w="2800" w:type="dxa"/>
            <w:vAlign w:val="center"/>
          </w:tcPr>
          <w:p>
            <w:pPr>
              <w:spacing w:before="20" w:after="20"/>
              <w:jc w:val="left"/>
            </w:pPr>
            <w:r>
              <w:rPr>
                <w:sz w:val="17"/>
                <w:szCs w:val="17"/>
              </w:rPr>
              <w:t xml:space="preserve">VPN, E-posta ve kritik sistemlere erişimde parola dışında ikinci bir doğrulama (MFA/SMS/OTP) zorunlu mu?</w:t>
            </w:r>
          </w:p>
        </w:tc>
        <w:tc>
          <w:tcPr>
            <w:tcW w:w="900" w:type="dxa"/>
            <w:vAlign w:val="center"/>
          </w:tcPr>
          <w:p>
            <w:pPr>
              <w:spacing w:before="20" w:after="20"/>
              <w:jc w:val="left"/>
            </w:pPr>
            <w:r>
              <w:rPr>
                <w:sz w:val="17"/>
                <w:szCs w:val="17"/>
              </w:rPr>
              <w:t xml:space="preserve">Çok Yüksek</w:t>
            </w:r>
          </w:p>
        </w:tc>
        <w:tc>
          <w:tcPr>
            <w:tcW w:w="600" w:type="dxa"/>
            <w:vAlign w:val="center"/>
          </w:tcPr>
          <w:p>
            <w:pPr>
              <w:spacing w:before="20" w:after="20"/>
              <w:jc w:val="center"/>
            </w:pPr>
            <w:r>
              <w:rPr>
                <w:b/>
                <w:bCs/>
                <w:sz w:val="17"/>
                <w:szCs w:val="17"/>
              </w:rPr>
              <w:t xml:space="preserve">1,3</w:t>
            </w:r>
          </w:p>
        </w:tc>
        <w:tc>
          <w:tcPr>
            <w:tcW w:w="1422" w:type="dxa"/>
            <w:vAlign w:val="center"/>
          </w:tcPr>
          <w:p>
            <w:pPr>
              <w:spacing w:before="20" w:after="20"/>
              <w:jc w:val="left"/>
            </w:pPr>
            <w:r>
              <w:rPr>
                <w:sz w:val="17"/>
                <w:szCs w:val="17"/>
              </w:rPr>
              <w:t xml:space="preserve">İnsan: 1</w:t>
            </w:r>
            <w:r>
              <w:rPr>
                <w:sz w:val="17"/>
                <w:szCs w:val="17"/>
              </w:rPr>
              <w:br/>
              <w:t xml:space="preserve">Süreç: 1</w:t>
            </w:r>
            <w:r>
              <w:rPr>
                <w:sz w:val="17"/>
                <w:szCs w:val="17"/>
              </w:rPr>
              <w:br/>
              <w:t xml:space="preserve">Teknoloji: 2</w:t>
            </w:r>
          </w:p>
        </w:tc>
      </w:tr>
      <w:tr>
        <w:trPr>
          <w:cantSplit/>
        </w:trPr>
        <w:tc>
          <w:tcPr>
            <w:tcW w:w="450" w:type="dxa"/>
            <w:vAlign w:val="center"/>
          </w:tcPr>
          <w:p>
            <w:pPr>
              <w:spacing w:before="20" w:after="20"/>
              <w:jc w:val="center"/>
            </w:pPr>
            <w:r>
              <w:rPr>
                <w:sz w:val="17"/>
                <w:szCs w:val="17"/>
              </w:rPr>
              <w:t xml:space="preserve">2</w:t>
            </w:r>
          </w:p>
        </w:tc>
        <w:tc>
          <w:tcPr>
            <w:tcW w:w="850" w:type="dxa"/>
            <w:vAlign w:val="center"/>
          </w:tcPr>
          <w:p>
            <w:pPr>
              <w:spacing w:before="20" w:after="20"/>
              <w:jc w:val="left"/>
            </w:pPr>
            <w:r>
              <w:rPr>
                <w:b/>
                <w:bCs/>
                <w:sz w:val="17"/>
                <w:szCs w:val="17"/>
              </w:rPr>
              <w:t xml:space="preserve">1. Öncelik</w:t>
            </w:r>
          </w:p>
        </w:tc>
        <w:tc>
          <w:tcPr>
            <w:tcW w:w="600" w:type="dxa"/>
            <w:vAlign w:val="center"/>
          </w:tcPr>
          <w:p>
            <w:pPr>
              <w:spacing w:before="20" w:after="20"/>
              <w:jc w:val="center"/>
            </w:pPr>
            <w:r>
              <w:rPr>
                <w:b/>
                <w:bCs/>
                <w:sz w:val="17"/>
                <w:szCs w:val="17"/>
              </w:rPr>
              <w:t xml:space="preserve">18</w:t>
            </w:r>
          </w:p>
        </w:tc>
        <w:tc>
          <w:tcPr>
            <w:tcW w:w="1450" w:type="dxa"/>
            <w:vAlign w:val="center"/>
          </w:tcPr>
          <w:p>
            <w:pPr>
              <w:spacing w:before="20" w:after="20"/>
              <w:jc w:val="left"/>
            </w:pPr>
            <w:r>
              <w:rPr>
                <w:sz w:val="17"/>
                <w:szCs w:val="17"/>
              </w:rPr>
              <w:t xml:space="preserve">Tehdit ve Zafiyet Yönetimi</w:t>
            </w:r>
          </w:p>
        </w:tc>
        <w:tc>
          <w:tcPr>
            <w:tcW w:w="2800" w:type="dxa"/>
            <w:vAlign w:val="center"/>
          </w:tcPr>
          <w:p>
            <w:pPr>
              <w:spacing w:before="20" w:after="20"/>
              <w:jc w:val="left"/>
            </w:pPr>
            <w:r>
              <w:rPr>
                <w:sz w:val="17"/>
                <w:szCs w:val="17"/>
              </w:rPr>
              <w:t xml:space="preserve">İşletim sistemlerinin ve kritik yazılımların güvenlik güncellemeleri (yamaları) merkezi ve otomatik olarak yapılıyor mu?</w:t>
            </w:r>
          </w:p>
        </w:tc>
        <w:tc>
          <w:tcPr>
            <w:tcW w:w="900" w:type="dxa"/>
            <w:vAlign w:val="center"/>
          </w:tcPr>
          <w:p>
            <w:pPr>
              <w:spacing w:before="20" w:after="20"/>
              <w:jc w:val="left"/>
            </w:pPr>
            <w:r>
              <w:rPr>
                <w:sz w:val="17"/>
                <w:szCs w:val="17"/>
              </w:rPr>
              <w:t xml:space="preserve">Çok Yüksek</w:t>
            </w:r>
          </w:p>
        </w:tc>
        <w:tc>
          <w:tcPr>
            <w:tcW w:w="600" w:type="dxa"/>
            <w:vAlign w:val="center"/>
          </w:tcPr>
          <w:p>
            <w:pPr>
              <w:spacing w:before="20" w:after="20"/>
              <w:jc w:val="center"/>
            </w:pPr>
            <w:r>
              <w:rPr>
                <w:b/>
                <w:bCs/>
                <w:sz w:val="17"/>
                <w:szCs w:val="17"/>
              </w:rPr>
              <w:t xml:space="preserve">1,3</w:t>
            </w:r>
          </w:p>
        </w:tc>
        <w:tc>
          <w:tcPr>
            <w:tcW w:w="1422" w:type="dxa"/>
            <w:vAlign w:val="center"/>
          </w:tcPr>
          <w:p>
            <w:pPr>
              <w:spacing w:before="20" w:after="20"/>
              <w:jc w:val="left"/>
            </w:pPr>
            <w:r>
              <w:rPr>
                <w:sz w:val="17"/>
                <w:szCs w:val="17"/>
              </w:rPr>
              <w:t xml:space="preserve">İnsan: 1</w:t>
            </w:r>
            <w:r>
              <w:rPr>
                <w:sz w:val="17"/>
                <w:szCs w:val="17"/>
              </w:rPr>
              <w:br/>
              <w:t xml:space="preserve">Süreç: 1</w:t>
            </w:r>
            <w:r>
              <w:rPr>
                <w:sz w:val="17"/>
                <w:szCs w:val="17"/>
              </w:rPr>
              <w:br/>
              <w:t xml:space="preserve">Teknoloji: 2</w:t>
            </w:r>
          </w:p>
        </w:tc>
      </w:tr>
      <w:tr>
        <w:trPr>
          <w:cantSplit/>
        </w:trPr>
        <w:tc>
          <w:tcPr>
            <w:tcW w:w="450" w:type="dxa"/>
            <w:vAlign w:val="center"/>
          </w:tcPr>
          <w:p>
            <w:pPr>
              <w:spacing w:before="20" w:after="20"/>
              <w:jc w:val="center"/>
            </w:pPr>
            <w:r>
              <w:rPr>
                <w:sz w:val="17"/>
                <w:szCs w:val="17"/>
              </w:rPr>
              <w:t xml:space="preserve">3</w:t>
            </w:r>
          </w:p>
        </w:tc>
        <w:tc>
          <w:tcPr>
            <w:tcW w:w="850" w:type="dxa"/>
            <w:vAlign w:val="center"/>
          </w:tcPr>
          <w:p>
            <w:pPr>
              <w:spacing w:before="20" w:after="20"/>
              <w:jc w:val="left"/>
            </w:pPr>
            <w:r>
              <w:rPr>
                <w:b/>
                <w:bCs/>
                <w:sz w:val="17"/>
                <w:szCs w:val="17"/>
              </w:rPr>
              <w:t xml:space="preserve">1. Öncelik</w:t>
            </w:r>
          </w:p>
        </w:tc>
        <w:tc>
          <w:tcPr>
            <w:tcW w:w="600" w:type="dxa"/>
            <w:vAlign w:val="center"/>
          </w:tcPr>
          <w:p>
            <w:pPr>
              <w:spacing w:before="20" w:after="20"/>
              <w:jc w:val="center"/>
            </w:pPr>
            <w:r>
              <w:rPr>
                <w:b/>
                <w:bCs/>
                <w:sz w:val="17"/>
                <w:szCs w:val="17"/>
              </w:rPr>
              <w:t xml:space="preserve">24</w:t>
            </w:r>
          </w:p>
        </w:tc>
        <w:tc>
          <w:tcPr>
            <w:tcW w:w="1450" w:type="dxa"/>
            <w:vAlign w:val="center"/>
          </w:tcPr>
          <w:p>
            <w:pPr>
              <w:spacing w:before="20" w:after="20"/>
              <w:jc w:val="left"/>
            </w:pPr>
            <w:r>
              <w:rPr>
                <w:sz w:val="17"/>
                <w:szCs w:val="17"/>
              </w:rPr>
              <w:t xml:space="preserve">Olay Müdahale, İzleme ve Süreklilik</w:t>
            </w:r>
          </w:p>
        </w:tc>
        <w:tc>
          <w:tcPr>
            <w:tcW w:w="2800" w:type="dxa"/>
            <w:vAlign w:val="center"/>
          </w:tcPr>
          <w:p>
            <w:pPr>
              <w:spacing w:before="20" w:after="20"/>
              <w:jc w:val="left"/>
            </w:pPr>
            <w:r>
              <w:rPr>
                <w:sz w:val="17"/>
                <w:szCs w:val="17"/>
              </w:rPr>
              <w:t xml:space="preserve">Kritik veriler düzenli yedekleniyor ve bu yedeklerin çalıştığı "Geri Dönüş (Restore)" testleri ile doğrulanıyor mu?</w:t>
            </w:r>
          </w:p>
        </w:tc>
        <w:tc>
          <w:tcPr>
            <w:tcW w:w="900" w:type="dxa"/>
            <w:vAlign w:val="center"/>
          </w:tcPr>
          <w:p>
            <w:pPr>
              <w:spacing w:before="20" w:after="20"/>
              <w:jc w:val="left"/>
            </w:pPr>
            <w:r>
              <w:rPr>
                <w:sz w:val="17"/>
                <w:szCs w:val="17"/>
              </w:rPr>
              <w:t xml:space="preserve">Çok Yüksek</w:t>
            </w:r>
          </w:p>
        </w:tc>
        <w:tc>
          <w:tcPr>
            <w:tcW w:w="600" w:type="dxa"/>
            <w:vAlign w:val="center"/>
          </w:tcPr>
          <w:p>
            <w:pPr>
              <w:spacing w:before="20" w:after="20"/>
              <w:jc w:val="center"/>
            </w:pPr>
            <w:r>
              <w:rPr>
                <w:b/>
                <w:bCs/>
                <w:sz w:val="17"/>
                <w:szCs w:val="17"/>
              </w:rPr>
              <w:t xml:space="preserve">1,3</w:t>
            </w:r>
          </w:p>
        </w:tc>
        <w:tc>
          <w:tcPr>
            <w:tcW w:w="1422" w:type="dxa"/>
            <w:vAlign w:val="center"/>
          </w:tcPr>
          <w:p>
            <w:pPr>
              <w:spacing w:before="20" w:after="20"/>
              <w:jc w:val="left"/>
            </w:pPr>
            <w:r>
              <w:rPr>
                <w:sz w:val="17"/>
                <w:szCs w:val="17"/>
              </w:rPr>
              <w:t xml:space="preserve">İnsan: 1</w:t>
            </w:r>
            <w:r>
              <w:rPr>
                <w:sz w:val="17"/>
                <w:szCs w:val="17"/>
              </w:rPr>
              <w:br/>
              <w:t xml:space="preserve">Süreç: 2</w:t>
            </w:r>
            <w:r>
              <w:rPr>
                <w:sz w:val="17"/>
                <w:szCs w:val="17"/>
              </w:rPr>
              <w:br/>
              <w:t xml:space="preserve">Teknoloji: 1</w:t>
            </w:r>
          </w:p>
        </w:tc>
      </w:tr>
      <w:tr>
        <w:trPr>
          <w:cantSplit/>
        </w:trPr>
        <w:tc>
          <w:tcPr>
            <w:tcW w:w="450" w:type="dxa"/>
            <w:vAlign w:val="center"/>
          </w:tcPr>
          <w:p>
            <w:pPr>
              <w:spacing w:before="20" w:after="20"/>
              <w:jc w:val="center"/>
            </w:pPr>
            <w:r>
              <w:rPr>
                <w:sz w:val="17"/>
                <w:szCs w:val="17"/>
              </w:rPr>
              <w:t xml:space="preserve">4</w:t>
            </w:r>
          </w:p>
        </w:tc>
        <w:tc>
          <w:tcPr>
            <w:tcW w:w="850" w:type="dxa"/>
            <w:vAlign w:val="center"/>
          </w:tcPr>
          <w:p>
            <w:pPr>
              <w:spacing w:before="20" w:after="20"/>
              <w:jc w:val="left"/>
            </w:pPr>
            <w:r>
              <w:rPr>
                <w:b/>
                <w:bCs/>
                <w:sz w:val="17"/>
                <w:szCs w:val="17"/>
              </w:rPr>
              <w:t xml:space="preserve">1. Öncelik</w:t>
            </w:r>
          </w:p>
        </w:tc>
        <w:tc>
          <w:tcPr>
            <w:tcW w:w="600" w:type="dxa"/>
            <w:vAlign w:val="center"/>
          </w:tcPr>
          <w:p>
            <w:pPr>
              <w:spacing w:before="20" w:after="20"/>
              <w:jc w:val="center"/>
            </w:pPr>
            <w:r>
              <w:rPr>
                <w:b/>
                <w:bCs/>
                <w:sz w:val="17"/>
                <w:szCs w:val="17"/>
              </w:rPr>
              <w:t xml:space="preserve">27</w:t>
            </w:r>
          </w:p>
        </w:tc>
        <w:tc>
          <w:tcPr>
            <w:tcW w:w="1450" w:type="dxa"/>
            <w:vAlign w:val="center"/>
          </w:tcPr>
          <w:p>
            <w:pPr>
              <w:spacing w:before="20" w:after="20"/>
              <w:jc w:val="left"/>
            </w:pPr>
            <w:r>
              <w:rPr>
                <w:sz w:val="17"/>
                <w:szCs w:val="17"/>
              </w:rPr>
              <w:t xml:space="preserve">Olay Müdahale, İzleme ve Süreklilik</w:t>
            </w:r>
          </w:p>
        </w:tc>
        <w:tc>
          <w:tcPr>
            <w:tcW w:w="2800" w:type="dxa"/>
            <w:vAlign w:val="center"/>
          </w:tcPr>
          <w:p>
            <w:pPr>
              <w:spacing w:before="20" w:after="20"/>
              <w:jc w:val="left"/>
            </w:pPr>
            <w:r>
              <w:rPr>
                <w:sz w:val="17"/>
                <w:szCs w:val="17"/>
              </w:rPr>
              <w:t xml:space="preserve">Log kayıtları 5651 ve 7545 sayılı kanunlara uygun şekilde, imzalı ve merkezi bir sistemde (SIEM) saklanıyor mu?</w:t>
            </w:r>
          </w:p>
        </w:tc>
        <w:tc>
          <w:tcPr>
            <w:tcW w:w="900" w:type="dxa"/>
            <w:vAlign w:val="center"/>
          </w:tcPr>
          <w:p>
            <w:pPr>
              <w:spacing w:before="20" w:after="20"/>
              <w:jc w:val="left"/>
            </w:pPr>
            <w:r>
              <w:rPr>
                <w:sz w:val="17"/>
                <w:szCs w:val="17"/>
              </w:rPr>
              <w:t xml:space="preserve">Yüksek</w:t>
            </w:r>
          </w:p>
        </w:tc>
        <w:tc>
          <w:tcPr>
            <w:tcW w:w="600" w:type="dxa"/>
            <w:vAlign w:val="center"/>
          </w:tcPr>
          <w:p>
            <w:pPr>
              <w:spacing w:before="20" w:after="20"/>
              <w:jc w:val="center"/>
            </w:pPr>
            <w:r>
              <w:rPr>
                <w:b/>
                <w:bCs/>
                <w:sz w:val="17"/>
                <w:szCs w:val="17"/>
              </w:rPr>
              <w:t xml:space="preserve">1,7</w:t>
            </w:r>
          </w:p>
        </w:tc>
        <w:tc>
          <w:tcPr>
            <w:tcW w:w="1422" w:type="dxa"/>
            <w:vAlign w:val="center"/>
          </w:tcPr>
          <w:p>
            <w:pPr>
              <w:spacing w:before="20" w:after="20"/>
              <w:jc w:val="left"/>
            </w:pPr>
            <w:r>
              <w:rPr>
                <w:sz w:val="17"/>
                <w:szCs w:val="17"/>
              </w:rPr>
              <w:t xml:space="preserve">İnsan: 2</w:t>
            </w:r>
            <w:r>
              <w:rPr>
                <w:sz w:val="17"/>
                <w:szCs w:val="17"/>
              </w:rPr>
              <w:br/>
              <w:t xml:space="preserve">Süreç: 1</w:t>
            </w:r>
            <w:r>
              <w:rPr>
                <w:sz w:val="17"/>
                <w:szCs w:val="17"/>
              </w:rPr>
              <w:br/>
              <w:t xml:space="preserve">Teknoloji: 2</w:t>
            </w:r>
          </w:p>
        </w:tc>
      </w:tr>
      <w:tr>
        <w:trPr>
          <w:cantSplit/>
        </w:trPr>
        <w:tc>
          <w:tcPr>
            <w:tcW w:w="450" w:type="dxa"/>
            <w:vAlign w:val="center"/>
          </w:tcPr>
          <w:p>
            <w:pPr>
              <w:spacing w:before="20" w:after="20"/>
              <w:jc w:val="center"/>
            </w:pPr>
            <w:r>
              <w:rPr>
                <w:sz w:val="17"/>
                <w:szCs w:val="17"/>
              </w:rPr>
              <w:t xml:space="preserve">5</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26</w:t>
            </w:r>
          </w:p>
        </w:tc>
        <w:tc>
          <w:tcPr>
            <w:tcW w:w="1450" w:type="dxa"/>
            <w:vAlign w:val="center"/>
          </w:tcPr>
          <w:p>
            <w:pPr>
              <w:spacing w:before="20" w:after="20"/>
              <w:jc w:val="left"/>
            </w:pPr>
            <w:r>
              <w:rPr>
                <w:sz w:val="17"/>
                <w:szCs w:val="17"/>
              </w:rPr>
              <w:t xml:space="preserve">Olay Müdahale, İzleme ve Süreklilik</w:t>
            </w:r>
          </w:p>
        </w:tc>
        <w:tc>
          <w:tcPr>
            <w:tcW w:w="2800" w:type="dxa"/>
            <w:vAlign w:val="center"/>
          </w:tcPr>
          <w:p>
            <w:pPr>
              <w:spacing w:before="20" w:after="20"/>
              <w:jc w:val="left"/>
            </w:pPr>
            <w:r>
              <w:rPr>
                <w:sz w:val="17"/>
                <w:szCs w:val="17"/>
              </w:rPr>
              <w:t xml:space="preserve">Siber saldırı veya felaket anında işin durmaması için yazılı ve test edilmiş bir İş Sürekliliği Planınız var mı?</w:t>
            </w:r>
          </w:p>
        </w:tc>
        <w:tc>
          <w:tcPr>
            <w:tcW w:w="900" w:type="dxa"/>
            <w:vAlign w:val="center"/>
          </w:tcPr>
          <w:p>
            <w:pPr>
              <w:spacing w:before="20" w:after="20"/>
              <w:jc w:val="left"/>
            </w:pPr>
            <w:r>
              <w:rPr>
                <w:sz w:val="17"/>
                <w:szCs w:val="17"/>
              </w:rPr>
              <w:t xml:space="preserve">Çok Yüksek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6</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14</w:t>
            </w:r>
          </w:p>
        </w:tc>
        <w:tc>
          <w:tcPr>
            <w:tcW w:w="1450" w:type="dxa"/>
            <w:vAlign w:val="center"/>
          </w:tcPr>
          <w:p>
            <w:pPr>
              <w:spacing w:before="20" w:after="20"/>
              <w:jc w:val="left"/>
            </w:pPr>
            <w:r>
              <w:rPr>
                <w:sz w:val="17"/>
                <w:szCs w:val="17"/>
              </w:rPr>
              <w:t xml:space="preserve">Ağ ve İletişim Güvenliği</w:t>
            </w:r>
          </w:p>
        </w:tc>
        <w:tc>
          <w:tcPr>
            <w:tcW w:w="2800" w:type="dxa"/>
            <w:vAlign w:val="center"/>
          </w:tcPr>
          <w:p>
            <w:pPr>
              <w:spacing w:before="20" w:after="20"/>
              <w:jc w:val="left"/>
            </w:pPr>
            <w:r>
              <w:rPr>
                <w:sz w:val="17"/>
                <w:szCs w:val="17"/>
              </w:rPr>
              <w:t xml:space="preserve">İnternet çıkışında trafiği denetleyen ve saldırıları engelleyen güncel bir Güvenlik Duvarı (NGFW/IPS) yönetiliyor mu?</w:t>
            </w:r>
          </w:p>
        </w:tc>
        <w:tc>
          <w:tcPr>
            <w:tcW w:w="900" w:type="dxa"/>
            <w:vAlign w:val="center"/>
          </w:tcPr>
          <w:p>
            <w:pPr>
              <w:spacing w:before="20" w:after="20"/>
              <w:jc w:val="left"/>
            </w:pPr>
            <w:r>
              <w:rPr>
                <w:sz w:val="17"/>
                <w:szCs w:val="17"/>
              </w:rPr>
              <w:t xml:space="preserve">Çok Yüksek</w:t>
            </w:r>
          </w:p>
        </w:tc>
        <w:tc>
          <w:tcPr>
            <w:tcW w:w="600" w:type="dxa"/>
            <w:vAlign w:val="center"/>
          </w:tcPr>
          <w:p>
            <w:pPr>
              <w:spacing w:before="20" w:after="20"/>
              <w:jc w:val="center"/>
            </w:pPr>
            <w:r>
              <w:rPr>
                <w:b/>
                <w:bCs/>
                <w:sz w:val="17"/>
                <w:szCs w:val="17"/>
              </w:rPr>
              <w:t xml:space="preserve">2,3</w:t>
            </w:r>
          </w:p>
        </w:tc>
        <w:tc>
          <w:tcPr>
            <w:tcW w:w="1422" w:type="dxa"/>
            <w:vAlign w:val="center"/>
          </w:tcPr>
          <w:p>
            <w:pPr>
              <w:spacing w:before="20" w:after="20"/>
              <w:jc w:val="left"/>
            </w:pPr>
            <w:r>
              <w:rPr>
                <w:sz w:val="17"/>
                <w:szCs w:val="17"/>
              </w:rPr>
              <w:t xml:space="preserve">İnsan: 1</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7</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1</w:t>
            </w:r>
          </w:p>
        </w:tc>
        <w:tc>
          <w:tcPr>
            <w:tcW w:w="1450" w:type="dxa"/>
            <w:vAlign w:val="center"/>
          </w:tcPr>
          <w:p>
            <w:pPr>
              <w:spacing w:before="20" w:after="20"/>
              <w:jc w:val="left"/>
            </w:pPr>
            <w:r>
              <w:rPr>
                <w:sz w:val="17"/>
                <w:szCs w:val="17"/>
              </w:rPr>
              <w:t xml:space="preserve">Yönetişim, Risk ve Uyumluluk</w:t>
            </w:r>
          </w:p>
        </w:tc>
        <w:tc>
          <w:tcPr>
            <w:tcW w:w="2800" w:type="dxa"/>
            <w:vAlign w:val="center"/>
          </w:tcPr>
          <w:p>
            <w:pPr>
              <w:spacing w:before="20" w:after="20"/>
              <w:jc w:val="left"/>
            </w:pPr>
            <w:r>
              <w:rPr>
                <w:sz w:val="17"/>
                <w:szCs w:val="17"/>
              </w:rPr>
              <w:t xml:space="preserve">Siber güvenlik riskleri üst yönetim seviyesinde düzenli görüşülüp, riskleri azaltmak için ayrı bir bütçe ve kaynak ayrılıyor mu?</w:t>
            </w:r>
          </w:p>
        </w:tc>
        <w:tc>
          <w:tcPr>
            <w:tcW w:w="900" w:type="dxa"/>
            <w:vAlign w:val="center"/>
          </w:tcPr>
          <w:p>
            <w:pPr>
              <w:spacing w:before="20" w:after="20"/>
              <w:jc w:val="left"/>
            </w:pPr>
            <w:r>
              <w:rPr>
                <w:sz w:val="17"/>
                <w:szCs w:val="17"/>
              </w:rPr>
              <w:t xml:space="preserve">Yüksek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8</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6</w:t>
            </w:r>
          </w:p>
        </w:tc>
        <w:tc>
          <w:tcPr>
            <w:tcW w:w="1450" w:type="dxa"/>
            <w:vAlign w:val="center"/>
          </w:tcPr>
          <w:p>
            <w:pPr>
              <w:spacing w:before="20" w:after="20"/>
              <w:jc w:val="left"/>
            </w:pPr>
            <w:r>
              <w:rPr>
                <w:sz w:val="17"/>
                <w:szCs w:val="17"/>
              </w:rPr>
              <w:t xml:space="preserve">Kimlik ve Erişim Yönetimi</w:t>
            </w:r>
          </w:p>
        </w:tc>
        <w:tc>
          <w:tcPr>
            <w:tcW w:w="2800" w:type="dxa"/>
            <w:vAlign w:val="center"/>
          </w:tcPr>
          <w:p>
            <w:pPr>
              <w:spacing w:before="20" w:after="20"/>
              <w:jc w:val="left"/>
            </w:pPr>
            <w:r>
              <w:rPr>
                <w:sz w:val="17"/>
                <w:szCs w:val="17"/>
              </w:rPr>
              <w:t xml:space="preserve">İşe giriş ve çıkışlarda (özellikle ayrılan personelin) erişim yetkileri anında ve eksiksiz olarak yönetiliyor mu?</w:t>
            </w:r>
          </w:p>
        </w:tc>
        <w:tc>
          <w:tcPr>
            <w:tcW w:w="900" w:type="dxa"/>
            <w:vAlign w:val="center"/>
          </w:tcPr>
          <w:p>
            <w:pPr>
              <w:spacing w:before="20" w:after="20"/>
              <w:jc w:val="left"/>
            </w:pPr>
            <w:r>
              <w:rPr>
                <w:sz w:val="17"/>
                <w:szCs w:val="17"/>
              </w:rPr>
              <w:t xml:space="preserve">Yüksek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9</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11</w:t>
            </w:r>
          </w:p>
        </w:tc>
        <w:tc>
          <w:tcPr>
            <w:tcW w:w="1450" w:type="dxa"/>
            <w:vAlign w:val="center"/>
          </w:tcPr>
          <w:p>
            <w:pPr>
              <w:spacing w:before="20" w:after="20"/>
              <w:jc w:val="left"/>
            </w:pPr>
            <w:r>
              <w:rPr>
                <w:sz w:val="17"/>
                <w:szCs w:val="17"/>
              </w:rPr>
              <w:t xml:space="preserve">Yönetişim, Risk ve Uyumluluk</w:t>
            </w:r>
          </w:p>
        </w:tc>
        <w:tc>
          <w:tcPr>
            <w:tcW w:w="2800" w:type="dxa"/>
            <w:vAlign w:val="center"/>
          </w:tcPr>
          <w:p>
            <w:pPr>
              <w:spacing w:before="20" w:after="20"/>
              <w:jc w:val="left"/>
            </w:pPr>
            <w:r>
              <w:rPr>
                <w:sz w:val="17"/>
                <w:szCs w:val="17"/>
              </w:rPr>
              <w:t xml:space="preserve">Bir siber olay veya zafiyet yaşandığında, bunu yasal süresi içinde Siber Güvenlik Başkanlığı'na bildirecek prosedürünüz hazır mı?</w:t>
            </w:r>
          </w:p>
        </w:tc>
        <w:tc>
          <w:tcPr>
            <w:tcW w:w="900" w:type="dxa"/>
            <w:vAlign w:val="center"/>
          </w:tcPr>
          <w:p>
            <w:pPr>
              <w:spacing w:before="20" w:after="20"/>
              <w:jc w:val="left"/>
            </w:pPr>
            <w:r>
              <w:rPr>
                <w:sz w:val="17"/>
                <w:szCs w:val="17"/>
              </w:rPr>
              <w:t xml:space="preserve">Yüksek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10</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13</w:t>
            </w:r>
          </w:p>
        </w:tc>
        <w:tc>
          <w:tcPr>
            <w:tcW w:w="1450" w:type="dxa"/>
            <w:vAlign w:val="center"/>
          </w:tcPr>
          <w:p>
            <w:pPr>
              <w:spacing w:before="20" w:after="20"/>
              <w:jc w:val="left"/>
            </w:pPr>
            <w:r>
              <w:rPr>
                <w:sz w:val="17"/>
                <w:szCs w:val="17"/>
              </w:rPr>
              <w:t xml:space="preserve">Fiziksel Güvenlik</w:t>
            </w:r>
          </w:p>
        </w:tc>
        <w:tc>
          <w:tcPr>
            <w:tcW w:w="2800" w:type="dxa"/>
            <w:vAlign w:val="center"/>
          </w:tcPr>
          <w:p>
            <w:pPr>
              <w:spacing w:before="20" w:after="20"/>
              <w:jc w:val="left"/>
            </w:pPr>
            <w:r>
              <w:rPr>
                <w:sz w:val="17"/>
                <w:szCs w:val="17"/>
              </w:rPr>
              <w:t xml:space="preserve">Sunucu odasıyetkisiz girişlere, yangın/ısı risklerine ve elektrik kesintilerine (UPS/Jeneratör) karşı korunuyor mu?</w:t>
            </w:r>
          </w:p>
        </w:tc>
        <w:tc>
          <w:tcPr>
            <w:tcW w:w="900" w:type="dxa"/>
            <w:vAlign w:val="center"/>
          </w:tcPr>
          <w:p>
            <w:pPr>
              <w:spacing w:before="20" w:after="20"/>
              <w:jc w:val="left"/>
            </w:pPr>
            <w:r>
              <w:rPr>
                <w:sz w:val="17"/>
                <w:szCs w:val="17"/>
              </w:rPr>
              <w:t xml:space="preserve">Yüksek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11</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16</w:t>
            </w:r>
          </w:p>
        </w:tc>
        <w:tc>
          <w:tcPr>
            <w:tcW w:w="1450" w:type="dxa"/>
            <w:vAlign w:val="center"/>
          </w:tcPr>
          <w:p>
            <w:pPr>
              <w:spacing w:before="20" w:after="20"/>
              <w:jc w:val="left"/>
            </w:pPr>
            <w:r>
              <w:rPr>
                <w:sz w:val="17"/>
                <w:szCs w:val="17"/>
              </w:rPr>
              <w:t xml:space="preserve">Ağ ve İletişim Güvenliği</w:t>
            </w:r>
          </w:p>
        </w:tc>
        <w:tc>
          <w:tcPr>
            <w:tcW w:w="2800" w:type="dxa"/>
            <w:vAlign w:val="center"/>
          </w:tcPr>
          <w:p>
            <w:pPr>
              <w:spacing w:before="20" w:after="20"/>
              <w:jc w:val="left"/>
            </w:pPr>
            <w:r>
              <w:rPr>
                <w:sz w:val="17"/>
                <w:szCs w:val="17"/>
              </w:rPr>
              <w:t xml:space="preserve">Dışarıdan şirket ağına yapılan tüm bağlantılar "Güvenli VPN" veya şifreli tüneller üzerinden mi yapılıyor?</w:t>
            </w:r>
          </w:p>
        </w:tc>
        <w:tc>
          <w:tcPr>
            <w:tcW w:w="900" w:type="dxa"/>
            <w:vAlign w:val="center"/>
          </w:tcPr>
          <w:p>
            <w:pPr>
              <w:spacing w:before="20" w:after="20"/>
              <w:jc w:val="left"/>
            </w:pPr>
            <w:r>
              <w:rPr>
                <w:sz w:val="17"/>
                <w:szCs w:val="17"/>
              </w:rPr>
              <w:t xml:space="preserve">Yüksek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12</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20</w:t>
            </w:r>
          </w:p>
        </w:tc>
        <w:tc>
          <w:tcPr>
            <w:tcW w:w="1450" w:type="dxa"/>
            <w:vAlign w:val="center"/>
          </w:tcPr>
          <w:p>
            <w:pPr>
              <w:spacing w:before="20" w:after="20"/>
              <w:jc w:val="left"/>
            </w:pPr>
            <w:r>
              <w:rPr>
                <w:sz w:val="17"/>
                <w:szCs w:val="17"/>
              </w:rPr>
              <w:t xml:space="preserve">Ağ ve İletişim Güvenliği</w:t>
            </w:r>
          </w:p>
        </w:tc>
        <w:tc>
          <w:tcPr>
            <w:tcW w:w="2800" w:type="dxa"/>
            <w:vAlign w:val="center"/>
          </w:tcPr>
          <w:p>
            <w:pPr>
              <w:spacing w:before="20" w:after="20"/>
              <w:jc w:val="left"/>
            </w:pPr>
            <w:r>
              <w:rPr>
                <w:sz w:val="17"/>
                <w:szCs w:val="17"/>
              </w:rPr>
              <w:t xml:space="preserve">Oltalama (Phishing) ve zararlı e-postaları engelleyen profesyonel bir E-Posta Güvenlik Ağ Geçidi (Gateway) var mı?</w:t>
            </w:r>
          </w:p>
        </w:tc>
        <w:tc>
          <w:tcPr>
            <w:tcW w:w="900" w:type="dxa"/>
            <w:vAlign w:val="center"/>
          </w:tcPr>
          <w:p>
            <w:pPr>
              <w:spacing w:before="20" w:after="20"/>
              <w:jc w:val="left"/>
            </w:pPr>
            <w:r>
              <w:rPr>
                <w:sz w:val="17"/>
                <w:szCs w:val="17"/>
              </w:rPr>
              <w:t xml:space="preserve">Yüksek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13</w:t>
            </w:r>
          </w:p>
        </w:tc>
        <w:tc>
          <w:tcPr>
            <w:tcW w:w="850" w:type="dxa"/>
            <w:vAlign w:val="center"/>
          </w:tcPr>
          <w:p>
            <w:pPr>
              <w:spacing w:before="20" w:after="20"/>
              <w:jc w:val="left"/>
            </w:pPr>
            <w:r>
              <w:rPr>
                <w:b/>
                <w:bCs/>
                <w:sz w:val="17"/>
                <w:szCs w:val="17"/>
              </w:rPr>
              <w:t xml:space="preserve">2. Öncelik</w:t>
            </w:r>
          </w:p>
        </w:tc>
        <w:tc>
          <w:tcPr>
            <w:tcW w:w="600" w:type="dxa"/>
            <w:vAlign w:val="center"/>
          </w:tcPr>
          <w:p>
            <w:pPr>
              <w:spacing w:before="20" w:after="20"/>
              <w:jc w:val="center"/>
            </w:pPr>
            <w:r>
              <w:rPr>
                <w:b/>
                <w:bCs/>
                <w:sz w:val="17"/>
                <w:szCs w:val="17"/>
              </w:rPr>
              <w:t xml:space="preserve">21</w:t>
            </w:r>
          </w:p>
        </w:tc>
        <w:tc>
          <w:tcPr>
            <w:tcW w:w="1450" w:type="dxa"/>
            <w:vAlign w:val="center"/>
          </w:tcPr>
          <w:p>
            <w:pPr>
              <w:spacing w:before="20" w:after="20"/>
              <w:jc w:val="left"/>
            </w:pPr>
            <w:r>
              <w:rPr>
                <w:sz w:val="17"/>
                <w:szCs w:val="17"/>
              </w:rPr>
              <w:t xml:space="preserve">Tehdit ve Zafiyet Yönetimi</w:t>
            </w:r>
          </w:p>
        </w:tc>
        <w:tc>
          <w:tcPr>
            <w:tcW w:w="2800" w:type="dxa"/>
            <w:vAlign w:val="center"/>
          </w:tcPr>
          <w:p>
            <w:pPr>
              <w:spacing w:before="20" w:after="20"/>
              <w:jc w:val="left"/>
            </w:pPr>
            <w:r>
              <w:rPr>
                <w:sz w:val="17"/>
                <w:szCs w:val="17"/>
              </w:rPr>
              <w:t xml:space="preserve">Yılda en az bir kez Sızma Testi (Pentest) yaptırıp, rapordaki kritik açıkları kapatarak doğruluyor musunuz?</w:t>
            </w:r>
          </w:p>
        </w:tc>
        <w:tc>
          <w:tcPr>
            <w:tcW w:w="900" w:type="dxa"/>
            <w:vAlign w:val="center"/>
          </w:tcPr>
          <w:p>
            <w:pPr>
              <w:spacing w:before="20" w:after="20"/>
              <w:jc w:val="left"/>
            </w:pPr>
            <w:r>
              <w:rPr>
                <w:sz w:val="17"/>
                <w:szCs w:val="17"/>
              </w:rPr>
              <w:t xml:space="preserve">Yüksek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14</w:t>
            </w:r>
          </w:p>
        </w:tc>
        <w:tc>
          <w:tcPr>
            <w:tcW w:w="850" w:type="dxa"/>
            <w:vAlign w:val="center"/>
          </w:tcPr>
          <w:p>
            <w:pPr>
              <w:spacing w:before="20" w:after="20"/>
              <w:jc w:val="left"/>
            </w:pPr>
            <w:r>
              <w:rPr>
                <w:b/>
                <w:bCs/>
                <w:sz w:val="17"/>
                <w:szCs w:val="17"/>
              </w:rPr>
              <w:t xml:space="preserve">3. Öncelik</w:t>
            </w:r>
          </w:p>
        </w:tc>
        <w:tc>
          <w:tcPr>
            <w:tcW w:w="600" w:type="dxa"/>
            <w:vAlign w:val="center"/>
          </w:tcPr>
          <w:p>
            <w:pPr>
              <w:spacing w:before="20" w:after="20"/>
              <w:jc w:val="center"/>
            </w:pPr>
            <w:r>
              <w:rPr>
                <w:b/>
                <w:bCs/>
                <w:sz w:val="17"/>
                <w:szCs w:val="17"/>
              </w:rPr>
              <w:t xml:space="preserve">3</w:t>
            </w:r>
          </w:p>
        </w:tc>
        <w:tc>
          <w:tcPr>
            <w:tcW w:w="1450" w:type="dxa"/>
            <w:vAlign w:val="center"/>
          </w:tcPr>
          <w:p>
            <w:pPr>
              <w:spacing w:before="20" w:after="20"/>
              <w:jc w:val="left"/>
            </w:pPr>
            <w:r>
              <w:rPr>
                <w:sz w:val="17"/>
                <w:szCs w:val="17"/>
              </w:rPr>
              <w:t xml:space="preserve">Varlık ve Yapılandırma Yönetimi</w:t>
            </w:r>
          </w:p>
        </w:tc>
        <w:tc>
          <w:tcPr>
            <w:tcW w:w="2800" w:type="dxa"/>
            <w:vAlign w:val="center"/>
          </w:tcPr>
          <w:p>
            <w:pPr>
              <w:spacing w:before="20" w:after="20"/>
              <w:jc w:val="left"/>
            </w:pPr>
            <w:r>
              <w:rPr>
                <w:sz w:val="17"/>
                <w:szCs w:val="17"/>
              </w:rPr>
              <w:t xml:space="preserve">Kritik donanım/yazılımlarınızı ve hassas verilerinizin nerede tutulduğunu gösteren güncel bir envanter/veri haritanız var mı?</w:t>
            </w:r>
          </w:p>
        </w:tc>
        <w:tc>
          <w:tcPr>
            <w:tcW w:w="900" w:type="dxa"/>
            <w:vAlign w:val="center"/>
          </w:tcPr>
          <w:p>
            <w:pPr>
              <w:spacing w:before="20" w:after="20"/>
              <w:jc w:val="left"/>
            </w:pPr>
            <w:r>
              <w:rPr>
                <w:sz w:val="17"/>
                <w:szCs w:val="17"/>
              </w:rPr>
              <w:t xml:space="preserve">Orta</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15</w:t>
            </w:r>
          </w:p>
        </w:tc>
        <w:tc>
          <w:tcPr>
            <w:tcW w:w="850" w:type="dxa"/>
            <w:vAlign w:val="center"/>
          </w:tcPr>
          <w:p>
            <w:pPr>
              <w:spacing w:before="20" w:after="20"/>
              <w:jc w:val="left"/>
            </w:pPr>
            <w:r>
              <w:rPr>
                <w:b/>
                <w:bCs/>
                <w:sz w:val="17"/>
                <w:szCs w:val="17"/>
              </w:rPr>
              <w:t xml:space="preserve">3. Öncelik</w:t>
            </w:r>
          </w:p>
        </w:tc>
        <w:tc>
          <w:tcPr>
            <w:tcW w:w="600" w:type="dxa"/>
            <w:vAlign w:val="center"/>
          </w:tcPr>
          <w:p>
            <w:pPr>
              <w:spacing w:before="20" w:after="20"/>
              <w:jc w:val="center"/>
            </w:pPr>
            <w:r>
              <w:rPr>
                <w:b/>
                <w:bCs/>
                <w:sz w:val="17"/>
                <w:szCs w:val="17"/>
              </w:rPr>
              <w:t xml:space="preserve">10</w:t>
            </w:r>
          </w:p>
        </w:tc>
        <w:tc>
          <w:tcPr>
            <w:tcW w:w="1450" w:type="dxa"/>
            <w:vAlign w:val="center"/>
          </w:tcPr>
          <w:p>
            <w:pPr>
              <w:spacing w:before="20" w:after="20"/>
              <w:jc w:val="left"/>
            </w:pPr>
            <w:r>
              <w:rPr>
                <w:sz w:val="17"/>
                <w:szCs w:val="17"/>
              </w:rPr>
              <w:t xml:space="preserve">Kimlik ve Erişim Yönetimi</w:t>
            </w:r>
          </w:p>
        </w:tc>
        <w:tc>
          <w:tcPr>
            <w:tcW w:w="2800" w:type="dxa"/>
            <w:vAlign w:val="center"/>
          </w:tcPr>
          <w:p>
            <w:pPr>
              <w:spacing w:before="20" w:after="20"/>
              <w:jc w:val="left"/>
            </w:pPr>
            <w:r>
              <w:rPr>
                <w:sz w:val="17"/>
                <w:szCs w:val="17"/>
              </w:rPr>
              <w:t xml:space="preserve">Kullanıcıların "neye, nereye" erişebileceği "En Az Yetki" prensibine göre ve merkezi bir sistemden (AD) yönetiliyor mu?</w:t>
            </w:r>
          </w:p>
        </w:tc>
        <w:tc>
          <w:tcPr>
            <w:tcW w:w="900" w:type="dxa"/>
            <w:vAlign w:val="center"/>
          </w:tcPr>
          <w:p>
            <w:pPr>
              <w:spacing w:before="20" w:after="20"/>
              <w:jc w:val="left"/>
            </w:pPr>
            <w:r>
              <w:rPr>
                <w:sz w:val="17"/>
                <w:szCs w:val="17"/>
              </w:rPr>
              <w:t xml:space="preserve">Orta</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r>
        <w:trPr>
          <w:cantSplit/>
        </w:trPr>
        <w:tc>
          <w:tcPr>
            <w:tcW w:w="450" w:type="dxa"/>
            <w:vAlign w:val="center"/>
          </w:tcPr>
          <w:p>
            <w:pPr>
              <w:spacing w:before="20" w:after="20"/>
              <w:jc w:val="center"/>
            </w:pPr>
            <w:r>
              <w:rPr>
                <w:sz w:val="17"/>
                <w:szCs w:val="17"/>
              </w:rPr>
              <w:t xml:space="preserve">16</w:t>
            </w:r>
          </w:p>
        </w:tc>
        <w:tc>
          <w:tcPr>
            <w:tcW w:w="850" w:type="dxa"/>
            <w:vAlign w:val="center"/>
          </w:tcPr>
          <w:p>
            <w:pPr>
              <w:spacing w:before="20" w:after="20"/>
              <w:jc w:val="left"/>
            </w:pPr>
            <w:r>
              <w:rPr>
                <w:b/>
                <w:bCs/>
                <w:sz w:val="17"/>
                <w:szCs w:val="17"/>
              </w:rPr>
              <w:t xml:space="preserve">3. Öncelik</w:t>
            </w:r>
          </w:p>
        </w:tc>
        <w:tc>
          <w:tcPr>
            <w:tcW w:w="600" w:type="dxa"/>
            <w:vAlign w:val="center"/>
          </w:tcPr>
          <w:p>
            <w:pPr>
              <w:spacing w:before="20" w:after="20"/>
              <w:jc w:val="center"/>
            </w:pPr>
            <w:r>
              <w:rPr>
                <w:b/>
                <w:bCs/>
                <w:sz w:val="17"/>
                <w:szCs w:val="17"/>
              </w:rPr>
              <w:t xml:space="preserve">23</w:t>
            </w:r>
          </w:p>
        </w:tc>
        <w:tc>
          <w:tcPr>
            <w:tcW w:w="1450" w:type="dxa"/>
            <w:vAlign w:val="center"/>
          </w:tcPr>
          <w:p>
            <w:pPr>
              <w:spacing w:before="20" w:after="20"/>
              <w:jc w:val="left"/>
            </w:pPr>
            <w:r>
              <w:rPr>
                <w:sz w:val="17"/>
                <w:szCs w:val="17"/>
              </w:rPr>
              <w:t xml:space="preserve">Veri ve Kriptografi Güvenliği</w:t>
            </w:r>
          </w:p>
        </w:tc>
        <w:tc>
          <w:tcPr>
            <w:tcW w:w="2800" w:type="dxa"/>
            <w:vAlign w:val="center"/>
          </w:tcPr>
          <w:p>
            <w:pPr>
              <w:spacing w:before="20" w:after="20"/>
              <w:jc w:val="left"/>
            </w:pPr>
            <w:r>
              <w:rPr>
                <w:sz w:val="17"/>
                <w:szCs w:val="17"/>
              </w:rPr>
              <w:t xml:space="preserve">Yasal saklama süresi dolan verilerin güvenli ve geri döndürülemez şekilde silinmesi için bir süreciniz var mı?</w:t>
            </w:r>
          </w:p>
        </w:tc>
        <w:tc>
          <w:tcPr>
            <w:tcW w:w="900" w:type="dxa"/>
            <w:vAlign w:val="center"/>
          </w:tcPr>
          <w:p>
            <w:pPr>
              <w:spacing w:before="20" w:after="20"/>
              <w:jc w:val="left"/>
            </w:pPr>
            <w:r>
              <w:rPr>
                <w:sz w:val="17"/>
                <w:szCs w:val="17"/>
              </w:rPr>
              <w:t xml:space="preserve">Düşük</w:t>
            </w:r>
          </w:p>
        </w:tc>
        <w:tc>
          <w:tcPr>
            <w:tcW w:w="600" w:type="dxa"/>
            <w:vAlign w:val="center"/>
          </w:tcPr>
          <w:p>
            <w:pPr>
              <w:spacing w:before="20" w:after="20"/>
              <w:jc w:val="center"/>
            </w:pPr>
            <w:r>
              <w:rPr>
                <w:b/>
                <w:bCs/>
                <w:sz w:val="17"/>
                <w:szCs w:val="17"/>
              </w:rPr>
              <w:t xml:space="preserve">2,0</w:t>
            </w:r>
          </w:p>
        </w:tc>
        <w:tc>
          <w:tcPr>
            <w:tcW w:w="1422" w:type="dxa"/>
            <w:vAlign w:val="center"/>
          </w:tcPr>
          <w:p>
            <w:pPr>
              <w:spacing w:before="20" w:after="20"/>
              <w:jc w:val="left"/>
            </w:pPr>
            <w:r>
              <w:rPr>
                <w:sz w:val="17"/>
                <w:szCs w:val="17"/>
              </w:rPr>
              <w:t xml:space="preserve">İnsan: 2</w:t>
            </w:r>
            <w:r>
              <w:rPr>
                <w:sz w:val="17"/>
                <w:szCs w:val="17"/>
              </w:rPr>
              <w:br/>
              <w:t xml:space="preserve">Süreç: 1</w:t>
            </w:r>
          </w:p>
        </w:tc>
      </w:tr>
    </w:tbl>
    <w:p>
      <w:pPr>
        <w:spacing w:before="0" w:after="60"/>
      </w:pPr>
      <w:r>
        <w:rPr>
          <w:sz w:val="8"/>
          <w:szCs w:val="8"/>
        </w:rPr>
        <w:t xml:space="preserve"/>
      </w:r>
    </w:p>
    <w:p>
      <w:r>
        <w:rPr>
          <w:i/>
          <w:iCs/>
          <w:sz w:val="18"/>
          <w:szCs w:val="18"/>
        </w:rPr>
        <w:t xml:space="preserve">Soru No, EK-1 Soru / Cevap Tablosu’ndaki numaralandırmayı esas alır; ilgili sorunun tüm yanıtları orada yer alır.</w:t>
      </w:r>
    </w:p>
    <w:p>
      <w:pPr>
        <w:pStyle w:val="Heading1"/>
        <w:pageBreakBefore/>
      </w:pPr>
      <w:r>
        <w:t xml:space="preserve">Değerlendirme Notları</w:t>
      </w:r>
    </w:p>
    <w:p>
      <w:r>
        <w:t xml:space="preserve">Değerlendirme sırasında bazı yanıtlar arasında uyumsuzluklar görülmüştür. Bu durum çoğunlukla soruların farklı yorumlanmasından ya da yanıtların farklı birimlerce verilmesinden kaynaklanabilir. Puanlar kurumunuzun yanıtları esas alınarak hesaplanmış, yanıtlarda herhangi bir değişiklik yapılmamıştır. Aşağıdaki hususların kurumunuzla birlikte teyit edilmesi, sonuçların doğruluğunu artıracaktır.</w:t>
      </w:r>
    </w:p>
    <w:p>
      <w:pPr>
        <w:pStyle w:val="Caption"/>
        <w:keepNext/>
      </w:pPr>
      <w:r>
        <w:t xml:space="preserve">Tablo 12 – Yanıtlar arasında görülen uyumsuzluklar</w:t>
      </w:r>
    </w:p>
    <w:tbl>
      <w:tblPr>
        <w:tblStyle w:val="TableGrid"/>
        <w:tblW w:w="9072" w:type="dxa"/>
        <w:tblLayout w:type="fixed"/>
        <w:tblCellMar>
          <w:left w:w="85" w:type="dxa"/>
          <w:right w:w="85" w:type="dxa"/>
        </w:tblCellMar>
        <w:tblLook w:val="04A0" w:firstRow="1" w:lastRow="0" w:firstColumn="1" w:lastColumn="0" w:noHBand="0" w:noVBand="1"/>
      </w:tblPr>
      <w:tblGrid>
        <w:gridCol w:w="450"/>
        <w:gridCol w:w="1150"/>
        <w:gridCol w:w="950"/>
        <w:gridCol w:w="3800"/>
        <w:gridCol w:w="2722"/>
      </w:tblGrid>
      <w:tr>
        <w:trPr>
          <w:cantSplit/>
          <w:tblHeader/>
        </w:trPr>
        <w:tc>
          <w:tcPr>
            <w:tcW w:w="450" w:type="dxa"/>
            <w:shd w:val="clear" w:color="auto" w:fill="D9D9D9"/>
            <w:vAlign w:val="center"/>
          </w:tcPr>
          <w:p>
            <w:pPr>
              <w:spacing w:before="20" w:after="20"/>
              <w:jc w:val="left"/>
            </w:pPr>
            <w:r>
              <w:rPr>
                <w:b/>
                <w:bCs/>
                <w:sz w:val="17"/>
                <w:szCs w:val="17"/>
              </w:rPr>
              <w:t xml:space="preserve">No</w:t>
            </w:r>
          </w:p>
        </w:tc>
        <w:tc>
          <w:tcPr>
            <w:tcW w:w="1150" w:type="dxa"/>
            <w:shd w:val="clear" w:color="auto" w:fill="D9D9D9"/>
            <w:vAlign w:val="center"/>
          </w:tcPr>
          <w:p>
            <w:pPr>
              <w:spacing w:before="20" w:after="20"/>
              <w:jc w:val="left"/>
            </w:pPr>
            <w:r>
              <w:rPr>
                <w:b/>
                <w:bCs/>
                <w:sz w:val="17"/>
                <w:szCs w:val="17"/>
              </w:rPr>
              <w:t xml:space="preserve">Tür</w:t>
            </w:r>
          </w:p>
        </w:tc>
        <w:tc>
          <w:tcPr>
            <w:tcW w:w="950" w:type="dxa"/>
            <w:shd w:val="clear" w:color="auto" w:fill="D9D9D9"/>
            <w:vAlign w:val="center"/>
          </w:tcPr>
          <w:p>
            <w:pPr>
              <w:spacing w:before="20" w:after="20"/>
              <w:jc w:val="left"/>
            </w:pPr>
            <w:r>
              <w:rPr>
                <w:b/>
                <w:bCs/>
                <w:sz w:val="17"/>
                <w:szCs w:val="17"/>
              </w:rPr>
              <w:t xml:space="preserve">Soru No</w:t>
            </w:r>
          </w:p>
        </w:tc>
        <w:tc>
          <w:tcPr>
            <w:tcW w:w="3800" w:type="dxa"/>
            <w:shd w:val="clear" w:color="auto" w:fill="D9D9D9"/>
            <w:vAlign w:val="center"/>
          </w:tcPr>
          <w:p>
            <w:pPr>
              <w:spacing w:before="20" w:after="20"/>
              <w:jc w:val="left"/>
            </w:pPr>
            <w:r>
              <w:rPr>
                <w:b/>
                <w:bCs/>
                <w:sz w:val="17"/>
                <w:szCs w:val="17"/>
              </w:rPr>
              <w:t xml:space="preserve">Görülen durum</w:t>
            </w:r>
          </w:p>
        </w:tc>
        <w:tc>
          <w:tcPr>
            <w:tcW w:w="2722" w:type="dxa"/>
            <w:shd w:val="clear" w:color="auto" w:fill="D9D9D9"/>
            <w:vAlign w:val="center"/>
          </w:tcPr>
          <w:p>
            <w:pPr>
              <w:spacing w:before="20" w:after="20"/>
              <w:jc w:val="left"/>
            </w:pPr>
            <w:r>
              <w:rPr>
                <w:b/>
                <w:bCs/>
                <w:sz w:val="17"/>
                <w:szCs w:val="17"/>
              </w:rPr>
              <w:t xml:space="preserve">Teyit önerisi</w:t>
            </w:r>
          </w:p>
        </w:tc>
      </w:tr>
      <w:tr>
        <w:trPr>
          <w:cantSplit/>
        </w:trPr>
        <w:tc>
          <w:tcPr>
            <w:tcW w:w="450" w:type="dxa"/>
            <w:vAlign w:val="center"/>
          </w:tcPr>
          <w:p>
            <w:pPr>
              <w:spacing w:before="20" w:after="20"/>
              <w:jc w:val="center"/>
            </w:pPr>
            <w:r>
              <w:rPr>
                <w:sz w:val="17"/>
                <w:szCs w:val="17"/>
              </w:rPr>
              <w:t xml:space="preserve">1</w:t>
            </w:r>
          </w:p>
        </w:tc>
        <w:tc>
          <w:tcPr>
            <w:tcW w:w="1150" w:type="dxa"/>
            <w:vAlign w:val="center"/>
          </w:tcPr>
          <w:p>
            <w:pPr>
              <w:spacing w:before="20" w:after="20"/>
              <w:jc w:val="left"/>
            </w:pPr>
            <w:r>
              <w:rPr>
                <w:sz w:val="17"/>
                <w:szCs w:val="17"/>
              </w:rPr>
              <w:t xml:space="preserve">Kapsam</w:t>
            </w:r>
          </w:p>
        </w:tc>
        <w:tc>
          <w:tcPr>
            <w:tcW w:w="950" w:type="dxa"/>
            <w:vAlign w:val="center"/>
          </w:tcPr>
          <w:p>
            <w:pPr>
              <w:spacing w:before="20" w:after="20"/>
              <w:jc w:val="center"/>
            </w:pPr>
            <w:r>
              <w:rPr>
                <w:sz w:val="17"/>
                <w:szCs w:val="17"/>
              </w:rPr>
              <w:t xml:space="preserve">29, 30</w:t>
            </w:r>
          </w:p>
        </w:tc>
        <w:tc>
          <w:tcPr>
            <w:tcW w:w="3800" w:type="dxa"/>
            <w:vAlign w:val="center"/>
          </w:tcPr>
          <w:p>
            <w:pPr>
              <w:spacing w:before="20" w:after="20"/>
              <w:jc w:val="left"/>
            </w:pPr>
            <w:r>
              <w:rPr>
                <w:sz w:val="17"/>
                <w:szCs w:val="17"/>
              </w:rPr>
              <w:t xml:space="preserve">29. soruda tedarikçi / üçüncü taraf hizmeti konusu kurum için kapsam dışı olarak işaretlenmiştir; 30. soruda ise aynı konuya ilişkin uygulamaların bulunduğunu gösteren seviye 3 seçilmiştir.</w:t>
            </w:r>
          </w:p>
        </w:tc>
        <w:tc>
          <w:tcPr>
            <w:tcW w:w="2722" w:type="dxa"/>
            <w:vAlign w:val="center"/>
          </w:tcPr>
          <w:p>
            <w:pPr>
              <w:spacing w:before="20" w:after="20"/>
              <w:jc w:val="left"/>
            </w:pPr>
            <w:r>
              <w:rPr>
                <w:sz w:val="17"/>
                <w:szCs w:val="17"/>
              </w:rPr>
              <w:t xml:space="preserve">Kurumda tedarikçi veya dış hizmet sağlayıcı ilişkisinin bulunup bulunmadığının ve ilgili yanıtların teyit edilmesi önerilir.</w:t>
            </w:r>
          </w:p>
        </w:tc>
      </w:tr>
      <w:tr>
        <w:trPr>
          <w:cantSplit/>
        </w:trPr>
        <w:tc>
          <w:tcPr>
            <w:tcW w:w="450" w:type="dxa"/>
            <w:vAlign w:val="center"/>
          </w:tcPr>
          <w:p>
            <w:pPr>
              <w:spacing w:before="20" w:after="20"/>
              <w:jc w:val="center"/>
            </w:pPr>
            <w:r>
              <w:rPr>
                <w:sz w:val="17"/>
                <w:szCs w:val="17"/>
              </w:rPr>
              <w:t xml:space="preserve">2</w:t>
            </w:r>
          </w:p>
        </w:tc>
        <w:tc>
          <w:tcPr>
            <w:tcW w:w="1150" w:type="dxa"/>
            <w:vAlign w:val="center"/>
          </w:tcPr>
          <w:p>
            <w:pPr>
              <w:spacing w:before="20" w:after="20"/>
              <w:jc w:val="left"/>
            </w:pPr>
            <w:r>
              <w:rPr>
                <w:sz w:val="17"/>
                <w:szCs w:val="17"/>
              </w:rPr>
              <w:t xml:space="preserve">Ön koşul</w:t>
            </w:r>
          </w:p>
        </w:tc>
        <w:tc>
          <w:tcPr>
            <w:tcW w:w="950" w:type="dxa"/>
            <w:vAlign w:val="center"/>
          </w:tcPr>
          <w:p>
            <w:pPr>
              <w:spacing w:before="20" w:after="20"/>
              <w:jc w:val="center"/>
            </w:pPr>
            <w:r>
              <w:rPr>
                <w:sz w:val="17"/>
                <w:szCs w:val="17"/>
              </w:rPr>
              <w:t xml:space="preserve">25, 24</w:t>
            </w:r>
          </w:p>
        </w:tc>
        <w:tc>
          <w:tcPr>
            <w:tcW w:w="3800" w:type="dxa"/>
            <w:vAlign w:val="center"/>
          </w:tcPr>
          <w:p>
            <w:pPr>
              <w:spacing w:before="20" w:after="20"/>
              <w:jc w:val="left"/>
            </w:pPr>
            <w:r>
              <w:rPr>
                <w:sz w:val="17"/>
                <w:szCs w:val="17"/>
              </w:rPr>
              <w:t xml:space="preserve">25. soruda (seviye 4,3) yedeklerin ağdan izole bir kopyasının tutulduğu belirtilirken, düzenli yedekleme ve geri dönüş testlerine ilişkin olgunluk düşük işaretlenmiştir (24. soru, seviye 1,3).</w:t>
            </w:r>
          </w:p>
        </w:tc>
        <w:tc>
          <w:tcPr>
            <w:tcW w:w="2722" w:type="dxa"/>
            <w:vAlign w:val="center"/>
          </w:tcPr>
          <w:p>
            <w:pPr>
              <w:spacing w:before="20" w:after="20"/>
              <w:jc w:val="left"/>
            </w:pPr>
            <w:r>
              <w:rPr>
                <w:sz w:val="17"/>
                <w:szCs w:val="17"/>
              </w:rPr>
              <w:t xml:space="preserve">Yedekleme sürecinin kapsamı ve geri dönüş testlerinin uygulanma düzeyinin birlikte teyit edilmesi önerilir.</w:t>
            </w:r>
          </w:p>
        </w:tc>
      </w:tr>
      <w:tr>
        <w:trPr>
          <w:cantSplit/>
        </w:trPr>
        <w:tc>
          <w:tcPr>
            <w:tcW w:w="450" w:type="dxa"/>
            <w:vAlign w:val="center"/>
          </w:tcPr>
          <w:p>
            <w:pPr>
              <w:spacing w:before="20" w:after="20"/>
              <w:jc w:val="center"/>
            </w:pPr>
            <w:r>
              <w:rPr>
                <w:sz w:val="17"/>
                <w:szCs w:val="17"/>
              </w:rPr>
              <w:t xml:space="preserve">3</w:t>
            </w:r>
          </w:p>
        </w:tc>
        <w:tc>
          <w:tcPr>
            <w:tcW w:w="1150" w:type="dxa"/>
            <w:vAlign w:val="center"/>
          </w:tcPr>
          <w:p>
            <w:pPr>
              <w:spacing w:before="20" w:after="20"/>
              <w:jc w:val="left"/>
            </w:pPr>
            <w:r>
              <w:rPr>
                <w:sz w:val="17"/>
                <w:szCs w:val="17"/>
              </w:rPr>
              <w:t xml:space="preserve">Ön koşul</w:t>
            </w:r>
          </w:p>
        </w:tc>
        <w:tc>
          <w:tcPr>
            <w:tcW w:w="950" w:type="dxa"/>
            <w:vAlign w:val="center"/>
          </w:tcPr>
          <w:p>
            <w:pPr>
              <w:spacing w:before="20" w:after="20"/>
              <w:jc w:val="center"/>
            </w:pPr>
            <w:r>
              <w:rPr>
                <w:sz w:val="17"/>
                <w:szCs w:val="17"/>
              </w:rPr>
              <w:t xml:space="preserve">28, 27</w:t>
            </w:r>
          </w:p>
        </w:tc>
        <w:tc>
          <w:tcPr>
            <w:tcW w:w="3800" w:type="dxa"/>
            <w:vAlign w:val="center"/>
          </w:tcPr>
          <w:p>
            <w:pPr>
              <w:spacing w:before="20" w:after="20"/>
              <w:jc w:val="left"/>
            </w:pPr>
            <w:r>
              <w:rPr>
                <w:sz w:val="17"/>
                <w:szCs w:val="17"/>
              </w:rPr>
              <w:t xml:space="preserve">28. soruda (seviye 4,3) 7/24 izleme ve müdahale (SOC) hizmetinin olgun olduğu belirtilirken, bu hizmetin dayandığı merkezi log yönetimine ilişkin olgunluk düşük işaretlenmiştir (27. soru, seviye 1,7).</w:t>
            </w:r>
          </w:p>
        </w:tc>
        <w:tc>
          <w:tcPr>
            <w:tcW w:w="2722" w:type="dxa"/>
            <w:vAlign w:val="center"/>
          </w:tcPr>
          <w:p>
            <w:pPr>
              <w:spacing w:before="20" w:after="20"/>
              <w:jc w:val="left"/>
            </w:pPr>
            <w:r>
              <w:rPr>
                <w:sz w:val="17"/>
                <w:szCs w:val="17"/>
              </w:rPr>
              <w:t xml:space="preserve">SOC hizmetinin hangi log kaynaklarını ve hangi altyapıyı kullandığının teyit edilmesi önerilir.</w:t>
            </w:r>
          </w:p>
        </w:tc>
      </w:tr>
      <w:tr>
        <w:trPr>
          <w:cantSplit/>
        </w:trPr>
        <w:tc>
          <w:tcPr>
            <w:tcW w:w="450" w:type="dxa"/>
            <w:vAlign w:val="center"/>
          </w:tcPr>
          <w:p>
            <w:pPr>
              <w:spacing w:before="20" w:after="20"/>
              <w:jc w:val="center"/>
            </w:pPr>
            <w:r>
              <w:rPr>
                <w:sz w:val="17"/>
                <w:szCs w:val="17"/>
              </w:rPr>
              <w:t xml:space="preserve">4</w:t>
            </w:r>
          </w:p>
        </w:tc>
        <w:tc>
          <w:tcPr>
            <w:tcW w:w="1150" w:type="dxa"/>
            <w:vAlign w:val="center"/>
          </w:tcPr>
          <w:p>
            <w:pPr>
              <w:spacing w:before="20" w:after="20"/>
              <w:jc w:val="left"/>
            </w:pPr>
            <w:r>
              <w:rPr>
                <w:sz w:val="17"/>
                <w:szCs w:val="17"/>
              </w:rPr>
              <w:t xml:space="preserve">Boyut farkı</w:t>
            </w:r>
          </w:p>
        </w:tc>
        <w:tc>
          <w:tcPr>
            <w:tcW w:w="950" w:type="dxa"/>
            <w:vAlign w:val="center"/>
          </w:tcPr>
          <w:p>
            <w:pPr>
              <w:spacing w:before="20" w:after="20"/>
              <w:jc w:val="center"/>
            </w:pPr>
            <w:r>
              <w:rPr>
                <w:sz w:val="17"/>
                <w:szCs w:val="17"/>
              </w:rPr>
              <w:t xml:space="preserve">14</w:t>
            </w:r>
          </w:p>
        </w:tc>
        <w:tc>
          <w:tcPr>
            <w:tcW w:w="3800" w:type="dxa"/>
            <w:vAlign w:val="center"/>
          </w:tcPr>
          <w:p>
            <w:pPr>
              <w:spacing w:before="20" w:after="20"/>
              <w:jc w:val="left"/>
            </w:pPr>
            <w:r>
              <w:rPr>
                <w:sz w:val="17"/>
                <w:szCs w:val="17"/>
              </w:rPr>
              <w:t xml:space="preserve">14. soruda boyutlar arasında belirgin fark görülmüştür (İnsan 1, Süreç 1, Teknoloji 5).</w:t>
            </w:r>
          </w:p>
        </w:tc>
        <w:tc>
          <w:tcPr>
            <w:tcW w:w="2722" w:type="dxa"/>
            <w:vAlign w:val="center"/>
          </w:tcPr>
          <w:p>
            <w:pPr>
              <w:spacing w:before="20" w:after="20"/>
              <w:jc w:val="left"/>
            </w:pPr>
            <w:r>
              <w:rPr>
                <w:sz w:val="17"/>
                <w:szCs w:val="17"/>
              </w:rPr>
              <w:t xml:space="preserve">Teknik altyapının süreç ve sahiplikle desteklenme düzeyinin teyit edilmesi önerilir.</w:t>
            </w:r>
          </w:p>
        </w:tc>
      </w:tr>
    </w:tbl>
    <w:p>
      <w:pPr>
        <w:spacing w:before="0" w:after="60"/>
      </w:pPr>
      <w:r>
        <w:rPr>
          <w:sz w:val="8"/>
          <w:szCs w:val="8"/>
        </w:rPr>
        <w:t xml:space="preserve"/>
      </w:r>
    </w:p>
    <w:p>
      <w:r>
        <w:rPr>
          <w:i/>
          <w:iCs/>
          <w:sz w:val="18"/>
          <w:szCs w:val="18"/>
        </w:rPr>
        <w:t xml:space="preserve">Soru No, EK-1 Soru / Cevap Tablosu’ndaki numaralandırmayı esas alır.</w:t>
      </w:r>
    </w:p>
    <w:p>
      <w:pPr>
        <w:pStyle w:val="Heading1"/>
        <w:pageBreakBefore/>
        <w:numPr>
          <w:ilvl w:val="0"/>
          <w:numId w:val="0"/>
        </w:numPr>
      </w:pPr>
      <w:r>
        <w:t xml:space="preserve">EK-1 Soru / Cevap Tablosu</w:t>
      </w:r>
    </w:p>
    <w:p>
      <w:r>
        <w:t xml:space="preserve">Her soru için boyut bazında seçilen seviye ve bu seviyeye karşılık gelen ifade aşağıda verilmiştir. “Yanıtlanmadı” olarak görünen boyutlar hesaplamalarda en düşük seviye (1) kabul edilmiştir.</w:t>
      </w:r>
    </w:p>
    <w:p>
      <w:pPr>
        <w:pStyle w:val="Caption"/>
        <w:keepNext/>
      </w:pPr>
      <w:r>
        <w:t xml:space="preserve">Tablo 13 – Soru ve cevaplar</w:t>
      </w:r>
    </w:p>
    <w:tbl>
      <w:tblPr>
        <w:tblStyle w:val="TableGrid"/>
        <w:tblW w:w="9072" w:type="dxa"/>
        <w:tblLayout w:type="fixed"/>
        <w:tblCellMar>
          <w:left w:w="85" w:type="dxa"/>
          <w:right w:w="85" w:type="dxa"/>
        </w:tblCellMar>
        <w:tblLook w:val="04A0" w:firstRow="1" w:lastRow="0" w:firstColumn="1" w:lastColumn="0" w:noHBand="0" w:noVBand="1"/>
      </w:tblPr>
      <w:tblGrid>
        <w:gridCol w:w="450"/>
        <w:gridCol w:w="3100"/>
        <w:gridCol w:w="1050"/>
        <w:gridCol w:w="1100"/>
        <w:gridCol w:w="3372"/>
      </w:tblGrid>
      <w:tr>
        <w:trPr>
          <w:cantSplit/>
          <w:tblHeader/>
        </w:trPr>
        <w:tc>
          <w:tcPr>
            <w:tcW w:w="450" w:type="dxa"/>
            <w:shd w:val="clear" w:color="auto" w:fill="D9D9D9"/>
            <w:vAlign w:val="center"/>
          </w:tcPr>
          <w:p>
            <w:pPr>
              <w:spacing w:before="20" w:after="20"/>
              <w:jc w:val="left"/>
            </w:pPr>
            <w:r>
              <w:rPr>
                <w:b/>
                <w:bCs/>
                <w:sz w:val="16"/>
                <w:szCs w:val="16"/>
              </w:rPr>
              <w:t xml:space="preserve">Soru No</w:t>
            </w:r>
          </w:p>
        </w:tc>
        <w:tc>
          <w:tcPr>
            <w:tcW w:w="3100" w:type="dxa"/>
            <w:shd w:val="clear" w:color="auto" w:fill="D9D9D9"/>
            <w:vAlign w:val="center"/>
          </w:tcPr>
          <w:p>
            <w:pPr>
              <w:spacing w:before="20" w:after="20"/>
              <w:jc w:val="left"/>
            </w:pPr>
            <w:r>
              <w:rPr>
                <w:b/>
                <w:bCs/>
                <w:sz w:val="16"/>
                <w:szCs w:val="16"/>
              </w:rPr>
              <w:t xml:space="preserve">Kontrol alanı / Soru</w:t>
            </w:r>
          </w:p>
        </w:tc>
        <w:tc>
          <w:tcPr>
            <w:tcW w:w="1050" w:type="dxa"/>
            <w:shd w:val="clear" w:color="auto" w:fill="D9D9D9"/>
            <w:vAlign w:val="center"/>
          </w:tcPr>
          <w:p>
            <w:pPr>
              <w:spacing w:before="20" w:after="20"/>
              <w:jc w:val="left"/>
            </w:pPr>
            <w:r>
              <w:rPr>
                <w:b/>
                <w:bCs/>
                <w:sz w:val="16"/>
                <w:szCs w:val="16"/>
              </w:rPr>
              <w:t xml:space="preserve">Boyut</w:t>
            </w:r>
          </w:p>
        </w:tc>
        <w:tc>
          <w:tcPr>
            <w:tcW w:w="1100" w:type="dxa"/>
            <w:shd w:val="clear" w:color="auto" w:fill="D9D9D9"/>
            <w:vAlign w:val="center"/>
          </w:tcPr>
          <w:p>
            <w:pPr>
              <w:spacing w:before="20" w:after="20"/>
              <w:jc w:val="left"/>
            </w:pPr>
            <w:r>
              <w:rPr>
                <w:b/>
                <w:bCs/>
                <w:sz w:val="16"/>
                <w:szCs w:val="16"/>
              </w:rPr>
              <w:t xml:space="preserve">Seviye</w:t>
            </w:r>
          </w:p>
        </w:tc>
        <w:tc>
          <w:tcPr>
            <w:tcW w:w="3372" w:type="dxa"/>
            <w:shd w:val="clear" w:color="auto" w:fill="D9D9D9"/>
            <w:vAlign w:val="center"/>
          </w:tcPr>
          <w:p>
            <w:pPr>
              <w:spacing w:before="20" w:after="20"/>
              <w:jc w:val="left"/>
            </w:pPr>
            <w:r>
              <w:rPr>
                <w:b/>
                <w:bCs/>
                <w:sz w:val="16"/>
                <w:szCs w:val="16"/>
              </w:rPr>
              <w:t xml:space="preserve">Seçilen ifade</w:t>
            </w:r>
          </w:p>
        </w:tc>
      </w:tr>
      <w:tr>
        <w:trPr>
          <w:cantSplit/>
        </w:trPr>
        <w:tc>
          <w:tcPr>
            <w:tcW w:w="450" w:type="dxa"/>
            <w:vMerge w:val="restart"/>
            <w:vAlign w:val="top"/>
          </w:tcPr>
          <w:p>
            <w:pPr>
              <w:spacing w:before="20" w:after="20"/>
              <w:jc w:val="center"/>
            </w:pPr>
            <w:r>
              <w:rPr>
                <w:sz w:val="16"/>
                <w:szCs w:val="16"/>
              </w:rPr>
              <w:t xml:space="preserve">1</w:t>
            </w:r>
          </w:p>
        </w:tc>
        <w:tc>
          <w:tcPr>
            <w:tcW w:w="3100" w:type="dxa"/>
            <w:vMerge w:val="restart"/>
            <w:vAlign w:val="top"/>
          </w:tcPr>
          <w:p>
            <w:pPr>
              <w:spacing w:before="20" w:after="20"/>
              <w:jc w:val="left"/>
            </w:pPr>
            <w:r>
              <w:rPr>
                <w:b/>
                <w:bCs/>
                <w:sz w:val="16"/>
                <w:szCs w:val="16"/>
              </w:rPr>
              <w:t xml:space="preserve">Yönetişim, Risk ve Uyumluluk</w:t>
            </w:r>
          </w:p>
          <w:p>
            <w:pPr>
              <w:spacing w:before="20" w:after="20"/>
              <w:jc w:val="left"/>
            </w:pPr>
            <w:r>
              <w:rPr>
                <w:sz w:val="16"/>
                <w:szCs w:val="16"/>
              </w:rPr>
              <w:t xml:space="preserve">Siber güvenlik riskleri üst yönetim seviyesinde düzenli görüşülüp, riskleri azaltmak için ayrı bir bütçe ve kaynak ayrılıyor mu?</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Yönetim siber güvenlik ihtiyacının farkındadır ancak konu henüz stratejik bir iş riski olarak sınıflandırılmamıştır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Risk raporlaması için tanımlanmış resmi bir süreç bulunmamaktadır; iletişim ihtiyaç anında sözlü olarak yapılmaktadır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Temel güvenlik yönetim panellerinden (Dashboard) alınan özet raporlar yönetime sunulmaktadır</w:t>
            </w:r>
          </w:p>
        </w:tc>
      </w:tr>
      <w:tr>
        <w:trPr>
          <w:cantSplit/>
        </w:trPr>
        <w:tc>
          <w:tcPr>
            <w:tcW w:w="450" w:type="dxa"/>
            <w:vMerge w:val="restart"/>
            <w:vAlign w:val="top"/>
          </w:tcPr>
          <w:p>
            <w:pPr>
              <w:spacing w:before="20" w:after="20"/>
              <w:jc w:val="center"/>
            </w:pPr>
            <w:r>
              <w:rPr>
                <w:sz w:val="16"/>
                <w:szCs w:val="16"/>
              </w:rPr>
              <w:t xml:space="preserve">2</w:t>
            </w:r>
          </w:p>
        </w:tc>
        <w:tc>
          <w:tcPr>
            <w:tcW w:w="3100" w:type="dxa"/>
            <w:vMerge w:val="restart"/>
            <w:vAlign w:val="top"/>
          </w:tcPr>
          <w:p>
            <w:pPr>
              <w:spacing w:before="20" w:after="20"/>
              <w:jc w:val="left"/>
            </w:pPr>
            <w:r>
              <w:rPr>
                <w:b/>
                <w:bCs/>
                <w:sz w:val="16"/>
                <w:szCs w:val="16"/>
              </w:rPr>
              <w:t xml:space="preserve">Yönetişim, Risk ve Uyumluluk</w:t>
            </w:r>
          </w:p>
          <w:p>
            <w:pPr>
              <w:spacing w:before="20" w:after="20"/>
              <w:jc w:val="left"/>
            </w:pPr>
            <w:r>
              <w:rPr>
                <w:sz w:val="16"/>
                <w:szCs w:val="16"/>
              </w:rPr>
              <w:t xml:space="preserve">7545 Sayılı Kanun ve KVKK gibi güncel mevzuata uyumlu, yönetim onaylı siber güvenlik politikalarınız var mı?</w:t>
            </w:r>
          </w:p>
          <w:p>
            <w:pPr>
              <w:spacing w:before="20" w:after="20"/>
              <w:jc w:val="left"/>
            </w:pPr>
            <w:r>
              <w:rPr>
                <w:i/>
                <w:iCs/>
                <w:sz w:val="16"/>
                <w:szCs w:val="16"/>
              </w:rPr>
              <w:t xml:space="preserve">Etki: Orta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Tüm çalışanlar politikaları okumuş ve uyacağına dair yazılı taahhüt vermiştir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Mevcut dökümanlar operasyonel ihtiyaçlara göre hazırlanmış olup, güncel mevzuat (7545/KVKK) uyum çalışmaları devam etmektedir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Politika ihlalleri sistemler tarafından otomatik loglanmakta ve raporlanmaktadır</w:t>
            </w:r>
          </w:p>
        </w:tc>
      </w:tr>
      <w:tr>
        <w:trPr>
          <w:cantSplit/>
        </w:trPr>
        <w:tc>
          <w:tcPr>
            <w:tcW w:w="450" w:type="dxa"/>
            <w:vMerge w:val="restart"/>
            <w:vAlign w:val="top"/>
          </w:tcPr>
          <w:p>
            <w:pPr>
              <w:spacing w:before="20" w:after="20"/>
              <w:jc w:val="center"/>
            </w:pPr>
            <w:r>
              <w:rPr>
                <w:sz w:val="16"/>
                <w:szCs w:val="16"/>
              </w:rPr>
              <w:t xml:space="preserve">3</w:t>
            </w:r>
          </w:p>
        </w:tc>
        <w:tc>
          <w:tcPr>
            <w:tcW w:w="3100" w:type="dxa"/>
            <w:vMerge w:val="restart"/>
            <w:vAlign w:val="top"/>
          </w:tcPr>
          <w:p>
            <w:pPr>
              <w:spacing w:before="20" w:after="20"/>
              <w:jc w:val="left"/>
            </w:pPr>
            <w:r>
              <w:rPr>
                <w:b/>
                <w:bCs/>
                <w:sz w:val="16"/>
                <w:szCs w:val="16"/>
              </w:rPr>
              <w:t xml:space="preserve">Varlık ve Yapılandırma Yönetimi</w:t>
            </w:r>
          </w:p>
          <w:p>
            <w:pPr>
              <w:spacing w:before="20" w:after="20"/>
              <w:jc w:val="left"/>
            </w:pPr>
            <w:r>
              <w:rPr>
                <w:sz w:val="16"/>
                <w:szCs w:val="16"/>
              </w:rPr>
              <w:t xml:space="preserve">Kritik donanım/yazılımlarınızı ve hassas verilerinizin nerede tutulduğunu gösteren güncel bir envanter/veri haritanız var mı?</w:t>
            </w:r>
          </w:p>
          <w:p>
            <w:pPr>
              <w:spacing w:before="20" w:after="20"/>
              <w:jc w:val="left"/>
            </w:pPr>
            <w:r>
              <w:rPr>
                <w:i/>
                <w:iCs/>
                <w:sz w:val="16"/>
                <w:szCs w:val="16"/>
              </w:rPr>
              <w:t xml:space="preserve">Etki: Orta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Varlık yönetimi sorumluluğu ağırlıklı olarak IT biriminde olup, diğer iş birimlerinin katılımı henüz sınırlıdır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Envanter tutma veya veri sınıflandırma ile ilgili yazılı bir prosedür henüz oluşturulmamıştır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Otomatik ağ tarama ve envanter yönetim araçları ile varlıklar takip edilmektedir</w:t>
            </w:r>
          </w:p>
        </w:tc>
      </w:tr>
      <w:tr>
        <w:trPr>
          <w:cantSplit/>
        </w:trPr>
        <w:tc>
          <w:tcPr>
            <w:tcW w:w="450" w:type="dxa"/>
            <w:vMerge w:val="restart"/>
            <w:vAlign w:val="top"/>
          </w:tcPr>
          <w:p>
            <w:pPr>
              <w:spacing w:before="20" w:after="20"/>
              <w:jc w:val="center"/>
            </w:pPr>
            <w:r>
              <w:rPr>
                <w:sz w:val="16"/>
                <w:szCs w:val="16"/>
              </w:rPr>
              <w:t xml:space="preserve">4</w:t>
            </w:r>
          </w:p>
        </w:tc>
        <w:tc>
          <w:tcPr>
            <w:tcW w:w="3100" w:type="dxa"/>
            <w:vMerge w:val="restart"/>
            <w:vAlign w:val="top"/>
          </w:tcPr>
          <w:p>
            <w:pPr>
              <w:spacing w:before="20" w:after="20"/>
              <w:jc w:val="left"/>
            </w:pPr>
            <w:r>
              <w:rPr>
                <w:b/>
                <w:bCs/>
                <w:sz w:val="16"/>
                <w:szCs w:val="16"/>
              </w:rPr>
              <w:t xml:space="preserve">Yönetişim, Risk ve Uyumluluk</w:t>
            </w:r>
          </w:p>
          <w:p>
            <w:pPr>
              <w:spacing w:before="20" w:after="20"/>
              <w:jc w:val="left"/>
            </w:pPr>
            <w:r>
              <w:rPr>
                <w:sz w:val="16"/>
                <w:szCs w:val="16"/>
              </w:rPr>
              <w:t xml:space="preserve">Kurumun siber risklerini belirleyen resmi bir risk analizi son 1 yıl içinde yapıldı mı ve aksiyonlar takip ediliyor mu?</w:t>
            </w:r>
          </w:p>
          <w:p>
            <w:pPr>
              <w:spacing w:before="20" w:after="20"/>
              <w:jc w:val="left"/>
            </w:pPr>
            <w:r>
              <w:rPr>
                <w:i/>
                <w:iCs/>
                <w:sz w:val="16"/>
                <w:szCs w:val="16"/>
              </w:rPr>
              <w:t xml:space="preserve">Etki: Orta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Risk azaltma aksiyonları ilgili personel tarafından sahiplenilmiş ve düzenli takip edilmektedir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ISO 27005 vb. standarda uygun, yıllık periyotla yapılan yazılı risk analizi süreci mevcuttur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5</w:t>
            </w:r>
          </w:p>
        </w:tc>
        <w:tc>
          <w:tcPr>
            <w:tcW w:w="3372" w:type="dxa"/>
            <w:vAlign w:val="center"/>
          </w:tcPr>
          <w:p>
            <w:pPr>
              <w:spacing w:before="20" w:after="20"/>
              <w:jc w:val="left"/>
            </w:pPr>
            <w:r>
              <w:rPr>
                <w:sz w:val="16"/>
                <w:szCs w:val="16"/>
              </w:rPr>
              <w:t xml:space="preserve">GRC platformu üzerinden risk skorları canlı verilerle (tehdit istihbaratı) anlık güncellenmektedir</w:t>
            </w:r>
          </w:p>
        </w:tc>
      </w:tr>
      <w:tr>
        <w:trPr>
          <w:cantSplit/>
        </w:trPr>
        <w:tc>
          <w:tcPr>
            <w:tcW w:w="450" w:type="dxa"/>
            <w:vMerge w:val="restart"/>
            <w:vAlign w:val="top"/>
          </w:tcPr>
          <w:p>
            <w:pPr>
              <w:spacing w:before="20" w:after="20"/>
              <w:jc w:val="center"/>
            </w:pPr>
            <w:r>
              <w:rPr>
                <w:sz w:val="16"/>
                <w:szCs w:val="16"/>
              </w:rPr>
              <w:t xml:space="preserve">5</w:t>
            </w:r>
          </w:p>
        </w:tc>
        <w:tc>
          <w:tcPr>
            <w:tcW w:w="3100" w:type="dxa"/>
            <w:vMerge w:val="restart"/>
            <w:vAlign w:val="top"/>
          </w:tcPr>
          <w:p>
            <w:pPr>
              <w:spacing w:before="20" w:after="20"/>
              <w:jc w:val="left"/>
            </w:pPr>
            <w:r>
              <w:rPr>
                <w:b/>
                <w:bCs/>
                <w:sz w:val="16"/>
                <w:szCs w:val="16"/>
              </w:rPr>
              <w:t xml:space="preserve">İnsan Kaynakları Güvenliği</w:t>
            </w:r>
          </w:p>
          <w:p>
            <w:pPr>
              <w:spacing w:before="20" w:after="20"/>
              <w:jc w:val="left"/>
            </w:pPr>
            <w:r>
              <w:rPr>
                <w:sz w:val="16"/>
                <w:szCs w:val="16"/>
              </w:rPr>
              <w:t xml:space="preserve">Çalışanlara düzenli siber güvenlik eğitimi veriliyor ve farkındalıkları "Habersiz Oltalama Testleri" ile ölçülüyor mu?</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Çalışanlar temel tehditleri (oltalama vb.) tanımakta ve şüpheli durumları bildirmeye çalışmaktadır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Eğitimler işe giriş oryantasyonu ile sınırlı kalmakta, periyodik devamlılık sağlanamamaktadır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Simülasyon aracı, linke tıklayan kullanıcıya anında "Eğitim Anı" uyarısı vererek etkileşimli öğretim sağlamaktadır</w:t>
            </w:r>
          </w:p>
        </w:tc>
      </w:tr>
      <w:tr>
        <w:trPr>
          <w:cantSplit/>
        </w:trPr>
        <w:tc>
          <w:tcPr>
            <w:tcW w:w="450" w:type="dxa"/>
            <w:vMerge w:val="restart"/>
            <w:vAlign w:val="top"/>
          </w:tcPr>
          <w:p>
            <w:pPr>
              <w:spacing w:before="20" w:after="20"/>
              <w:jc w:val="center"/>
            </w:pPr>
            <w:r>
              <w:rPr>
                <w:sz w:val="16"/>
                <w:szCs w:val="16"/>
              </w:rPr>
              <w:t xml:space="preserve">6</w:t>
            </w:r>
          </w:p>
        </w:tc>
        <w:tc>
          <w:tcPr>
            <w:tcW w:w="3100" w:type="dxa"/>
            <w:vMerge w:val="restart"/>
            <w:vAlign w:val="top"/>
          </w:tcPr>
          <w:p>
            <w:pPr>
              <w:spacing w:before="20" w:after="20"/>
              <w:jc w:val="left"/>
            </w:pPr>
            <w:r>
              <w:rPr>
                <w:b/>
                <w:bCs/>
                <w:sz w:val="16"/>
                <w:szCs w:val="16"/>
              </w:rPr>
              <w:t xml:space="preserve">Kimlik ve Erişim Yönetimi</w:t>
            </w:r>
          </w:p>
          <w:p>
            <w:pPr>
              <w:spacing w:before="20" w:after="20"/>
              <w:jc w:val="left"/>
            </w:pPr>
            <w:r>
              <w:rPr>
                <w:sz w:val="16"/>
                <w:szCs w:val="16"/>
              </w:rPr>
              <w:t xml:space="preserve">İşe giriş ve çıkışlarda (özellikle ayrılan personelin) erişim yetkileri anında ve eksiksiz olarak yönetiliyor mu?</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BT ve İK birimleri arasında iletişim kanalları açıktır ancak süreçlerde zaman zaman senkronizasyon eksikliği yaşanabilmektedir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İşe giriş veya çıkışlarda yetki tanımlama/kaldırma işlemleri için yazılı bir prosedür henüz oluşturulmamıştır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Merkezi dizin (AD) üzerinden yapılan kapatma işlemi ile temel erişimler (PC, E-posta) kesilmektedir</w:t>
            </w:r>
          </w:p>
        </w:tc>
      </w:tr>
      <w:tr>
        <w:trPr>
          <w:cantSplit/>
        </w:trPr>
        <w:tc>
          <w:tcPr>
            <w:tcW w:w="450" w:type="dxa"/>
            <w:vMerge w:val="restart"/>
            <w:vAlign w:val="top"/>
          </w:tcPr>
          <w:p>
            <w:pPr>
              <w:spacing w:before="20" w:after="20"/>
              <w:jc w:val="center"/>
            </w:pPr>
            <w:r>
              <w:rPr>
                <w:sz w:val="16"/>
                <w:szCs w:val="16"/>
              </w:rPr>
              <w:t xml:space="preserve">7</w:t>
            </w:r>
          </w:p>
        </w:tc>
        <w:tc>
          <w:tcPr>
            <w:tcW w:w="3100" w:type="dxa"/>
            <w:vMerge w:val="restart"/>
            <w:vAlign w:val="top"/>
          </w:tcPr>
          <w:p>
            <w:pPr>
              <w:spacing w:before="20" w:after="20"/>
              <w:jc w:val="left"/>
            </w:pPr>
            <w:r>
              <w:rPr>
                <w:b/>
                <w:bCs/>
                <w:sz w:val="16"/>
                <w:szCs w:val="16"/>
              </w:rPr>
              <w:t xml:space="preserve">Kimlik ve Erişim Yönetimi</w:t>
            </w:r>
          </w:p>
          <w:p>
            <w:pPr>
              <w:spacing w:before="20" w:after="20"/>
              <w:jc w:val="left"/>
            </w:pPr>
            <w:r>
              <w:rPr>
                <w:sz w:val="16"/>
                <w:szCs w:val="16"/>
              </w:rPr>
              <w:t xml:space="preserve">Uzaktan çalışmanın güvenlik kurallarını (VPN kullanımı, Cihaz güvenliği vb.) belirleyen resmi bir politikanız var mı?</w:t>
            </w:r>
          </w:p>
          <w:p>
            <w:pPr>
              <w:spacing w:before="20" w:after="20"/>
              <w:jc w:val="left"/>
            </w:pPr>
            <w:r>
              <w:rPr>
                <w:i/>
                <w:iCs/>
                <w:sz w:val="16"/>
                <w:szCs w:val="16"/>
              </w:rPr>
              <w:t xml:space="preserve">Etki: Orta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Personel, uzaktan çalışma politikasını okumuş ve güvenli bağlantı yöntemleri konusunda yetkinlik kazanmıştır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Uygulamada bazı kurallar (VPN zorunluluğu vb.) olmakla birlikte, süreçler resmi dökümantasyona bağlanmamıştır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Sadece kurumsal olarak yönetilen ve güvenlik kriterlerini sağlayan cihazlara erişim izni verilmektedir</w:t>
            </w:r>
          </w:p>
        </w:tc>
      </w:tr>
      <w:tr>
        <w:trPr>
          <w:cantSplit/>
        </w:trPr>
        <w:tc>
          <w:tcPr>
            <w:tcW w:w="450" w:type="dxa"/>
            <w:vMerge w:val="restart"/>
            <w:vAlign w:val="top"/>
          </w:tcPr>
          <w:p>
            <w:pPr>
              <w:spacing w:before="20" w:after="20"/>
              <w:jc w:val="center"/>
            </w:pPr>
            <w:r>
              <w:rPr>
                <w:sz w:val="16"/>
                <w:szCs w:val="16"/>
              </w:rPr>
              <w:t xml:space="preserve">8</w:t>
            </w:r>
          </w:p>
        </w:tc>
        <w:tc>
          <w:tcPr>
            <w:tcW w:w="3100" w:type="dxa"/>
            <w:vMerge w:val="restart"/>
            <w:vAlign w:val="top"/>
          </w:tcPr>
          <w:p>
            <w:pPr>
              <w:spacing w:before="20" w:after="20"/>
              <w:jc w:val="left"/>
            </w:pPr>
            <w:r>
              <w:rPr>
                <w:b/>
                <w:bCs/>
                <w:sz w:val="16"/>
                <w:szCs w:val="16"/>
              </w:rPr>
              <w:t xml:space="preserve">Kimlik ve Erişim Yönetimi</w:t>
            </w:r>
          </w:p>
          <w:p>
            <w:pPr>
              <w:spacing w:before="20" w:after="20"/>
              <w:jc w:val="left"/>
            </w:pPr>
            <w:r>
              <w:rPr>
                <w:sz w:val="16"/>
                <w:szCs w:val="16"/>
              </w:rPr>
              <w:t xml:space="preserve">VPN, E-posta ve kritik sistemlere erişimde parola dışında ikinci bir doğrulama (MFA/SMS/OTP) zorunlu mu?</w:t>
            </w:r>
          </w:p>
          <w:p>
            <w:pPr>
              <w:spacing w:before="20" w:after="20"/>
              <w:jc w:val="left"/>
            </w:pPr>
            <w:r>
              <w:rPr>
                <w:i/>
                <w:iCs/>
                <w:sz w:val="16"/>
                <w:szCs w:val="16"/>
              </w:rPr>
              <w:t xml:space="preserve">Etki: Çok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Personel, çok faktörlü doğrulama (MFA) kullanımı ve gerekliliği konusunda henüz bilgilendirilmemiştir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Çok faktörlü doğrulama kullanımına yönelik kurumsal bir zorunluluk veya politika tanımlanmamıştır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Sadece VPN erişimi için MFA kullanılmakta; e-posta ve bulut uygulamaları parola ile korunmaktadır</w:t>
            </w:r>
          </w:p>
        </w:tc>
      </w:tr>
      <w:tr>
        <w:trPr>
          <w:cantSplit/>
        </w:trPr>
        <w:tc>
          <w:tcPr>
            <w:tcW w:w="450" w:type="dxa"/>
            <w:vMerge w:val="restart"/>
            <w:vAlign w:val="top"/>
          </w:tcPr>
          <w:p>
            <w:pPr>
              <w:spacing w:before="20" w:after="20"/>
              <w:jc w:val="center"/>
            </w:pPr>
            <w:r>
              <w:rPr>
                <w:sz w:val="16"/>
                <w:szCs w:val="16"/>
              </w:rPr>
              <w:t xml:space="preserve">9</w:t>
            </w:r>
          </w:p>
        </w:tc>
        <w:tc>
          <w:tcPr>
            <w:tcW w:w="3100" w:type="dxa"/>
            <w:vMerge w:val="restart"/>
            <w:vAlign w:val="top"/>
          </w:tcPr>
          <w:p>
            <w:pPr>
              <w:spacing w:before="20" w:after="20"/>
              <w:jc w:val="left"/>
            </w:pPr>
            <w:r>
              <w:rPr>
                <w:b/>
                <w:bCs/>
                <w:sz w:val="16"/>
                <w:szCs w:val="16"/>
              </w:rPr>
              <w:t xml:space="preserve">Kimlik ve Erişim Yönetimi</w:t>
            </w:r>
          </w:p>
          <w:p>
            <w:pPr>
              <w:spacing w:before="20" w:after="20"/>
              <w:jc w:val="left"/>
            </w:pPr>
            <w:r>
              <w:rPr>
                <w:sz w:val="16"/>
                <w:szCs w:val="16"/>
              </w:rPr>
              <w:t xml:space="preserve">Süper Yönetici (Admin) hesapları sadece gerektiğinde kullanılıyor ve şifreleri güvenli/izole yönetiliyor mu?</w:t>
            </w:r>
          </w:p>
          <w:p>
            <w:pPr>
              <w:spacing w:before="20" w:after="20"/>
              <w:jc w:val="left"/>
            </w:pPr>
            <w:r>
              <w:rPr>
                <w:i/>
                <w:iCs/>
                <w:sz w:val="16"/>
                <w:szCs w:val="16"/>
              </w:rPr>
              <w:t xml:space="preserve">Etki: Çok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Sistem yöneticileri yetkili hesap risklerini bilmekte ve kişisel hesap kullanımı prensibine uymaktadır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Admin şifrelerinin yönetimi personelin bireysel yöntemlerine (not alma vb.) bırakılmıştır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Yetkili hesap şifreleri şifreli bir kasa (Vault) sisteminde tutulmakta ve erişimler MFA ile korunmaktadır</w:t>
            </w:r>
          </w:p>
        </w:tc>
      </w:tr>
      <w:tr>
        <w:trPr>
          <w:cantSplit/>
        </w:trPr>
        <w:tc>
          <w:tcPr>
            <w:tcW w:w="450" w:type="dxa"/>
            <w:vMerge w:val="restart"/>
            <w:vAlign w:val="top"/>
          </w:tcPr>
          <w:p>
            <w:pPr>
              <w:spacing w:before="20" w:after="20"/>
              <w:jc w:val="center"/>
            </w:pPr>
            <w:r>
              <w:rPr>
                <w:sz w:val="16"/>
                <w:szCs w:val="16"/>
              </w:rPr>
              <w:t xml:space="preserve">10</w:t>
            </w:r>
          </w:p>
        </w:tc>
        <w:tc>
          <w:tcPr>
            <w:tcW w:w="3100" w:type="dxa"/>
            <w:vMerge w:val="restart"/>
            <w:vAlign w:val="top"/>
          </w:tcPr>
          <w:p>
            <w:pPr>
              <w:spacing w:before="20" w:after="20"/>
              <w:jc w:val="left"/>
            </w:pPr>
            <w:r>
              <w:rPr>
                <w:b/>
                <w:bCs/>
                <w:sz w:val="16"/>
                <w:szCs w:val="16"/>
              </w:rPr>
              <w:t xml:space="preserve">Kimlik ve Erişim Yönetimi</w:t>
            </w:r>
          </w:p>
          <w:p>
            <w:pPr>
              <w:spacing w:before="20" w:after="20"/>
              <w:jc w:val="left"/>
            </w:pPr>
            <w:r>
              <w:rPr>
                <w:sz w:val="16"/>
                <w:szCs w:val="16"/>
              </w:rPr>
              <w:t xml:space="preserve">Kullanıcıların "neye, nereye" erişebileceği "En Az Yetki" prensibine göre ve merkezi bir sistemden (AD) yönetiliyor mu?</w:t>
            </w:r>
          </w:p>
          <w:p>
            <w:pPr>
              <w:spacing w:before="20" w:after="20"/>
              <w:jc w:val="left"/>
            </w:pPr>
            <w:r>
              <w:rPr>
                <w:i/>
                <w:iCs/>
                <w:sz w:val="16"/>
                <w:szCs w:val="16"/>
              </w:rPr>
              <w:t xml:space="preserve">Etki: Orta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Çalışanlar iş süreçlerini hızlandırmak amacıyla yetki paylaşımına yönelebilmektedir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Yetkilendirme süreçlerini düzenleyen yazılı bir yetki matrisi veya prosedür bulunmamaktadır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Sistemler üzerinde Rol Bazlı Erişim Kontrolü (RBAC) teknik olarak yapılandırılmış ve merkezileştirilmiştir</w:t>
            </w:r>
          </w:p>
        </w:tc>
      </w:tr>
      <w:tr>
        <w:trPr>
          <w:cantSplit/>
        </w:trPr>
        <w:tc>
          <w:tcPr>
            <w:tcW w:w="450" w:type="dxa"/>
            <w:vMerge w:val="restart"/>
            <w:vAlign w:val="top"/>
          </w:tcPr>
          <w:p>
            <w:pPr>
              <w:spacing w:before="20" w:after="20"/>
              <w:jc w:val="center"/>
            </w:pPr>
            <w:r>
              <w:rPr>
                <w:sz w:val="16"/>
                <w:szCs w:val="16"/>
              </w:rPr>
              <w:t xml:space="preserve">11</w:t>
            </w:r>
          </w:p>
        </w:tc>
        <w:tc>
          <w:tcPr>
            <w:tcW w:w="3100" w:type="dxa"/>
            <w:vMerge w:val="restart"/>
            <w:vAlign w:val="top"/>
          </w:tcPr>
          <w:p>
            <w:pPr>
              <w:spacing w:before="20" w:after="20"/>
              <w:jc w:val="left"/>
            </w:pPr>
            <w:r>
              <w:rPr>
                <w:b/>
                <w:bCs/>
                <w:sz w:val="16"/>
                <w:szCs w:val="16"/>
              </w:rPr>
              <w:t xml:space="preserve">Yönetişim, Risk ve Uyumluluk</w:t>
            </w:r>
          </w:p>
          <w:p>
            <w:pPr>
              <w:spacing w:before="20" w:after="20"/>
              <w:jc w:val="left"/>
            </w:pPr>
            <w:r>
              <w:rPr>
                <w:sz w:val="16"/>
                <w:szCs w:val="16"/>
              </w:rPr>
              <w:t xml:space="preserve">Bir siber olay veya zafiyet yaşandığında, bunu yasal süresi içinde Siber Güvenlik Başkanlığı'na bildirecek prosedürünüz hazır mı?</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Teknik ekip bildirim gerekliliklerinin farkındadır ancak kurumsal sorumluluk paylaşımı henüz netleşmemiştir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Siber olayların bildirilmesine yönelik yazılı bir prosedür veya iş akışı henüz oluşturulmamıştır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SOME ekibi, bildirim formları için gerekli teknik verilere merkezi sistemlerden erişebilmektedir</w:t>
            </w:r>
          </w:p>
        </w:tc>
      </w:tr>
      <w:tr>
        <w:trPr>
          <w:cantSplit/>
        </w:trPr>
        <w:tc>
          <w:tcPr>
            <w:tcW w:w="450" w:type="dxa"/>
            <w:vMerge w:val="restart"/>
            <w:vAlign w:val="top"/>
          </w:tcPr>
          <w:p>
            <w:pPr>
              <w:spacing w:before="20" w:after="20"/>
              <w:jc w:val="center"/>
            </w:pPr>
            <w:r>
              <w:rPr>
                <w:sz w:val="16"/>
                <w:szCs w:val="16"/>
              </w:rPr>
              <w:t xml:space="preserve">12</w:t>
            </w:r>
          </w:p>
        </w:tc>
        <w:tc>
          <w:tcPr>
            <w:tcW w:w="3100" w:type="dxa"/>
            <w:vMerge w:val="restart"/>
            <w:vAlign w:val="top"/>
          </w:tcPr>
          <w:p>
            <w:pPr>
              <w:spacing w:before="20" w:after="20"/>
              <w:jc w:val="left"/>
            </w:pPr>
            <w:r>
              <w:rPr>
                <w:b/>
                <w:bCs/>
                <w:sz w:val="16"/>
                <w:szCs w:val="16"/>
              </w:rPr>
              <w:t xml:space="preserve">Yönetişim, Risk ve Uyumluluk</w:t>
            </w:r>
          </w:p>
          <w:p>
            <w:pPr>
              <w:spacing w:before="20" w:after="20"/>
              <w:jc w:val="left"/>
            </w:pPr>
            <w:r>
              <w:rPr>
                <w:sz w:val="16"/>
                <w:szCs w:val="16"/>
              </w:rPr>
              <w:t xml:space="preserve">Olası bir denetimde talep edilecek verileri ve log kayıtlarını (bütünlüğü bozulmadan) hızlıca sunmaya hazırlıklı mısınız?</w:t>
            </w:r>
          </w:p>
          <w:p>
            <w:pPr>
              <w:spacing w:before="20" w:after="20"/>
              <w:jc w:val="left"/>
            </w:pPr>
            <w:r>
              <w:rPr>
                <w:i/>
                <w:iCs/>
                <w:sz w:val="16"/>
                <w:szCs w:val="16"/>
              </w:rPr>
              <w:t xml:space="preserve">Etki: Orta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Veri ve belge taleplerini karşılayacak birim temsilcileri ve koordinatörler belirlenmiştir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Talepler geldiğinde manuel yöntemlerle ve reaktif bir veri toplama süreci işletilmektedir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Log kayıtları zaman damgalı ve değiştirilemez (WORM) depolama alanlarında yasal sürelerce saklanmaktadır</w:t>
            </w:r>
          </w:p>
        </w:tc>
      </w:tr>
      <w:tr>
        <w:trPr>
          <w:cantSplit/>
        </w:trPr>
        <w:tc>
          <w:tcPr>
            <w:tcW w:w="450" w:type="dxa"/>
            <w:vMerge w:val="restart"/>
            <w:vAlign w:val="top"/>
          </w:tcPr>
          <w:p>
            <w:pPr>
              <w:spacing w:before="20" w:after="20"/>
              <w:jc w:val="center"/>
            </w:pPr>
            <w:r>
              <w:rPr>
                <w:sz w:val="16"/>
                <w:szCs w:val="16"/>
              </w:rPr>
              <w:t xml:space="preserve">13</w:t>
            </w:r>
          </w:p>
        </w:tc>
        <w:tc>
          <w:tcPr>
            <w:tcW w:w="3100" w:type="dxa"/>
            <w:vMerge w:val="restart"/>
            <w:vAlign w:val="top"/>
          </w:tcPr>
          <w:p>
            <w:pPr>
              <w:spacing w:before="20" w:after="20"/>
              <w:jc w:val="left"/>
            </w:pPr>
            <w:r>
              <w:rPr>
                <w:b/>
                <w:bCs/>
                <w:sz w:val="16"/>
                <w:szCs w:val="16"/>
              </w:rPr>
              <w:t xml:space="preserve">Fiziksel Güvenlik</w:t>
            </w:r>
          </w:p>
          <w:p>
            <w:pPr>
              <w:spacing w:before="20" w:after="20"/>
              <w:jc w:val="left"/>
            </w:pPr>
            <w:r>
              <w:rPr>
                <w:sz w:val="16"/>
                <w:szCs w:val="16"/>
              </w:rPr>
              <w:t xml:space="preserve">Sunucu odasıyetkisiz girişlere, yangın/ısı risklerine ve elektrik kesintilerine (UPS/Jeneratör) karşı korunuyor mu?</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Teknik personel çevresel risklerin farkındadır ancak izleme imkanları kısıtlıdır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Sistem odası giriş-çıkışları veya çevresel bakımları için yazılı bir kayıt/prosedür sistemi bulunmamaktadır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Girişler kartlı/biyometrik sistemle kontrol edilmekte; ortamda gazlı söndürme ve UPS desteği bulunmaktadır</w:t>
            </w:r>
          </w:p>
        </w:tc>
      </w:tr>
      <w:tr>
        <w:trPr>
          <w:cantSplit/>
        </w:trPr>
        <w:tc>
          <w:tcPr>
            <w:tcW w:w="450" w:type="dxa"/>
            <w:vMerge w:val="restart"/>
            <w:vAlign w:val="top"/>
          </w:tcPr>
          <w:p>
            <w:pPr>
              <w:spacing w:before="20" w:after="20"/>
              <w:jc w:val="center"/>
            </w:pPr>
            <w:r>
              <w:rPr>
                <w:sz w:val="16"/>
                <w:szCs w:val="16"/>
              </w:rPr>
              <w:t xml:space="preserve">14</w:t>
            </w:r>
          </w:p>
        </w:tc>
        <w:tc>
          <w:tcPr>
            <w:tcW w:w="3100" w:type="dxa"/>
            <w:vMerge w:val="restart"/>
            <w:vAlign w:val="top"/>
          </w:tcPr>
          <w:p>
            <w:pPr>
              <w:spacing w:before="20" w:after="20"/>
              <w:jc w:val="left"/>
            </w:pPr>
            <w:r>
              <w:rPr>
                <w:b/>
                <w:bCs/>
                <w:sz w:val="16"/>
                <w:szCs w:val="16"/>
              </w:rPr>
              <w:t xml:space="preserve">Ağ ve İletişim Güvenliği</w:t>
            </w:r>
          </w:p>
          <w:p>
            <w:pPr>
              <w:spacing w:before="20" w:after="20"/>
              <w:jc w:val="left"/>
            </w:pPr>
            <w:r>
              <w:rPr>
                <w:sz w:val="16"/>
                <w:szCs w:val="16"/>
              </w:rPr>
              <w:t xml:space="preserve">İnternet çıkışında trafiği denetleyen ve saldırıları engelleyen güncel bir Güvenlik Duvarı (NGFW/IPS) yönetiliyor mu?</w:t>
            </w:r>
          </w:p>
          <w:p>
            <w:pPr>
              <w:spacing w:before="20" w:after="20"/>
              <w:jc w:val="left"/>
            </w:pPr>
            <w:r>
              <w:rPr>
                <w:i/>
                <w:iCs/>
                <w:sz w:val="16"/>
                <w:szCs w:val="16"/>
              </w:rPr>
              <w:t xml:space="preserve">Etki: Çok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Ağ yönetimi "erişilebilirlik" odaklı yapılmakta, güvenlik filtreleri operasyonel engel olarak görülebilmektedir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Güvenlik duvarı kurallarının yönetimi veya güncellenmesi için tanımlanmış bir süreç bulunmamaktadır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5</w:t>
            </w:r>
          </w:p>
        </w:tc>
        <w:tc>
          <w:tcPr>
            <w:tcW w:w="3372" w:type="dxa"/>
            <w:vAlign w:val="center"/>
          </w:tcPr>
          <w:p>
            <w:pPr>
              <w:spacing w:before="20" w:after="20"/>
              <w:jc w:val="left"/>
            </w:pPr>
            <w:r>
              <w:rPr>
                <w:sz w:val="16"/>
                <w:szCs w:val="16"/>
              </w:rPr>
              <w:t xml:space="preserve">Firewall, siber tehdit istihbaratı servisleriyle entegre çalışarak zararlı kaynakları otomatik engellemektedir</w:t>
            </w:r>
          </w:p>
        </w:tc>
      </w:tr>
      <w:tr>
        <w:trPr>
          <w:cantSplit/>
        </w:trPr>
        <w:tc>
          <w:tcPr>
            <w:tcW w:w="450" w:type="dxa"/>
            <w:vMerge w:val="restart"/>
            <w:vAlign w:val="top"/>
          </w:tcPr>
          <w:p>
            <w:pPr>
              <w:spacing w:before="20" w:after="20"/>
              <w:jc w:val="center"/>
            </w:pPr>
            <w:r>
              <w:rPr>
                <w:sz w:val="16"/>
                <w:szCs w:val="16"/>
              </w:rPr>
              <w:t xml:space="preserve">15</w:t>
            </w:r>
          </w:p>
        </w:tc>
        <w:tc>
          <w:tcPr>
            <w:tcW w:w="3100" w:type="dxa"/>
            <w:vMerge w:val="restart"/>
            <w:vAlign w:val="top"/>
          </w:tcPr>
          <w:p>
            <w:pPr>
              <w:spacing w:before="20" w:after="20"/>
              <w:jc w:val="left"/>
            </w:pPr>
            <w:r>
              <w:rPr>
                <w:b/>
                <w:bCs/>
                <w:sz w:val="16"/>
                <w:szCs w:val="16"/>
              </w:rPr>
              <w:t xml:space="preserve">Ağ ve İletişim Güvenliği</w:t>
            </w:r>
          </w:p>
          <w:p>
            <w:pPr>
              <w:spacing w:before="20" w:after="20"/>
              <w:jc w:val="left"/>
            </w:pPr>
            <w:r>
              <w:rPr>
                <w:sz w:val="16"/>
                <w:szCs w:val="16"/>
              </w:rPr>
              <w:t xml:space="preserve">Misafir ağı ile kritik sunucu/personel ağları birbirinden mantıksal olarak (VLAN) ayrılmış durumda mı?</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Sistem yöneticileri VLAN yapılandırması konusunda yetkindir ve kurallara riayet etmektedir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Ağ ayrımı fiziksel imkanlara göre (kablo/switch bazlı) yapılmakta, mantıksal ve yönetilebilir bir yapı eksiktir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Mikrosegmentasyon uygulanmakta; kritik sunucular kendi aralarında dahi kısıtlı iletişim kurmaktadır</w:t>
            </w:r>
          </w:p>
        </w:tc>
      </w:tr>
      <w:tr>
        <w:trPr>
          <w:cantSplit/>
        </w:trPr>
        <w:tc>
          <w:tcPr>
            <w:tcW w:w="450" w:type="dxa"/>
            <w:vMerge w:val="restart"/>
            <w:vAlign w:val="top"/>
          </w:tcPr>
          <w:p>
            <w:pPr>
              <w:spacing w:before="20" w:after="20"/>
              <w:jc w:val="center"/>
            </w:pPr>
            <w:r>
              <w:rPr>
                <w:sz w:val="16"/>
                <w:szCs w:val="16"/>
              </w:rPr>
              <w:t xml:space="preserve">16</w:t>
            </w:r>
          </w:p>
        </w:tc>
        <w:tc>
          <w:tcPr>
            <w:tcW w:w="3100" w:type="dxa"/>
            <w:vMerge w:val="restart"/>
            <w:vAlign w:val="top"/>
          </w:tcPr>
          <w:p>
            <w:pPr>
              <w:spacing w:before="20" w:after="20"/>
              <w:jc w:val="left"/>
            </w:pPr>
            <w:r>
              <w:rPr>
                <w:b/>
                <w:bCs/>
                <w:sz w:val="16"/>
                <w:szCs w:val="16"/>
              </w:rPr>
              <w:t xml:space="preserve">Ağ ve İletişim Güvenliği</w:t>
            </w:r>
          </w:p>
          <w:p>
            <w:pPr>
              <w:spacing w:before="20" w:after="20"/>
              <w:jc w:val="left"/>
            </w:pPr>
            <w:r>
              <w:rPr>
                <w:sz w:val="16"/>
                <w:szCs w:val="16"/>
              </w:rPr>
              <w:t xml:space="preserve">Dışarıdan şirket ağına yapılan tüm bağlantılar "Güvenli VPN" veya şifreli tüneller üzerinden mi yapılıyor?</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Çalışanlar VPN kullanımını sadece teknik bir zorunluluk olarak görmekte, risk boyutunu tam kavramamış olabilir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Uzaktan erişim yöntemlerini standartlaştıran yazılı bir politika veya prosedür bulunmamaktadır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Sertifika veya MFA destekli güvenli VPN (SSL/IPSec) tünelleme teknolojileri kullanılmaktadır</w:t>
            </w:r>
          </w:p>
        </w:tc>
      </w:tr>
      <w:tr>
        <w:trPr>
          <w:cantSplit/>
        </w:trPr>
        <w:tc>
          <w:tcPr>
            <w:tcW w:w="450" w:type="dxa"/>
            <w:vMerge w:val="restart"/>
            <w:vAlign w:val="top"/>
          </w:tcPr>
          <w:p>
            <w:pPr>
              <w:spacing w:before="20" w:after="20"/>
              <w:jc w:val="center"/>
            </w:pPr>
            <w:r>
              <w:rPr>
                <w:sz w:val="16"/>
                <w:szCs w:val="16"/>
              </w:rPr>
              <w:t xml:space="preserve">17</w:t>
            </w:r>
          </w:p>
        </w:tc>
        <w:tc>
          <w:tcPr>
            <w:tcW w:w="3100" w:type="dxa"/>
            <w:vMerge w:val="restart"/>
            <w:vAlign w:val="top"/>
          </w:tcPr>
          <w:p>
            <w:pPr>
              <w:spacing w:before="20" w:after="20"/>
              <w:jc w:val="left"/>
            </w:pPr>
            <w:r>
              <w:rPr>
                <w:b/>
                <w:bCs/>
                <w:sz w:val="16"/>
                <w:szCs w:val="16"/>
              </w:rPr>
              <w:t xml:space="preserve">Tehdit ve Zafiyet Yönetimi</w:t>
            </w:r>
          </w:p>
          <w:p>
            <w:pPr>
              <w:spacing w:before="20" w:after="20"/>
              <w:jc w:val="left"/>
            </w:pPr>
            <w:r>
              <w:rPr>
                <w:sz w:val="16"/>
                <w:szCs w:val="16"/>
              </w:rPr>
              <w:t xml:space="preserve">Tüm bilgisayar ve sunucularda güncel, merkezi yönetilen bir Antivirüs veya EDR (Gelişmiş Tehdit Algılama) yazılımı yüklü mü?</w:t>
            </w:r>
          </w:p>
          <w:p>
            <w:pPr>
              <w:spacing w:before="20" w:after="20"/>
              <w:jc w:val="left"/>
            </w:pPr>
            <w:r>
              <w:rPr>
                <w:i/>
                <w:iCs/>
                <w:sz w:val="16"/>
                <w:szCs w:val="16"/>
              </w:rPr>
              <w:t xml:space="preserve">Etki: Çok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Personel güvenlik yazılımının önemini bilmekte ve şüpheli durumlarda teknik ekibi bilgilendirmektedir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Kurulumlar manuel yapılmakta, yazılımların güncellik takibi sistematik bir sürece bağlı değildir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Gelişmiş tehditleri algılayabilen EDR (Endpoint Detection &amp; Response) teknolojisi kullanılmaktadır</w:t>
            </w:r>
          </w:p>
        </w:tc>
      </w:tr>
      <w:tr>
        <w:trPr>
          <w:cantSplit/>
        </w:trPr>
        <w:tc>
          <w:tcPr>
            <w:tcW w:w="450" w:type="dxa"/>
            <w:vMerge w:val="restart"/>
            <w:vAlign w:val="top"/>
          </w:tcPr>
          <w:p>
            <w:pPr>
              <w:spacing w:before="20" w:after="20"/>
              <w:jc w:val="center"/>
            </w:pPr>
            <w:r>
              <w:rPr>
                <w:sz w:val="16"/>
                <w:szCs w:val="16"/>
              </w:rPr>
              <w:t xml:space="preserve">18</w:t>
            </w:r>
          </w:p>
        </w:tc>
        <w:tc>
          <w:tcPr>
            <w:tcW w:w="3100" w:type="dxa"/>
            <w:vMerge w:val="restart"/>
            <w:vAlign w:val="top"/>
          </w:tcPr>
          <w:p>
            <w:pPr>
              <w:spacing w:before="20" w:after="20"/>
              <w:jc w:val="left"/>
            </w:pPr>
            <w:r>
              <w:rPr>
                <w:b/>
                <w:bCs/>
                <w:sz w:val="16"/>
                <w:szCs w:val="16"/>
              </w:rPr>
              <w:t xml:space="preserve">Tehdit ve Zafiyet Yönetimi</w:t>
            </w:r>
          </w:p>
          <w:p>
            <w:pPr>
              <w:spacing w:before="20" w:after="20"/>
              <w:jc w:val="left"/>
            </w:pPr>
            <w:r>
              <w:rPr>
                <w:sz w:val="16"/>
                <w:szCs w:val="16"/>
              </w:rPr>
              <w:t xml:space="preserve">İşletim sistemlerinin ve kritik yazılımların güvenlik güncellemeleri (yamaları) merkezi ve otomatik olarak yapılıyor mu?</w:t>
            </w:r>
          </w:p>
          <w:p>
            <w:pPr>
              <w:spacing w:before="20" w:after="20"/>
              <w:jc w:val="left"/>
            </w:pPr>
            <w:r>
              <w:rPr>
                <w:i/>
                <w:iCs/>
                <w:sz w:val="16"/>
                <w:szCs w:val="16"/>
              </w:rPr>
              <w:t xml:space="preserve">Etki: Çok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Kullanıcılar, iş kesintisi endişesiyle güncellemeleri erteleme eğilimindedir; güncelleme kültürü zayıftır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Yama yönetimi için belirlenmiş bir takvim, test süreci veya önceliklendirme politikası bulunmamaktadır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İşletim sistemi güncellemeleri açık olmakla birlikte, üçüncü parti yazılımlar (Adobe, Java vb.) merkezi yönetilmemektedir</w:t>
            </w:r>
          </w:p>
        </w:tc>
      </w:tr>
      <w:tr>
        <w:trPr>
          <w:cantSplit/>
        </w:trPr>
        <w:tc>
          <w:tcPr>
            <w:tcW w:w="450" w:type="dxa"/>
            <w:vMerge w:val="restart"/>
            <w:vAlign w:val="top"/>
          </w:tcPr>
          <w:p>
            <w:pPr>
              <w:spacing w:before="20" w:after="20"/>
              <w:jc w:val="center"/>
            </w:pPr>
            <w:r>
              <w:rPr>
                <w:sz w:val="16"/>
                <w:szCs w:val="16"/>
              </w:rPr>
              <w:t xml:space="preserve">19</w:t>
            </w:r>
          </w:p>
        </w:tc>
        <w:tc>
          <w:tcPr>
            <w:tcW w:w="3100" w:type="dxa"/>
            <w:vMerge w:val="restart"/>
            <w:vAlign w:val="top"/>
          </w:tcPr>
          <w:p>
            <w:pPr>
              <w:spacing w:before="20" w:after="20"/>
              <w:jc w:val="left"/>
            </w:pPr>
            <w:r>
              <w:rPr>
                <w:b/>
                <w:bCs/>
                <w:sz w:val="16"/>
                <w:szCs w:val="16"/>
              </w:rPr>
              <w:t xml:space="preserve">Veri ve Kriptografi Güvenliği</w:t>
            </w:r>
          </w:p>
          <w:p>
            <w:pPr>
              <w:spacing w:before="20" w:after="20"/>
              <w:jc w:val="left"/>
            </w:pPr>
            <w:r>
              <w:rPr>
                <w:sz w:val="16"/>
                <w:szCs w:val="16"/>
              </w:rPr>
              <w:t xml:space="preserve">İzinsiz USB bellek kullanımı engelleniyor ve mobil cihazlar (laptop) çalınmaya karşı disk şifreleme ile korunuyor mu?</w:t>
            </w:r>
          </w:p>
          <w:p>
            <w:pPr>
              <w:spacing w:before="20" w:after="20"/>
              <w:jc w:val="left"/>
            </w:pPr>
            <w:r>
              <w:rPr>
                <w:i/>
                <w:iCs/>
                <w:sz w:val="16"/>
                <w:szCs w:val="16"/>
              </w:rPr>
              <w:t xml:space="preserve">Etki: Orta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Personel sadece kurumsal onaylı veri taşıma araçlarını kullanmakta ve cihaz güvenliğine özen göstermektedir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Uygulamada bazı kısıtlamalar olsa da, süreçler resmi denetim mekanizmalarından yoksundur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Sadece kurumsal şifreli USB bellekler çalışmakta; şifreleme anahtarları merkezde yedeklenmektedir</w:t>
            </w:r>
          </w:p>
        </w:tc>
      </w:tr>
      <w:tr>
        <w:trPr>
          <w:cantSplit/>
        </w:trPr>
        <w:tc>
          <w:tcPr>
            <w:tcW w:w="450" w:type="dxa"/>
            <w:vMerge w:val="restart"/>
            <w:vAlign w:val="top"/>
          </w:tcPr>
          <w:p>
            <w:pPr>
              <w:spacing w:before="20" w:after="20"/>
              <w:jc w:val="center"/>
            </w:pPr>
            <w:r>
              <w:rPr>
                <w:sz w:val="16"/>
                <w:szCs w:val="16"/>
              </w:rPr>
              <w:t xml:space="preserve">20</w:t>
            </w:r>
          </w:p>
        </w:tc>
        <w:tc>
          <w:tcPr>
            <w:tcW w:w="3100" w:type="dxa"/>
            <w:vMerge w:val="restart"/>
            <w:vAlign w:val="top"/>
          </w:tcPr>
          <w:p>
            <w:pPr>
              <w:spacing w:before="20" w:after="20"/>
              <w:jc w:val="left"/>
            </w:pPr>
            <w:r>
              <w:rPr>
                <w:b/>
                <w:bCs/>
                <w:sz w:val="16"/>
                <w:szCs w:val="16"/>
              </w:rPr>
              <w:t xml:space="preserve">Ağ ve İletişim Güvenliği</w:t>
            </w:r>
          </w:p>
          <w:p>
            <w:pPr>
              <w:spacing w:before="20" w:after="20"/>
              <w:jc w:val="left"/>
            </w:pPr>
            <w:r>
              <w:rPr>
                <w:sz w:val="16"/>
                <w:szCs w:val="16"/>
              </w:rPr>
              <w:t xml:space="preserve">Oltalama (Phishing) ve zararlı e-postaları engelleyen profesyonel bir E-Posta Güvenlik Ağ Geçidi (Gateway) var mı?</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Spam veya karantina kutusuna düşen e-postalar, güvenlik onayı alınmadan kullanıcılar tarafından açılabilmektedir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E-posta güvenliğine yönelik filtreleme kurallarını veya yasaklı içerikleri belirleyen bir politika yoktur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Profesyonel E-Posta Güvenlik Ağ Geçidi (SEG) ile tüm ekler ve bağlantılar taranmaktadır</w:t>
            </w:r>
          </w:p>
        </w:tc>
      </w:tr>
      <w:tr>
        <w:trPr>
          <w:cantSplit/>
        </w:trPr>
        <w:tc>
          <w:tcPr>
            <w:tcW w:w="450" w:type="dxa"/>
            <w:vMerge w:val="restart"/>
            <w:vAlign w:val="top"/>
          </w:tcPr>
          <w:p>
            <w:pPr>
              <w:spacing w:before="20" w:after="20"/>
              <w:jc w:val="center"/>
            </w:pPr>
            <w:r>
              <w:rPr>
                <w:sz w:val="16"/>
                <w:szCs w:val="16"/>
              </w:rPr>
              <w:t xml:space="preserve">21</w:t>
            </w:r>
          </w:p>
        </w:tc>
        <w:tc>
          <w:tcPr>
            <w:tcW w:w="3100" w:type="dxa"/>
            <w:vMerge w:val="restart"/>
            <w:vAlign w:val="top"/>
          </w:tcPr>
          <w:p>
            <w:pPr>
              <w:spacing w:before="20" w:after="20"/>
              <w:jc w:val="left"/>
            </w:pPr>
            <w:r>
              <w:rPr>
                <w:b/>
                <w:bCs/>
                <w:sz w:val="16"/>
                <w:szCs w:val="16"/>
              </w:rPr>
              <w:t xml:space="preserve">Tehdit ve Zafiyet Yönetimi</w:t>
            </w:r>
          </w:p>
          <w:p>
            <w:pPr>
              <w:spacing w:before="20" w:after="20"/>
              <w:jc w:val="left"/>
            </w:pPr>
            <w:r>
              <w:rPr>
                <w:sz w:val="16"/>
                <w:szCs w:val="16"/>
              </w:rPr>
              <w:t xml:space="preserve">Yılda en az bir kez Sızma Testi (Pentest) yaptırıp, rapordaki kritik açıkları kapatarak doğruluyor musunuz?</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Teknik ekipler, dışarıdan yapılacak testlere ve olası bulgulara karşı operasyonel çekinceler yaşayabilmektedir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Sızma testlerinin kapsamı, sıklığı ve yöntemine dair yazılı bir plan henüz oluşturulmamıştır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Yetkili firmalar aracılığıyla kapsamlı sızma testleri ve içeride zafiyet tarama araçları kullanılmaktadır</w:t>
            </w:r>
          </w:p>
        </w:tc>
      </w:tr>
      <w:tr>
        <w:trPr>
          <w:cantSplit/>
        </w:trPr>
        <w:tc>
          <w:tcPr>
            <w:tcW w:w="450" w:type="dxa"/>
            <w:vMerge w:val="restart"/>
            <w:vAlign w:val="top"/>
          </w:tcPr>
          <w:p>
            <w:pPr>
              <w:spacing w:before="20" w:after="20"/>
              <w:jc w:val="center"/>
            </w:pPr>
            <w:r>
              <w:rPr>
                <w:sz w:val="16"/>
                <w:szCs w:val="16"/>
              </w:rPr>
              <w:t xml:space="preserve">22</w:t>
            </w:r>
          </w:p>
        </w:tc>
        <w:tc>
          <w:tcPr>
            <w:tcW w:w="3100" w:type="dxa"/>
            <w:vMerge w:val="restart"/>
            <w:vAlign w:val="top"/>
          </w:tcPr>
          <w:p>
            <w:pPr>
              <w:spacing w:before="20" w:after="20"/>
              <w:jc w:val="left"/>
            </w:pPr>
            <w:r>
              <w:rPr>
                <w:b/>
                <w:bCs/>
                <w:sz w:val="16"/>
                <w:szCs w:val="16"/>
              </w:rPr>
              <w:t xml:space="preserve">Veri ve Kriptografi Güvenliği</w:t>
            </w:r>
          </w:p>
          <w:p>
            <w:pPr>
              <w:spacing w:before="20" w:after="20"/>
              <w:jc w:val="left"/>
            </w:pPr>
            <w:r>
              <w:rPr>
                <w:sz w:val="16"/>
                <w:szCs w:val="16"/>
              </w:rPr>
              <w:t xml:space="preserve">Hassas verilerin (Müşteri, Finans) e-posta, USB veya bulut yoluyla dışarı çıkarılmasını izleyen/engelleyen bir sistem (DLP) var mı?</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Personel veri sınıflandırma kurallarına hakimdir ve veri paylaşımında kurumsal kanalları tercih etmektedir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Sözleşmelerde gizlilik maddeleri yer almakla birlikte, operasyonel uygulama kuralları netleşmemiştir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DLP çözümü; uç nokta, ağ ve e-posta katmanlarında bütünleşik olarak çalışmaktadır</w:t>
            </w:r>
          </w:p>
        </w:tc>
      </w:tr>
      <w:tr>
        <w:trPr>
          <w:cantSplit/>
        </w:trPr>
        <w:tc>
          <w:tcPr>
            <w:tcW w:w="450" w:type="dxa"/>
            <w:vMerge w:val="restart"/>
            <w:vAlign w:val="top"/>
          </w:tcPr>
          <w:p>
            <w:pPr>
              <w:spacing w:before="20" w:after="20"/>
              <w:jc w:val="center"/>
            </w:pPr>
            <w:r>
              <w:rPr>
                <w:sz w:val="16"/>
                <w:szCs w:val="16"/>
              </w:rPr>
              <w:t xml:space="preserve">23</w:t>
            </w:r>
          </w:p>
        </w:tc>
        <w:tc>
          <w:tcPr>
            <w:tcW w:w="3100" w:type="dxa"/>
            <w:vMerge w:val="restart"/>
            <w:vAlign w:val="top"/>
          </w:tcPr>
          <w:p>
            <w:pPr>
              <w:spacing w:before="20" w:after="20"/>
              <w:jc w:val="left"/>
            </w:pPr>
            <w:r>
              <w:rPr>
                <w:b/>
                <w:bCs/>
                <w:sz w:val="16"/>
                <w:szCs w:val="16"/>
              </w:rPr>
              <w:t xml:space="preserve">Veri ve Kriptografi Güvenliği</w:t>
            </w:r>
          </w:p>
          <w:p>
            <w:pPr>
              <w:spacing w:before="20" w:after="20"/>
              <w:jc w:val="left"/>
            </w:pPr>
            <w:r>
              <w:rPr>
                <w:sz w:val="16"/>
                <w:szCs w:val="16"/>
              </w:rPr>
              <w:t xml:space="preserve">Yasal saklama süresi dolan verilerin güvenli ve geri döndürülemez şekilde silinmesi için bir süreciniz var mı?</w:t>
            </w:r>
          </w:p>
          <w:p>
            <w:pPr>
              <w:spacing w:before="20" w:after="20"/>
              <w:jc w:val="left"/>
            </w:pPr>
            <w:r>
              <w:rPr>
                <w:i/>
                <w:iCs/>
                <w:sz w:val="16"/>
                <w:szCs w:val="16"/>
              </w:rPr>
              <w:t xml:space="preserve">Etki: Düşük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Çalışanlar, standart silme (Delete/Çöp Kutusu) işleminin veriyi tamamen yok ettiğini düşünmektedir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Veri saklama sürelerini ve imha yöntemlerini belirleyen yazılı bir politika henüz oluşturulmamıştır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Dijital veriler için güvenli silme (File Shredder) yazılımları, diskler için fiziksel imha yöntemleri kullanılmaktadır</w:t>
            </w:r>
          </w:p>
        </w:tc>
      </w:tr>
      <w:tr>
        <w:trPr>
          <w:cantSplit/>
        </w:trPr>
        <w:tc>
          <w:tcPr>
            <w:tcW w:w="450" w:type="dxa"/>
            <w:vMerge w:val="restart"/>
            <w:vAlign w:val="top"/>
          </w:tcPr>
          <w:p>
            <w:pPr>
              <w:spacing w:before="20" w:after="20"/>
              <w:jc w:val="center"/>
            </w:pPr>
            <w:r>
              <w:rPr>
                <w:sz w:val="16"/>
                <w:szCs w:val="16"/>
              </w:rPr>
              <w:t xml:space="preserve">24</w:t>
            </w:r>
          </w:p>
        </w:tc>
        <w:tc>
          <w:tcPr>
            <w:tcW w:w="3100" w:type="dxa"/>
            <w:vMerge w:val="restart"/>
            <w:vAlign w:val="top"/>
          </w:tcPr>
          <w:p>
            <w:pPr>
              <w:spacing w:before="20" w:after="20"/>
              <w:jc w:val="left"/>
            </w:pPr>
            <w:r>
              <w:rPr>
                <w:b/>
                <w:bCs/>
                <w:sz w:val="16"/>
                <w:szCs w:val="16"/>
              </w:rPr>
              <w:t xml:space="preserve">Olay Müdahale, İzleme ve Süreklilik</w:t>
            </w:r>
          </w:p>
          <w:p>
            <w:pPr>
              <w:spacing w:before="20" w:after="20"/>
              <w:jc w:val="left"/>
            </w:pPr>
            <w:r>
              <w:rPr>
                <w:sz w:val="16"/>
                <w:szCs w:val="16"/>
              </w:rPr>
              <w:t xml:space="preserve">Kritik veriler düzenli yedekleniyor ve bu yedeklerin çalıştığı "Geri Dönüş (Restore)" testleri ile doğrulanıyor mu?</w:t>
            </w:r>
          </w:p>
          <w:p>
            <w:pPr>
              <w:spacing w:before="20" w:after="20"/>
              <w:jc w:val="left"/>
            </w:pPr>
            <w:r>
              <w:rPr>
                <w:i/>
                <w:iCs/>
                <w:sz w:val="16"/>
                <w:szCs w:val="16"/>
              </w:rPr>
              <w:t xml:space="preserve">Etki: Çok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Yedekleme süreçleri kişisel inisiyatiflerle yürütülmekte, merkezi bir kontrol sağlanamamaktadır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Yedekleme yapılmakla birlikte, geri dönüş (restore) testleri planlı bir takvime bağlanmamıştır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Otomatik yedekleme sistemi bulunmamakta, veriler manuel kopyalama ile yedeklenmektedir</w:t>
            </w:r>
          </w:p>
        </w:tc>
      </w:tr>
      <w:tr>
        <w:trPr>
          <w:cantSplit/>
        </w:trPr>
        <w:tc>
          <w:tcPr>
            <w:tcW w:w="450" w:type="dxa"/>
            <w:vMerge w:val="restart"/>
            <w:vAlign w:val="top"/>
          </w:tcPr>
          <w:p>
            <w:pPr>
              <w:spacing w:before="20" w:after="20"/>
              <w:jc w:val="center"/>
            </w:pPr>
            <w:r>
              <w:rPr>
                <w:sz w:val="16"/>
                <w:szCs w:val="16"/>
              </w:rPr>
              <w:t xml:space="preserve">25</w:t>
            </w:r>
          </w:p>
        </w:tc>
        <w:tc>
          <w:tcPr>
            <w:tcW w:w="3100" w:type="dxa"/>
            <w:vMerge w:val="restart"/>
            <w:vAlign w:val="top"/>
          </w:tcPr>
          <w:p>
            <w:pPr>
              <w:spacing w:before="20" w:after="20"/>
              <w:jc w:val="left"/>
            </w:pPr>
            <w:r>
              <w:rPr>
                <w:b/>
                <w:bCs/>
                <w:sz w:val="16"/>
                <w:szCs w:val="16"/>
              </w:rPr>
              <w:t xml:space="preserve">Olay Müdahale, İzleme ve Süreklilik</w:t>
            </w:r>
          </w:p>
          <w:p>
            <w:pPr>
              <w:spacing w:before="20" w:after="20"/>
              <w:jc w:val="left"/>
            </w:pPr>
            <w:r>
              <w:rPr>
                <w:sz w:val="16"/>
                <w:szCs w:val="16"/>
              </w:rPr>
              <w:t xml:space="preserve">Fidye yazılımlarına (Ransomware) karşı, yedeklerin bir kopyası ağdan izole (Offline/Teyp/Lock) tutuluyor mu?</w:t>
            </w:r>
          </w:p>
          <w:p>
            <w:pPr>
              <w:spacing w:before="20" w:after="20"/>
              <w:jc w:val="left"/>
            </w:pPr>
            <w:r>
              <w:rPr>
                <w:i/>
                <w:iCs/>
                <w:sz w:val="16"/>
                <w:szCs w:val="16"/>
              </w:rPr>
              <w:t xml:space="preserve">Etki: Çok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Yönetim, offline yedekleme maliyetlerini (Teyp/Bulut) gerekli bir güvenlik yatırımı olarak desteklemektedir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5</w:t>
            </w:r>
          </w:p>
        </w:tc>
        <w:tc>
          <w:tcPr>
            <w:tcW w:w="3372" w:type="dxa"/>
            <w:vAlign w:val="center"/>
          </w:tcPr>
          <w:p>
            <w:pPr>
              <w:spacing w:before="20" w:after="20"/>
              <w:jc w:val="left"/>
            </w:pPr>
            <w:r>
              <w:rPr>
                <w:sz w:val="16"/>
                <w:szCs w:val="16"/>
              </w:rPr>
              <w:t xml:space="preserve">Fidye saldırısı senaryosu baz alınarak, izole yedekten sistem kurtarma tatbikatları yapılmaktadır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"Immutable" (Değiştirilemez) depolama veya Object Lock teknolojisi ile verinin silinmesi teknik olarak engellenmektedir</w:t>
            </w:r>
          </w:p>
        </w:tc>
      </w:tr>
      <w:tr>
        <w:trPr>
          <w:cantSplit/>
        </w:trPr>
        <w:tc>
          <w:tcPr>
            <w:tcW w:w="450" w:type="dxa"/>
            <w:vMerge w:val="restart"/>
            <w:vAlign w:val="top"/>
          </w:tcPr>
          <w:p>
            <w:pPr>
              <w:spacing w:before="20" w:after="20"/>
              <w:jc w:val="center"/>
            </w:pPr>
            <w:r>
              <w:rPr>
                <w:sz w:val="16"/>
                <w:szCs w:val="16"/>
              </w:rPr>
              <w:t xml:space="preserve">26</w:t>
            </w:r>
          </w:p>
        </w:tc>
        <w:tc>
          <w:tcPr>
            <w:tcW w:w="3100" w:type="dxa"/>
            <w:vMerge w:val="restart"/>
            <w:vAlign w:val="top"/>
          </w:tcPr>
          <w:p>
            <w:pPr>
              <w:spacing w:before="20" w:after="20"/>
              <w:jc w:val="left"/>
            </w:pPr>
            <w:r>
              <w:rPr>
                <w:b/>
                <w:bCs/>
                <w:sz w:val="16"/>
                <w:szCs w:val="16"/>
              </w:rPr>
              <w:t xml:space="preserve">Olay Müdahale, İzleme ve Süreklilik</w:t>
            </w:r>
          </w:p>
          <w:p>
            <w:pPr>
              <w:spacing w:before="20" w:after="20"/>
              <w:jc w:val="left"/>
            </w:pPr>
            <w:r>
              <w:rPr>
                <w:sz w:val="16"/>
                <w:szCs w:val="16"/>
              </w:rPr>
              <w:t xml:space="preserve">Siber saldırı veya felaket anında işin durmaması için yazılı ve test edilmiş bir İş Sürekliliği Planınız var mı?</w:t>
            </w:r>
          </w:p>
          <w:p>
            <w:pPr>
              <w:spacing w:before="20" w:after="20"/>
              <w:jc w:val="left"/>
            </w:pPr>
            <w:r>
              <w:rPr>
                <w:i/>
                <w:iCs/>
                <w:sz w:val="16"/>
                <w:szCs w:val="16"/>
              </w:rPr>
              <w:t xml:space="preserve">Etki: Çok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Kriz anında süreçler, kurumsal hafızaya sahip belirli kilit kişilerin inisiyatifine kalmaktadır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İş sürekliliği veya felaket kurtarma senaryolarına yönelik yazılı bir plan (BCP/DRP) bulunmamaktadır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Kritik sistemlerin kopyasının çalıştığı aktif veya pasif bir Felaket Kurtarma Merkezi (FKM) bulunmaktadır</w:t>
            </w:r>
          </w:p>
        </w:tc>
      </w:tr>
      <w:tr>
        <w:trPr>
          <w:cantSplit/>
        </w:trPr>
        <w:tc>
          <w:tcPr>
            <w:tcW w:w="450" w:type="dxa"/>
            <w:vMerge w:val="restart"/>
            <w:vAlign w:val="top"/>
          </w:tcPr>
          <w:p>
            <w:pPr>
              <w:spacing w:before="20" w:after="20"/>
              <w:jc w:val="center"/>
            </w:pPr>
            <w:r>
              <w:rPr>
                <w:sz w:val="16"/>
                <w:szCs w:val="16"/>
              </w:rPr>
              <w:t xml:space="preserve">27</w:t>
            </w:r>
          </w:p>
        </w:tc>
        <w:tc>
          <w:tcPr>
            <w:tcW w:w="3100" w:type="dxa"/>
            <w:vMerge w:val="restart"/>
            <w:vAlign w:val="top"/>
          </w:tcPr>
          <w:p>
            <w:pPr>
              <w:spacing w:before="20" w:after="20"/>
              <w:jc w:val="left"/>
            </w:pPr>
            <w:r>
              <w:rPr>
                <w:b/>
                <w:bCs/>
                <w:sz w:val="16"/>
                <w:szCs w:val="16"/>
              </w:rPr>
              <w:t xml:space="preserve">Olay Müdahale, İzleme ve Süreklilik</w:t>
            </w:r>
          </w:p>
          <w:p>
            <w:pPr>
              <w:spacing w:before="20" w:after="20"/>
              <w:jc w:val="left"/>
            </w:pPr>
            <w:r>
              <w:rPr>
                <w:sz w:val="16"/>
                <w:szCs w:val="16"/>
              </w:rPr>
              <w:t xml:space="preserve">Log kayıtları 5651 ve 7545 sayılı kanunlara uygun şekilde, imzalı ve merkezi bir sistemde (SIEM) saklanıyor mu?</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Teknik ekip logları genellikle arıza tespiti (troubleshooting) amaçlı kullanmakta, güvenlik analizi ikinci planda kalmaktadır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1</w:t>
            </w:r>
          </w:p>
        </w:tc>
        <w:tc>
          <w:tcPr>
            <w:tcW w:w="3372" w:type="dxa"/>
            <w:vAlign w:val="center"/>
          </w:tcPr>
          <w:p>
            <w:pPr>
              <w:spacing w:before="20" w:after="20"/>
              <w:jc w:val="left"/>
            </w:pPr>
            <w:r>
              <w:rPr>
                <w:sz w:val="16"/>
                <w:szCs w:val="16"/>
              </w:rPr>
              <w:t xml:space="preserve">Log saklama sürelerini, kapsamını ve imha yöntemlerini belirleyen yazılı bir politika bulunmamaktadır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2</w:t>
            </w:r>
          </w:p>
        </w:tc>
        <w:tc>
          <w:tcPr>
            <w:tcW w:w="3372" w:type="dxa"/>
            <w:vAlign w:val="center"/>
          </w:tcPr>
          <w:p>
            <w:pPr>
              <w:spacing w:before="20" w:after="20"/>
              <w:jc w:val="left"/>
            </w:pPr>
            <w:r>
              <w:rPr>
                <w:sz w:val="16"/>
                <w:szCs w:val="16"/>
              </w:rPr>
              <w:t xml:space="preserve">Sadece internet çıkış logları tutulmakta, sunucu ve kullanıcı hareketleri merkezi izlenmemektedir</w:t>
            </w:r>
          </w:p>
        </w:tc>
      </w:tr>
      <w:tr>
        <w:trPr>
          <w:cantSplit/>
        </w:trPr>
        <w:tc>
          <w:tcPr>
            <w:tcW w:w="450" w:type="dxa"/>
            <w:vMerge w:val="restart"/>
            <w:vAlign w:val="top"/>
          </w:tcPr>
          <w:p>
            <w:pPr>
              <w:spacing w:before="20" w:after="20"/>
              <w:jc w:val="center"/>
            </w:pPr>
            <w:r>
              <w:rPr>
                <w:sz w:val="16"/>
                <w:szCs w:val="16"/>
              </w:rPr>
              <w:t xml:space="preserve">28</w:t>
            </w:r>
          </w:p>
        </w:tc>
        <w:tc>
          <w:tcPr>
            <w:tcW w:w="3100" w:type="dxa"/>
            <w:vMerge w:val="restart"/>
            <w:vAlign w:val="top"/>
          </w:tcPr>
          <w:p>
            <w:pPr>
              <w:spacing w:before="20" w:after="20"/>
              <w:jc w:val="left"/>
            </w:pPr>
            <w:r>
              <w:rPr>
                <w:b/>
                <w:bCs/>
                <w:sz w:val="16"/>
                <w:szCs w:val="16"/>
              </w:rPr>
              <w:t xml:space="preserve">Olay Müdahale, İzleme ve Süreklilik</w:t>
            </w:r>
          </w:p>
          <w:p>
            <w:pPr>
              <w:spacing w:before="20" w:after="20"/>
              <w:jc w:val="left"/>
            </w:pPr>
            <w:r>
              <w:rPr>
                <w:sz w:val="16"/>
                <w:szCs w:val="16"/>
              </w:rPr>
              <w:t xml:space="preserve">Sistemlerinizdeki saldırı ve anomalileri 7/24 izleyen ve müdahale eden bir SOC (Güvenlik Operasyon Merkezi) hizmetiniz var mı?</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5</w:t>
            </w:r>
          </w:p>
        </w:tc>
        <w:tc>
          <w:tcPr>
            <w:tcW w:w="3372" w:type="dxa"/>
            <w:vAlign w:val="center"/>
          </w:tcPr>
          <w:p>
            <w:pPr>
              <w:spacing w:before="20" w:after="20"/>
              <w:jc w:val="left"/>
            </w:pPr>
            <w:r>
              <w:rPr>
                <w:sz w:val="16"/>
                <w:szCs w:val="16"/>
              </w:rPr>
              <w:t xml:space="preserve">Proaktif "Tehdit Avcılığı" (Threat Hunting) yapan uzmanlar, alarm çalmasa bile sistemde iz sürmektedir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SOC performansı aylık metriklerle (Tespit Süresi, Müdahale Süresi) raporlanmakta ve iyileştirilmektedir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4</w:t>
            </w:r>
          </w:p>
        </w:tc>
        <w:tc>
          <w:tcPr>
            <w:tcW w:w="3372" w:type="dxa"/>
            <w:vAlign w:val="center"/>
          </w:tcPr>
          <w:p>
            <w:pPr>
              <w:spacing w:before="20" w:after="20"/>
              <w:jc w:val="left"/>
            </w:pPr>
            <w:r>
              <w:rPr>
                <w:sz w:val="16"/>
                <w:szCs w:val="16"/>
              </w:rPr>
              <w:t xml:space="preserve">Tehdit istihbarat servisleri SOC ekranlarına entegre edilmiş; saldırgan IP'leri otomatik tanınmaktadır</w:t>
            </w:r>
          </w:p>
        </w:tc>
      </w:tr>
      <w:tr>
        <w:trPr>
          <w:cantSplit/>
        </w:trPr>
        <w:tc>
          <w:tcPr>
            <w:tcW w:w="450" w:type="dxa"/>
            <w:vMerge w:val="restart"/>
            <w:vAlign w:val="top"/>
          </w:tcPr>
          <w:p>
            <w:pPr>
              <w:spacing w:before="20" w:after="20"/>
              <w:jc w:val="center"/>
            </w:pPr>
            <w:r>
              <w:rPr>
                <w:sz w:val="16"/>
                <w:szCs w:val="16"/>
              </w:rPr>
              <w:t xml:space="preserve">29</w:t>
            </w:r>
          </w:p>
        </w:tc>
        <w:tc>
          <w:tcPr>
            <w:tcW w:w="3100" w:type="dxa"/>
            <w:vMerge w:val="restart"/>
            <w:vAlign w:val="top"/>
          </w:tcPr>
          <w:p>
            <w:pPr>
              <w:spacing w:before="20" w:after="20"/>
              <w:jc w:val="left"/>
            </w:pPr>
            <w:r>
              <w:rPr>
                <w:b/>
                <w:bCs/>
                <w:sz w:val="16"/>
                <w:szCs w:val="16"/>
              </w:rPr>
              <w:t xml:space="preserve">Tedarikçi ve Üçüncü Taraf Güvenliği</w:t>
            </w:r>
          </w:p>
          <w:p>
            <w:pPr>
              <w:spacing w:before="20" w:after="20"/>
              <w:jc w:val="left"/>
            </w:pPr>
            <w:r>
              <w:rPr>
                <w:sz w:val="16"/>
                <w:szCs w:val="16"/>
              </w:rPr>
              <w:t xml:space="preserve">Hizmet aldığınız firmalarla yapılan sözleşmeler "Veri Gizliliği" ve "Siber Güvenlik" sorumluluklarını içeriyor mu?</w:t>
            </w:r>
          </w:p>
          <w:p>
            <w:pPr>
              <w:spacing w:before="20" w:after="20"/>
              <w:jc w:val="left"/>
            </w:pPr>
            <w:r>
              <w:rPr>
                <w:i/>
                <w:iCs/>
                <w:sz w:val="16"/>
                <w:szCs w:val="16"/>
              </w:rPr>
              <w:t xml:space="preserve">Etki: Orta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sz w:val="16"/>
                <w:szCs w:val="16"/>
              </w:rPr>
              <w:t xml:space="preserve">Kapsam Dışı</w:t>
            </w:r>
          </w:p>
        </w:tc>
        <w:tc>
          <w:tcPr>
            <w:tcW w:w="3372" w:type="dxa"/>
            <w:vAlign w:val="center"/>
          </w:tcPr>
          <w:p>
            <w:pPr>
              <w:spacing w:before="20" w:after="20"/>
              <w:jc w:val="left"/>
            </w:pPr>
            <w:r>
              <w:rPr>
                <w:sz w:val="16"/>
                <w:szCs w:val="16"/>
              </w:rPr>
              <w:t xml:space="preserve">—</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sz w:val="16"/>
                <w:szCs w:val="16"/>
              </w:rPr>
              <w:t xml:space="preserve">Kapsam Dışı</w:t>
            </w:r>
          </w:p>
        </w:tc>
        <w:tc>
          <w:tcPr>
            <w:tcW w:w="3372" w:type="dxa"/>
            <w:vAlign w:val="center"/>
          </w:tcPr>
          <w:p>
            <w:pPr>
              <w:spacing w:before="20" w:after="20"/>
              <w:jc w:val="left"/>
            </w:pPr>
            <w:r>
              <w:rPr>
                <w:sz w:val="16"/>
                <w:szCs w:val="16"/>
              </w:rPr>
              <w:t xml:space="preserve">—</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sz w:val="16"/>
                <w:szCs w:val="16"/>
              </w:rPr>
              <w:t xml:space="preserve">Uygulanamaz</w:t>
            </w:r>
          </w:p>
        </w:tc>
        <w:tc>
          <w:tcPr>
            <w:tcW w:w="3372" w:type="dxa"/>
            <w:vAlign w:val="center"/>
          </w:tcPr>
          <w:p>
            <w:pPr>
              <w:spacing w:before="20" w:after="20"/>
              <w:jc w:val="left"/>
            </w:pPr>
            <w:r>
              <w:rPr>
                <w:sz w:val="16"/>
                <w:szCs w:val="16"/>
              </w:rPr>
              <w:t xml:space="preserve">—</w:t>
            </w:r>
          </w:p>
        </w:tc>
      </w:tr>
      <w:tr>
        <w:trPr>
          <w:cantSplit/>
        </w:trPr>
        <w:tc>
          <w:tcPr>
            <w:tcW w:w="450" w:type="dxa"/>
            <w:vMerge w:val="restart"/>
            <w:vAlign w:val="top"/>
          </w:tcPr>
          <w:p>
            <w:pPr>
              <w:spacing w:before="20" w:after="20"/>
              <w:jc w:val="center"/>
            </w:pPr>
            <w:r>
              <w:rPr>
                <w:sz w:val="16"/>
                <w:szCs w:val="16"/>
              </w:rPr>
              <w:t xml:space="preserve">30</w:t>
            </w:r>
          </w:p>
        </w:tc>
        <w:tc>
          <w:tcPr>
            <w:tcW w:w="3100" w:type="dxa"/>
            <w:vMerge w:val="restart"/>
            <w:vAlign w:val="top"/>
          </w:tcPr>
          <w:p>
            <w:pPr>
              <w:spacing w:before="20" w:after="20"/>
              <w:jc w:val="left"/>
            </w:pPr>
            <w:r>
              <w:rPr>
                <w:b/>
                <w:bCs/>
                <w:sz w:val="16"/>
                <w:szCs w:val="16"/>
              </w:rPr>
              <w:t xml:space="preserve">Tedarikçi ve Üçüncü Taraf Güvenliği</w:t>
            </w:r>
          </w:p>
          <w:p>
            <w:pPr>
              <w:spacing w:before="20" w:after="20"/>
              <w:jc w:val="left"/>
            </w:pPr>
            <w:r>
              <w:rPr>
                <w:sz w:val="16"/>
                <w:szCs w:val="16"/>
              </w:rPr>
              <w:t xml:space="preserve">Tedarikçilerin sistemlerinize erişimi sürekli açık mı, yoksa sadece gerektiğinde kontrollü ve izlenerek mi açılıyor?</w:t>
            </w:r>
          </w:p>
          <w:p>
            <w:pPr>
              <w:spacing w:before="20" w:after="20"/>
              <w:jc w:val="left"/>
            </w:pPr>
            <w:r>
              <w:rPr>
                <w:i/>
                <w:iCs/>
                <w:sz w:val="16"/>
                <w:szCs w:val="16"/>
              </w:rPr>
              <w:t xml:space="preserve">Etki: Yüksek Etki</w:t>
            </w:r>
          </w:p>
        </w:tc>
        <w:tc>
          <w:tcPr>
            <w:tcW w:w="1050" w:type="dxa"/>
            <w:vAlign w:val="center"/>
          </w:tcPr>
          <w:p>
            <w:pPr>
              <w:spacing w:before="20" w:after="20"/>
              <w:jc w:val="left"/>
            </w:pPr>
            <w:r>
              <w:rPr>
                <w:sz w:val="16"/>
                <w:szCs w:val="16"/>
              </w:rPr>
              <w:t xml:space="preserve">İnsan</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Sistem yöneticileri, tedarikçi erişimlerini "iş bitince kapatma" disiplinine sahiptir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Süreç</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Yazılı bir "3. Taraf Erişim Prosedürü" mevcut olup; her bağlantı öncesi iş emri ve onay aranmaktadır</w:t>
            </w:r>
          </w:p>
        </w:tc>
      </w:tr>
      <w:tr>
        <w:trPr>
          <w:cantSplit/>
        </w:trPr>
        <w:tc>
          <w:tcPr>
            <w:tcW w:w="450" w:type="dxa"/>
            <w:vMerge/>
            <w:vAlign w:val="top"/>
          </w:tcPr>
          <w:p>
            <w:pPr>
              <w:spacing w:before="20" w:after="20"/>
              <w:jc w:val="center"/>
            </w:pPr>
            <w:r>
              <w:rPr>
                <w:sz w:val="16"/>
                <w:szCs w:val="16"/>
              </w:rPr>
              <w:t xml:space="preserve"/>
            </w:r>
          </w:p>
        </w:tc>
        <w:tc>
          <w:tcPr>
            <w:tcW w:w="3100" w:type="dxa"/>
            <w:vMerge/>
            <w:vAlign w:val="top"/>
          </w:tcPr>
          <w:p>
            <w:pPr>
              <w:spacing w:before="20" w:after="20"/>
              <w:jc w:val="left"/>
            </w:pPr>
            <w:r>
              <w:rPr>
                <w:sz w:val="16"/>
                <w:szCs w:val="16"/>
              </w:rPr>
              <w:t xml:space="preserve"/>
            </w:r>
          </w:p>
        </w:tc>
        <w:tc>
          <w:tcPr>
            <w:tcW w:w="1050" w:type="dxa"/>
            <w:vAlign w:val="center"/>
          </w:tcPr>
          <w:p>
            <w:pPr>
              <w:spacing w:before="20" w:after="20"/>
              <w:jc w:val="left"/>
            </w:pPr>
            <w:r>
              <w:rPr>
                <w:sz w:val="16"/>
                <w:szCs w:val="16"/>
              </w:rPr>
              <w:t xml:space="preserve">Teknoloji</w:t>
            </w:r>
          </w:p>
        </w:tc>
        <w:tc>
          <w:tcPr>
            <w:tcW w:w="1100" w:type="dxa"/>
            <w:vAlign w:val="center"/>
          </w:tcPr>
          <w:p>
            <w:pPr>
              <w:spacing w:before="20" w:after="20"/>
              <w:jc w:val="center"/>
            </w:pPr>
            <w:r>
              <w:rPr>
                <w:b/>
                <w:bCs/>
                <w:sz w:val="16"/>
                <w:szCs w:val="16"/>
              </w:rPr>
              <w:t xml:space="preserve">3</w:t>
            </w:r>
          </w:p>
        </w:tc>
        <w:tc>
          <w:tcPr>
            <w:tcW w:w="3372" w:type="dxa"/>
            <w:vAlign w:val="center"/>
          </w:tcPr>
          <w:p>
            <w:pPr>
              <w:spacing w:before="20" w:after="20"/>
              <w:jc w:val="left"/>
            </w:pPr>
            <w:r>
              <w:rPr>
                <w:sz w:val="16"/>
                <w:szCs w:val="16"/>
              </w:rPr>
              <w:t xml:space="preserve">Erişimler Firewall ve VPN üzerinden IP kısıtlamalı ve zaman ayarlı olarak verilmektedir</w:t>
            </w:r>
          </w:p>
        </w:tc>
      </w:tr>
    </w:tbl>
    <w:p>
      <w:pPr>
        <w:spacing w:before="0" w:after="60"/>
      </w:pPr>
      <w:r>
        <w:rPr>
          <w:sz w:val="8"/>
          <w:szCs w:val="8"/>
        </w:rPr>
        <w:t xml:space="preserve"/>
      </w:r>
    </w:p>
    <w:p>
      <w:pPr>
        <w:pStyle w:val="Heading1"/>
        <w:pageBreakBefore/>
        <w:numPr>
          <w:ilvl w:val="0"/>
          <w:numId w:val="0"/>
        </w:numPr>
      </w:pPr>
      <w:r>
        <w:t xml:space="preserve">EK-2 Cevap Verilen / Verilmeyen Sorular</w:t>
      </w:r>
    </w:p>
    <w:p>
      <w:r>
        <w:t xml:space="preserve">Toplam 30 sorudan 29 tanesi tüm boyutlarıyla yanıtlanmıştır. Kısmen yanıtlanan ve yanıtlanmayan sorularda eksik boyutlar en düşük seviye (1) kabul edilir; tümüyle kapsam dışı işaretlenen sorular hesaplamaya katılmaz.</w:t>
      </w:r>
    </w:p>
    <w:p>
      <w:pPr>
        <w:keepNext/>
        <w:spacing w:before="120" w:after="0"/>
        <w:jc w:val="center"/>
      </w:pPr>
      <w:r>
        <w:drawing>
          <wp:inline xmlns:wp="http://schemas.openxmlformats.org/drawingml/2006/wordprocessingDrawing" distT="0" distB="0" distL="0" distR="0">
            <wp:extent cx="5040000" cy="1724211"/>
            <wp:effectExtent l="0" t="0" r="0" b="0"/>
            <wp:docPr id="10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qa_chart7.png"/>
                    <pic:cNvPicPr/>
                  </pic:nvPicPr>
                  <pic:blipFill>
                    <a:blip xmlns:r="http://schemas.openxmlformats.org/officeDocument/2006/relationships" r:embed="rIdQaImg7"/>
                    <a:stretch>
                      <a:fillRect/>
                    </a:stretch>
                  </pic:blipFill>
                  <pic:spPr>
                    <a:xfrm>
                      <a:off x="0" y="0"/>
                      <a:ext cx="5040000" cy="1724211"/>
                    </a:xfrm>
                    <a:prstGeom prst="rect">
                      <a:avLst/>
                    </a:prstGeom>
                  </pic:spPr>
                </pic:pic>
              </a:graphicData>
            </a:graphic>
          </wp:inline>
        </w:drawing>
      </w:r>
    </w:p>
    <w:p>
      <w:pPr>
        <w:pStyle w:val="Caption"/>
        <w:jc w:val="center"/>
      </w:pPr>
      <w:r>
        <w:t xml:space="preserve">Şekil 7 – Soruların yanıt durumu</w:t>
      </w:r>
    </w:p>
    <w:p>
      <w:pPr>
        <w:pStyle w:val="Caption"/>
        <w:keepNext/>
      </w:pPr>
      <w:r>
        <w:t xml:space="preserve">Tablo 14 – Yanıt durumu özeti</w:t>
      </w:r>
    </w:p>
    <w:tbl>
      <w:tblPr>
        <w:tblStyle w:val="TableGrid"/>
        <w:tblW w:w="9072" w:type="dxa"/>
        <w:tblLayout w:type="fixed"/>
        <w:tblCellMar>
          <w:left w:w="85" w:type="dxa"/>
          <w:right w:w="85" w:type="dxa"/>
        </w:tblCellMar>
        <w:tblLook w:val="04A0" w:firstRow="1" w:lastRow="0" w:firstColumn="1" w:lastColumn="0" w:noHBand="0" w:noVBand="1"/>
      </w:tblPr>
      <w:tblGrid>
        <w:gridCol w:w="3000"/>
        <w:gridCol w:w="1600"/>
        <w:gridCol w:w="4472"/>
      </w:tblGrid>
      <w:tr>
        <w:trPr>
          <w:cantSplit/>
          <w:tblHeader/>
        </w:trPr>
        <w:tc>
          <w:tcPr>
            <w:tcW w:w="3000" w:type="dxa"/>
            <w:shd w:val="clear" w:color="auto" w:fill="D9D9D9"/>
            <w:vAlign w:val="center"/>
          </w:tcPr>
          <w:p>
            <w:pPr>
              <w:spacing w:before="20" w:after="20"/>
              <w:jc w:val="left"/>
            </w:pPr>
            <w:r>
              <w:rPr>
                <w:b/>
                <w:bCs/>
                <w:sz w:val="20"/>
                <w:szCs w:val="20"/>
              </w:rPr>
              <w:t xml:space="preserve">Durum</w:t>
            </w:r>
          </w:p>
        </w:tc>
        <w:tc>
          <w:tcPr>
            <w:tcW w:w="1600" w:type="dxa"/>
            <w:shd w:val="clear" w:color="auto" w:fill="D9D9D9"/>
            <w:vAlign w:val="center"/>
          </w:tcPr>
          <w:p>
            <w:pPr>
              <w:spacing w:before="20" w:after="20"/>
              <w:jc w:val="left"/>
            </w:pPr>
            <w:r>
              <w:rPr>
                <w:b/>
                <w:bCs/>
                <w:sz w:val="20"/>
                <w:szCs w:val="20"/>
              </w:rPr>
              <w:t xml:space="preserve">Soru sayısı</w:t>
            </w:r>
          </w:p>
        </w:tc>
        <w:tc>
          <w:tcPr>
            <w:tcW w:w="4472" w:type="dxa"/>
            <w:shd w:val="clear" w:color="auto" w:fill="D9D9D9"/>
            <w:vAlign w:val="center"/>
          </w:tcPr>
          <w:p>
            <w:pPr>
              <w:spacing w:before="20" w:after="20"/>
              <w:jc w:val="left"/>
            </w:pPr>
            <w:r>
              <w:rPr>
                <w:b/>
                <w:bCs/>
                <w:sz w:val="20"/>
                <w:szCs w:val="20"/>
              </w:rPr>
              <w:t xml:space="preserve">Açıklama</w:t>
            </w:r>
          </w:p>
        </w:tc>
      </w:tr>
      <w:tr>
        <w:trPr>
          <w:cantSplit/>
        </w:trPr>
        <w:tc>
          <w:tcPr>
            <w:tcW w:w="3000" w:type="dxa"/>
            <w:vAlign w:val="center"/>
          </w:tcPr>
          <w:p>
            <w:pPr>
              <w:spacing w:before="20" w:after="20"/>
              <w:jc w:val="left"/>
            </w:pPr>
            <w:r>
              <w:rPr>
                <w:sz w:val="20"/>
                <w:szCs w:val="20"/>
              </w:rPr>
              <w:t xml:space="preserve">Tam Yanıtlandı</w:t>
            </w:r>
          </w:p>
        </w:tc>
        <w:tc>
          <w:tcPr>
            <w:tcW w:w="1600" w:type="dxa"/>
            <w:vAlign w:val="center"/>
          </w:tcPr>
          <w:p>
            <w:pPr>
              <w:spacing w:before="20" w:after="20"/>
              <w:jc w:val="center"/>
            </w:pPr>
            <w:r>
              <w:rPr>
                <w:sz w:val="20"/>
                <w:szCs w:val="20"/>
              </w:rPr>
              <w:t xml:space="preserve">29</w:t>
            </w:r>
          </w:p>
        </w:tc>
        <w:tc>
          <w:tcPr>
            <w:tcW w:w="4472" w:type="dxa"/>
            <w:vAlign w:val="center"/>
          </w:tcPr>
          <w:p>
            <w:pPr>
              <w:spacing w:before="20" w:after="20"/>
              <w:jc w:val="left"/>
            </w:pPr>
            <w:r>
              <w:rPr>
                <w:sz w:val="20"/>
                <w:szCs w:val="20"/>
              </w:rPr>
              <w:t xml:space="preserve">Geçerli tüm boyutlar için seviye seçilmiş.</w:t>
            </w:r>
          </w:p>
        </w:tc>
      </w:tr>
      <w:tr>
        <w:trPr>
          <w:cantSplit/>
        </w:trPr>
        <w:tc>
          <w:tcPr>
            <w:tcW w:w="3000" w:type="dxa"/>
            <w:vAlign w:val="center"/>
          </w:tcPr>
          <w:p>
            <w:pPr>
              <w:spacing w:before="20" w:after="20"/>
              <w:jc w:val="left"/>
            </w:pPr>
            <w:r>
              <w:rPr>
                <w:sz w:val="20"/>
                <w:szCs w:val="20"/>
              </w:rPr>
              <w:t xml:space="preserve">Kısmen Yanıtlandı</w:t>
            </w:r>
          </w:p>
        </w:tc>
        <w:tc>
          <w:tcPr>
            <w:tcW w:w="1600" w:type="dxa"/>
            <w:vAlign w:val="center"/>
          </w:tcPr>
          <w:p>
            <w:pPr>
              <w:spacing w:before="20" w:after="20"/>
              <w:jc w:val="center"/>
            </w:pPr>
            <w:r>
              <w:rPr>
                <w:sz w:val="20"/>
                <w:szCs w:val="20"/>
              </w:rPr>
              <w:t xml:space="preserve">0</w:t>
            </w:r>
          </w:p>
        </w:tc>
        <w:tc>
          <w:tcPr>
            <w:tcW w:w="4472" w:type="dxa"/>
            <w:vAlign w:val="center"/>
          </w:tcPr>
          <w:p>
            <w:pPr>
              <w:spacing w:before="20" w:after="20"/>
              <w:jc w:val="left"/>
            </w:pPr>
            <w:r>
              <w:rPr>
                <w:sz w:val="20"/>
                <w:szCs w:val="20"/>
              </w:rPr>
              <w:t xml:space="preserve">En az bir boyut yanıtsız; yanıtsız boyut 1 kabul edilir.</w:t>
            </w:r>
          </w:p>
        </w:tc>
      </w:tr>
      <w:tr>
        <w:trPr>
          <w:cantSplit/>
        </w:trPr>
        <w:tc>
          <w:tcPr>
            <w:tcW w:w="3000" w:type="dxa"/>
            <w:vAlign w:val="center"/>
          </w:tcPr>
          <w:p>
            <w:pPr>
              <w:spacing w:before="20" w:after="20"/>
              <w:jc w:val="left"/>
            </w:pPr>
            <w:r>
              <w:rPr>
                <w:sz w:val="20"/>
                <w:szCs w:val="20"/>
              </w:rPr>
              <w:t xml:space="preserve">Yanıtlanmadı</w:t>
            </w:r>
          </w:p>
        </w:tc>
        <w:tc>
          <w:tcPr>
            <w:tcW w:w="1600" w:type="dxa"/>
            <w:vAlign w:val="center"/>
          </w:tcPr>
          <w:p>
            <w:pPr>
              <w:spacing w:before="20" w:after="20"/>
              <w:jc w:val="center"/>
            </w:pPr>
            <w:r>
              <w:rPr>
                <w:sz w:val="20"/>
                <w:szCs w:val="20"/>
              </w:rPr>
              <w:t xml:space="preserve">0</w:t>
            </w:r>
          </w:p>
        </w:tc>
        <w:tc>
          <w:tcPr>
            <w:tcW w:w="4472" w:type="dxa"/>
            <w:vAlign w:val="center"/>
          </w:tcPr>
          <w:p>
            <w:pPr>
              <w:spacing w:before="20" w:after="20"/>
              <w:jc w:val="left"/>
            </w:pPr>
            <w:r>
              <w:rPr>
                <w:sz w:val="20"/>
                <w:szCs w:val="20"/>
              </w:rPr>
              <w:t xml:space="preserve">Hiçbir boyut yanıtlanmamış; soru 1 kabul edilir.</w:t>
            </w:r>
          </w:p>
        </w:tc>
      </w:tr>
      <w:tr>
        <w:trPr>
          <w:cantSplit/>
        </w:trPr>
        <w:tc>
          <w:tcPr>
            <w:tcW w:w="3000" w:type="dxa"/>
            <w:vAlign w:val="center"/>
          </w:tcPr>
          <w:p>
            <w:pPr>
              <w:spacing w:before="20" w:after="20"/>
              <w:jc w:val="left"/>
            </w:pPr>
            <w:r>
              <w:rPr>
                <w:sz w:val="20"/>
                <w:szCs w:val="20"/>
              </w:rPr>
              <w:t xml:space="preserve">Kapsam Dışı</w:t>
            </w:r>
          </w:p>
        </w:tc>
        <w:tc>
          <w:tcPr>
            <w:tcW w:w="1600" w:type="dxa"/>
            <w:vAlign w:val="center"/>
          </w:tcPr>
          <w:p>
            <w:pPr>
              <w:spacing w:before="20" w:after="20"/>
              <w:jc w:val="center"/>
            </w:pPr>
            <w:r>
              <w:rPr>
                <w:sz w:val="20"/>
                <w:szCs w:val="20"/>
              </w:rPr>
              <w:t xml:space="preserve">1</w:t>
            </w:r>
          </w:p>
        </w:tc>
        <w:tc>
          <w:tcPr>
            <w:tcW w:w="4472" w:type="dxa"/>
            <w:vAlign w:val="center"/>
          </w:tcPr>
          <w:p>
            <w:pPr>
              <w:spacing w:before="20" w:after="20"/>
              <w:jc w:val="left"/>
            </w:pPr>
            <w:r>
              <w:rPr>
                <w:sz w:val="20"/>
                <w:szCs w:val="20"/>
              </w:rPr>
              <w:t xml:space="preserve">Tüm boyutlar kapsam dışı; hesaplamaya katılmaz.</w:t>
            </w:r>
          </w:p>
        </w:tc>
      </w:tr>
    </w:tbl>
    <w:p>
      <w:pPr>
        <w:spacing w:before="0" w:after="60"/>
      </w:pPr>
      <w:r>
        <w:rPr>
          <w:sz w:val="8"/>
          <w:szCs w:val="8"/>
        </w:rPr>
        <w:t xml:space="preserve"/>
      </w:r>
    </w:p>
    <w:p>
      <w:pPr>
        <w:pStyle w:val="Caption"/>
        <w:keepNext/>
      </w:pPr>
      <w:r>
        <w:t xml:space="preserve">Tablo 15 – Soru bazında yanıt durumu</w:t>
      </w:r>
    </w:p>
    <w:tbl>
      <w:tblPr>
        <w:tblStyle w:val="TableGrid"/>
        <w:tblW w:w="9072" w:type="dxa"/>
        <w:tblLayout w:type="fixed"/>
        <w:tblCellMar>
          <w:left w:w="85" w:type="dxa"/>
          <w:right w:w="85" w:type="dxa"/>
        </w:tblCellMar>
        <w:tblLook w:val="04A0" w:firstRow="1" w:lastRow="0" w:firstColumn="1" w:lastColumn="0" w:noHBand="0" w:noVBand="1"/>
      </w:tblPr>
      <w:tblGrid>
        <w:gridCol w:w="600"/>
        <w:gridCol w:w="2100"/>
        <w:gridCol w:w="3722"/>
        <w:gridCol w:w="1350"/>
        <w:gridCol w:w="1300"/>
      </w:tblGrid>
      <w:tr>
        <w:trPr>
          <w:cantSplit/>
          <w:tblHeader/>
        </w:trPr>
        <w:tc>
          <w:tcPr>
            <w:tcW w:w="600" w:type="dxa"/>
            <w:shd w:val="clear" w:color="auto" w:fill="D9D9D9"/>
            <w:vAlign w:val="center"/>
          </w:tcPr>
          <w:p>
            <w:pPr>
              <w:spacing w:before="20" w:after="20"/>
              <w:jc w:val="left"/>
            </w:pPr>
            <w:r>
              <w:rPr>
                <w:b/>
                <w:bCs/>
                <w:sz w:val="17"/>
                <w:szCs w:val="17"/>
              </w:rPr>
              <w:t xml:space="preserve">Soru No</w:t>
            </w:r>
          </w:p>
        </w:tc>
        <w:tc>
          <w:tcPr>
            <w:tcW w:w="2100" w:type="dxa"/>
            <w:shd w:val="clear" w:color="auto" w:fill="D9D9D9"/>
            <w:vAlign w:val="center"/>
          </w:tcPr>
          <w:p>
            <w:pPr>
              <w:spacing w:before="20" w:after="20"/>
              <w:jc w:val="left"/>
            </w:pPr>
            <w:r>
              <w:rPr>
                <w:b/>
                <w:bCs/>
                <w:sz w:val="17"/>
                <w:szCs w:val="17"/>
              </w:rPr>
              <w:t xml:space="preserve">Kontrol alanı</w:t>
            </w:r>
          </w:p>
        </w:tc>
        <w:tc>
          <w:tcPr>
            <w:tcW w:w="3722" w:type="dxa"/>
            <w:shd w:val="clear" w:color="auto" w:fill="D9D9D9"/>
            <w:vAlign w:val="center"/>
          </w:tcPr>
          <w:p>
            <w:pPr>
              <w:spacing w:before="20" w:after="20"/>
              <w:jc w:val="left"/>
            </w:pPr>
            <w:r>
              <w:rPr>
                <w:b/>
                <w:bCs/>
                <w:sz w:val="17"/>
                <w:szCs w:val="17"/>
              </w:rPr>
              <w:t xml:space="preserve">Soru</w:t>
            </w:r>
          </w:p>
        </w:tc>
        <w:tc>
          <w:tcPr>
            <w:tcW w:w="1350" w:type="dxa"/>
            <w:shd w:val="clear" w:color="auto" w:fill="D9D9D9"/>
            <w:vAlign w:val="center"/>
          </w:tcPr>
          <w:p>
            <w:pPr>
              <w:spacing w:before="20" w:after="20"/>
              <w:jc w:val="left"/>
            </w:pPr>
            <w:r>
              <w:rPr>
                <w:b/>
                <w:bCs/>
                <w:sz w:val="17"/>
                <w:szCs w:val="17"/>
              </w:rPr>
              <w:t xml:space="preserve">Durum</w:t>
            </w:r>
          </w:p>
        </w:tc>
        <w:tc>
          <w:tcPr>
            <w:tcW w:w="1300" w:type="dxa"/>
            <w:shd w:val="clear" w:color="auto" w:fill="D9D9D9"/>
            <w:vAlign w:val="center"/>
          </w:tcPr>
          <w:p>
            <w:pPr>
              <w:spacing w:before="20" w:after="20"/>
              <w:jc w:val="left"/>
            </w:pPr>
            <w:r>
              <w:rPr>
                <w:b/>
                <w:bCs/>
                <w:sz w:val="17"/>
                <w:szCs w:val="17"/>
              </w:rPr>
              <w:t xml:space="preserve">Not</w:t>
            </w:r>
          </w:p>
        </w:tc>
      </w:tr>
      <w:tr>
        <w:trPr>
          <w:cantSplit/>
        </w:trPr>
        <w:tc>
          <w:tcPr>
            <w:tcW w:w="600" w:type="dxa"/>
            <w:vAlign w:val="center"/>
          </w:tcPr>
          <w:p>
            <w:pPr>
              <w:spacing w:before="20" w:after="20"/>
              <w:jc w:val="center"/>
            </w:pPr>
            <w:r>
              <w:rPr>
                <w:sz w:val="17"/>
                <w:szCs w:val="17"/>
              </w:rPr>
              <w:t xml:space="preserve">1</w:t>
            </w:r>
          </w:p>
        </w:tc>
        <w:tc>
          <w:tcPr>
            <w:tcW w:w="2100" w:type="dxa"/>
            <w:vAlign w:val="center"/>
          </w:tcPr>
          <w:p>
            <w:pPr>
              <w:spacing w:before="20" w:after="20"/>
              <w:jc w:val="left"/>
            </w:pPr>
            <w:r>
              <w:rPr>
                <w:sz w:val="17"/>
                <w:szCs w:val="17"/>
              </w:rPr>
              <w:t xml:space="preserve">Yönetişim, Risk ve Uyumluluk</w:t>
            </w:r>
          </w:p>
        </w:tc>
        <w:tc>
          <w:tcPr>
            <w:tcW w:w="3722" w:type="dxa"/>
            <w:vAlign w:val="center"/>
          </w:tcPr>
          <w:p>
            <w:pPr>
              <w:spacing w:before="20" w:after="20"/>
              <w:jc w:val="left"/>
            </w:pPr>
            <w:r>
              <w:rPr>
                <w:sz w:val="17"/>
                <w:szCs w:val="17"/>
              </w:rPr>
              <w:t xml:space="preserve">Siber güvenlik riskleri üst yönetim seviyesinde düzenli görüşülüp, riskleri azaltmak için ayrı bir bütçe ve kaynak ayrılıyor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w:t>
            </w:r>
          </w:p>
        </w:tc>
        <w:tc>
          <w:tcPr>
            <w:tcW w:w="2100" w:type="dxa"/>
            <w:vAlign w:val="center"/>
          </w:tcPr>
          <w:p>
            <w:pPr>
              <w:spacing w:before="20" w:after="20"/>
              <w:jc w:val="left"/>
            </w:pPr>
            <w:r>
              <w:rPr>
                <w:sz w:val="17"/>
                <w:szCs w:val="17"/>
              </w:rPr>
              <w:t xml:space="preserve">Yönetişim, Risk ve Uyumluluk</w:t>
            </w:r>
          </w:p>
        </w:tc>
        <w:tc>
          <w:tcPr>
            <w:tcW w:w="3722" w:type="dxa"/>
            <w:vAlign w:val="center"/>
          </w:tcPr>
          <w:p>
            <w:pPr>
              <w:spacing w:before="20" w:after="20"/>
              <w:jc w:val="left"/>
            </w:pPr>
            <w:r>
              <w:rPr>
                <w:sz w:val="17"/>
                <w:szCs w:val="17"/>
              </w:rPr>
              <w:t xml:space="preserve">7545 Sayılı Kanun ve KVKK gibi güncel mevzuata uyumlu, yönetim onaylı siber güvenlik politikalarınız var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3</w:t>
            </w:r>
          </w:p>
        </w:tc>
        <w:tc>
          <w:tcPr>
            <w:tcW w:w="2100" w:type="dxa"/>
            <w:vAlign w:val="center"/>
          </w:tcPr>
          <w:p>
            <w:pPr>
              <w:spacing w:before="20" w:after="20"/>
              <w:jc w:val="left"/>
            </w:pPr>
            <w:r>
              <w:rPr>
                <w:sz w:val="17"/>
                <w:szCs w:val="17"/>
              </w:rPr>
              <w:t xml:space="preserve">Varlık ve Yapılandırma Yönetimi</w:t>
            </w:r>
          </w:p>
        </w:tc>
        <w:tc>
          <w:tcPr>
            <w:tcW w:w="3722" w:type="dxa"/>
            <w:vAlign w:val="center"/>
          </w:tcPr>
          <w:p>
            <w:pPr>
              <w:spacing w:before="20" w:after="20"/>
              <w:jc w:val="left"/>
            </w:pPr>
            <w:r>
              <w:rPr>
                <w:sz w:val="17"/>
                <w:szCs w:val="17"/>
              </w:rPr>
              <w:t xml:space="preserve">Kritik donanım/yazılımlarınızı ve hassas verilerinizin nerede tutulduğunu gösteren güncel bir envanter/veri haritanız var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4</w:t>
            </w:r>
          </w:p>
        </w:tc>
        <w:tc>
          <w:tcPr>
            <w:tcW w:w="2100" w:type="dxa"/>
            <w:vAlign w:val="center"/>
          </w:tcPr>
          <w:p>
            <w:pPr>
              <w:spacing w:before="20" w:after="20"/>
              <w:jc w:val="left"/>
            </w:pPr>
            <w:r>
              <w:rPr>
                <w:sz w:val="17"/>
                <w:szCs w:val="17"/>
              </w:rPr>
              <w:t xml:space="preserve">Yönetişim, Risk ve Uyumluluk</w:t>
            </w:r>
          </w:p>
        </w:tc>
        <w:tc>
          <w:tcPr>
            <w:tcW w:w="3722" w:type="dxa"/>
            <w:vAlign w:val="center"/>
          </w:tcPr>
          <w:p>
            <w:pPr>
              <w:spacing w:before="20" w:after="20"/>
              <w:jc w:val="left"/>
            </w:pPr>
            <w:r>
              <w:rPr>
                <w:sz w:val="17"/>
                <w:szCs w:val="17"/>
              </w:rPr>
              <w:t xml:space="preserve">Kurumun siber risklerini belirleyen resmi bir risk analizi son 1 yıl içinde yapıldı mı ve aksiyonlar takip ediliyor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5</w:t>
            </w:r>
          </w:p>
        </w:tc>
        <w:tc>
          <w:tcPr>
            <w:tcW w:w="2100" w:type="dxa"/>
            <w:vAlign w:val="center"/>
          </w:tcPr>
          <w:p>
            <w:pPr>
              <w:spacing w:before="20" w:after="20"/>
              <w:jc w:val="left"/>
            </w:pPr>
            <w:r>
              <w:rPr>
                <w:sz w:val="17"/>
                <w:szCs w:val="17"/>
              </w:rPr>
              <w:t xml:space="preserve">İnsan Kaynakları Güvenliği</w:t>
            </w:r>
          </w:p>
        </w:tc>
        <w:tc>
          <w:tcPr>
            <w:tcW w:w="3722" w:type="dxa"/>
            <w:vAlign w:val="center"/>
          </w:tcPr>
          <w:p>
            <w:pPr>
              <w:spacing w:before="20" w:after="20"/>
              <w:jc w:val="left"/>
            </w:pPr>
            <w:r>
              <w:rPr>
                <w:sz w:val="17"/>
                <w:szCs w:val="17"/>
              </w:rPr>
              <w:t xml:space="preserve">Çalışanlara düzenli siber güvenlik eğitimi veriliyor ve farkındalıkları "Habersiz Oltalama Testleri" ile ölçülüyor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6</w:t>
            </w:r>
          </w:p>
        </w:tc>
        <w:tc>
          <w:tcPr>
            <w:tcW w:w="2100" w:type="dxa"/>
            <w:vAlign w:val="center"/>
          </w:tcPr>
          <w:p>
            <w:pPr>
              <w:spacing w:before="20" w:after="20"/>
              <w:jc w:val="left"/>
            </w:pPr>
            <w:r>
              <w:rPr>
                <w:sz w:val="17"/>
                <w:szCs w:val="17"/>
              </w:rPr>
              <w:t xml:space="preserve">Kimlik ve Erişim Yönetimi</w:t>
            </w:r>
          </w:p>
        </w:tc>
        <w:tc>
          <w:tcPr>
            <w:tcW w:w="3722" w:type="dxa"/>
            <w:vAlign w:val="center"/>
          </w:tcPr>
          <w:p>
            <w:pPr>
              <w:spacing w:before="20" w:after="20"/>
              <w:jc w:val="left"/>
            </w:pPr>
            <w:r>
              <w:rPr>
                <w:sz w:val="17"/>
                <w:szCs w:val="17"/>
              </w:rPr>
              <w:t xml:space="preserve">İşe giriş ve çıkışlarda (özellikle ayrılan personelin) erişim yetkileri anında ve eksiksiz olarak yönetiliyor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7</w:t>
            </w:r>
          </w:p>
        </w:tc>
        <w:tc>
          <w:tcPr>
            <w:tcW w:w="2100" w:type="dxa"/>
            <w:vAlign w:val="center"/>
          </w:tcPr>
          <w:p>
            <w:pPr>
              <w:spacing w:before="20" w:after="20"/>
              <w:jc w:val="left"/>
            </w:pPr>
            <w:r>
              <w:rPr>
                <w:sz w:val="17"/>
                <w:szCs w:val="17"/>
              </w:rPr>
              <w:t xml:space="preserve">Kimlik ve Erişim Yönetimi</w:t>
            </w:r>
          </w:p>
        </w:tc>
        <w:tc>
          <w:tcPr>
            <w:tcW w:w="3722" w:type="dxa"/>
            <w:vAlign w:val="center"/>
          </w:tcPr>
          <w:p>
            <w:pPr>
              <w:spacing w:before="20" w:after="20"/>
              <w:jc w:val="left"/>
            </w:pPr>
            <w:r>
              <w:rPr>
                <w:sz w:val="17"/>
                <w:szCs w:val="17"/>
              </w:rPr>
              <w:t xml:space="preserve">Uzaktan çalışmanın güvenlik kurallarını (VPN kullanımı, Cihaz güvenliği vb.) belirleyen resmi bir politikanız var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8</w:t>
            </w:r>
          </w:p>
        </w:tc>
        <w:tc>
          <w:tcPr>
            <w:tcW w:w="2100" w:type="dxa"/>
            <w:vAlign w:val="center"/>
          </w:tcPr>
          <w:p>
            <w:pPr>
              <w:spacing w:before="20" w:after="20"/>
              <w:jc w:val="left"/>
            </w:pPr>
            <w:r>
              <w:rPr>
                <w:sz w:val="17"/>
                <w:szCs w:val="17"/>
              </w:rPr>
              <w:t xml:space="preserve">Kimlik ve Erişim Yönetimi</w:t>
            </w:r>
          </w:p>
        </w:tc>
        <w:tc>
          <w:tcPr>
            <w:tcW w:w="3722" w:type="dxa"/>
            <w:vAlign w:val="center"/>
          </w:tcPr>
          <w:p>
            <w:pPr>
              <w:spacing w:before="20" w:after="20"/>
              <w:jc w:val="left"/>
            </w:pPr>
            <w:r>
              <w:rPr>
                <w:sz w:val="17"/>
                <w:szCs w:val="17"/>
              </w:rPr>
              <w:t xml:space="preserve">VPN, E-posta ve kritik sistemlere erişimde parola dışında ikinci bir doğrulama (MFA/SMS/OTP) zorunlu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9</w:t>
            </w:r>
          </w:p>
        </w:tc>
        <w:tc>
          <w:tcPr>
            <w:tcW w:w="2100" w:type="dxa"/>
            <w:vAlign w:val="center"/>
          </w:tcPr>
          <w:p>
            <w:pPr>
              <w:spacing w:before="20" w:after="20"/>
              <w:jc w:val="left"/>
            </w:pPr>
            <w:r>
              <w:rPr>
                <w:sz w:val="17"/>
                <w:szCs w:val="17"/>
              </w:rPr>
              <w:t xml:space="preserve">Kimlik ve Erişim Yönetimi</w:t>
            </w:r>
          </w:p>
        </w:tc>
        <w:tc>
          <w:tcPr>
            <w:tcW w:w="3722" w:type="dxa"/>
            <w:vAlign w:val="center"/>
          </w:tcPr>
          <w:p>
            <w:pPr>
              <w:spacing w:before="20" w:after="20"/>
              <w:jc w:val="left"/>
            </w:pPr>
            <w:r>
              <w:rPr>
                <w:sz w:val="17"/>
                <w:szCs w:val="17"/>
              </w:rPr>
              <w:t xml:space="preserve">Süper Yönetici (Admin) hesapları sadece gerektiğinde kullanılıyor ve şifreleri güvenli/izole yönetiliyor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10</w:t>
            </w:r>
          </w:p>
        </w:tc>
        <w:tc>
          <w:tcPr>
            <w:tcW w:w="2100" w:type="dxa"/>
            <w:vAlign w:val="center"/>
          </w:tcPr>
          <w:p>
            <w:pPr>
              <w:spacing w:before="20" w:after="20"/>
              <w:jc w:val="left"/>
            </w:pPr>
            <w:r>
              <w:rPr>
                <w:sz w:val="17"/>
                <w:szCs w:val="17"/>
              </w:rPr>
              <w:t xml:space="preserve">Kimlik ve Erişim Yönetimi</w:t>
            </w:r>
          </w:p>
        </w:tc>
        <w:tc>
          <w:tcPr>
            <w:tcW w:w="3722" w:type="dxa"/>
            <w:vAlign w:val="center"/>
          </w:tcPr>
          <w:p>
            <w:pPr>
              <w:spacing w:before="20" w:after="20"/>
              <w:jc w:val="left"/>
            </w:pPr>
            <w:r>
              <w:rPr>
                <w:sz w:val="17"/>
                <w:szCs w:val="17"/>
              </w:rPr>
              <w:t xml:space="preserve">Kullanıcıların "neye, nereye" erişebileceği "En Az Yetki" prensibine göre ve merkezi bir sistemden (AD) yönetiliyor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11</w:t>
            </w:r>
          </w:p>
        </w:tc>
        <w:tc>
          <w:tcPr>
            <w:tcW w:w="2100" w:type="dxa"/>
            <w:vAlign w:val="center"/>
          </w:tcPr>
          <w:p>
            <w:pPr>
              <w:spacing w:before="20" w:after="20"/>
              <w:jc w:val="left"/>
            </w:pPr>
            <w:r>
              <w:rPr>
                <w:sz w:val="17"/>
                <w:szCs w:val="17"/>
              </w:rPr>
              <w:t xml:space="preserve">Yönetişim, Risk ve Uyumluluk</w:t>
            </w:r>
          </w:p>
        </w:tc>
        <w:tc>
          <w:tcPr>
            <w:tcW w:w="3722" w:type="dxa"/>
            <w:vAlign w:val="center"/>
          </w:tcPr>
          <w:p>
            <w:pPr>
              <w:spacing w:before="20" w:after="20"/>
              <w:jc w:val="left"/>
            </w:pPr>
            <w:r>
              <w:rPr>
                <w:sz w:val="17"/>
                <w:szCs w:val="17"/>
              </w:rPr>
              <w:t xml:space="preserve">Bir siber olay veya zafiyet yaşandığında, bunu yasal süresi içinde Siber Güvenlik Başkanlığı'na bildirecek prosedürünüz hazır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12</w:t>
            </w:r>
          </w:p>
        </w:tc>
        <w:tc>
          <w:tcPr>
            <w:tcW w:w="2100" w:type="dxa"/>
            <w:vAlign w:val="center"/>
          </w:tcPr>
          <w:p>
            <w:pPr>
              <w:spacing w:before="20" w:after="20"/>
              <w:jc w:val="left"/>
            </w:pPr>
            <w:r>
              <w:rPr>
                <w:sz w:val="17"/>
                <w:szCs w:val="17"/>
              </w:rPr>
              <w:t xml:space="preserve">Yönetişim, Risk ve Uyumluluk</w:t>
            </w:r>
          </w:p>
        </w:tc>
        <w:tc>
          <w:tcPr>
            <w:tcW w:w="3722" w:type="dxa"/>
            <w:vAlign w:val="center"/>
          </w:tcPr>
          <w:p>
            <w:pPr>
              <w:spacing w:before="20" w:after="20"/>
              <w:jc w:val="left"/>
            </w:pPr>
            <w:r>
              <w:rPr>
                <w:sz w:val="17"/>
                <w:szCs w:val="17"/>
              </w:rPr>
              <w:t xml:space="preserve">Olası bir denetimde talep edilecek verileri ve log kayıtlarını (bütünlüğü bozulmadan) hızlıca sunmaya hazırlıklı mısınız?</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13</w:t>
            </w:r>
          </w:p>
        </w:tc>
        <w:tc>
          <w:tcPr>
            <w:tcW w:w="2100" w:type="dxa"/>
            <w:vAlign w:val="center"/>
          </w:tcPr>
          <w:p>
            <w:pPr>
              <w:spacing w:before="20" w:after="20"/>
              <w:jc w:val="left"/>
            </w:pPr>
            <w:r>
              <w:rPr>
                <w:sz w:val="17"/>
                <w:szCs w:val="17"/>
              </w:rPr>
              <w:t xml:space="preserve">Fiziksel Güvenlik</w:t>
            </w:r>
          </w:p>
        </w:tc>
        <w:tc>
          <w:tcPr>
            <w:tcW w:w="3722" w:type="dxa"/>
            <w:vAlign w:val="center"/>
          </w:tcPr>
          <w:p>
            <w:pPr>
              <w:spacing w:before="20" w:after="20"/>
              <w:jc w:val="left"/>
            </w:pPr>
            <w:r>
              <w:rPr>
                <w:sz w:val="17"/>
                <w:szCs w:val="17"/>
              </w:rPr>
              <w:t xml:space="preserve">Sunucu odasıyetkisiz girişlere, yangın/ısı risklerine ve elektrik kesintilerine (UPS/Jeneratör) karşı korunuyor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14</w:t>
            </w:r>
          </w:p>
        </w:tc>
        <w:tc>
          <w:tcPr>
            <w:tcW w:w="2100" w:type="dxa"/>
            <w:vAlign w:val="center"/>
          </w:tcPr>
          <w:p>
            <w:pPr>
              <w:spacing w:before="20" w:after="20"/>
              <w:jc w:val="left"/>
            </w:pPr>
            <w:r>
              <w:rPr>
                <w:sz w:val="17"/>
                <w:szCs w:val="17"/>
              </w:rPr>
              <w:t xml:space="preserve">Ağ ve İletişim Güvenliği</w:t>
            </w:r>
          </w:p>
        </w:tc>
        <w:tc>
          <w:tcPr>
            <w:tcW w:w="3722" w:type="dxa"/>
            <w:vAlign w:val="center"/>
          </w:tcPr>
          <w:p>
            <w:pPr>
              <w:spacing w:before="20" w:after="20"/>
              <w:jc w:val="left"/>
            </w:pPr>
            <w:r>
              <w:rPr>
                <w:sz w:val="17"/>
                <w:szCs w:val="17"/>
              </w:rPr>
              <w:t xml:space="preserve">İnternet çıkışında trafiği denetleyen ve saldırıları engelleyen güncel bir Güvenlik Duvarı (NGFW/IPS) yönetiliyor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15</w:t>
            </w:r>
          </w:p>
        </w:tc>
        <w:tc>
          <w:tcPr>
            <w:tcW w:w="2100" w:type="dxa"/>
            <w:vAlign w:val="center"/>
          </w:tcPr>
          <w:p>
            <w:pPr>
              <w:spacing w:before="20" w:after="20"/>
              <w:jc w:val="left"/>
            </w:pPr>
            <w:r>
              <w:rPr>
                <w:sz w:val="17"/>
                <w:szCs w:val="17"/>
              </w:rPr>
              <w:t xml:space="preserve">Ağ ve İletişim Güvenliği</w:t>
            </w:r>
          </w:p>
        </w:tc>
        <w:tc>
          <w:tcPr>
            <w:tcW w:w="3722" w:type="dxa"/>
            <w:vAlign w:val="center"/>
          </w:tcPr>
          <w:p>
            <w:pPr>
              <w:spacing w:before="20" w:after="20"/>
              <w:jc w:val="left"/>
            </w:pPr>
            <w:r>
              <w:rPr>
                <w:sz w:val="17"/>
                <w:szCs w:val="17"/>
              </w:rPr>
              <w:t xml:space="preserve">Misafir ağı ile kritik sunucu/personel ağları birbirinden mantıksal olarak (VLAN) ayrılmış durumda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16</w:t>
            </w:r>
          </w:p>
        </w:tc>
        <w:tc>
          <w:tcPr>
            <w:tcW w:w="2100" w:type="dxa"/>
            <w:vAlign w:val="center"/>
          </w:tcPr>
          <w:p>
            <w:pPr>
              <w:spacing w:before="20" w:after="20"/>
              <w:jc w:val="left"/>
            </w:pPr>
            <w:r>
              <w:rPr>
                <w:sz w:val="17"/>
                <w:szCs w:val="17"/>
              </w:rPr>
              <w:t xml:space="preserve">Ağ ve İletişim Güvenliği</w:t>
            </w:r>
          </w:p>
        </w:tc>
        <w:tc>
          <w:tcPr>
            <w:tcW w:w="3722" w:type="dxa"/>
            <w:vAlign w:val="center"/>
          </w:tcPr>
          <w:p>
            <w:pPr>
              <w:spacing w:before="20" w:after="20"/>
              <w:jc w:val="left"/>
            </w:pPr>
            <w:r>
              <w:rPr>
                <w:sz w:val="17"/>
                <w:szCs w:val="17"/>
              </w:rPr>
              <w:t xml:space="preserve">Dışarıdan şirket ağına yapılan tüm bağlantılar "Güvenli VPN" veya şifreli tüneller üzerinden mi yapılıyor?</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17</w:t>
            </w:r>
          </w:p>
        </w:tc>
        <w:tc>
          <w:tcPr>
            <w:tcW w:w="2100" w:type="dxa"/>
            <w:vAlign w:val="center"/>
          </w:tcPr>
          <w:p>
            <w:pPr>
              <w:spacing w:before="20" w:after="20"/>
              <w:jc w:val="left"/>
            </w:pPr>
            <w:r>
              <w:rPr>
                <w:sz w:val="17"/>
                <w:szCs w:val="17"/>
              </w:rPr>
              <w:t xml:space="preserve">Tehdit ve Zafiyet Yönetimi</w:t>
            </w:r>
          </w:p>
        </w:tc>
        <w:tc>
          <w:tcPr>
            <w:tcW w:w="3722" w:type="dxa"/>
            <w:vAlign w:val="center"/>
          </w:tcPr>
          <w:p>
            <w:pPr>
              <w:spacing w:before="20" w:after="20"/>
              <w:jc w:val="left"/>
            </w:pPr>
            <w:r>
              <w:rPr>
                <w:sz w:val="17"/>
                <w:szCs w:val="17"/>
              </w:rPr>
              <w:t xml:space="preserve">Tüm bilgisayar ve sunucularda güncel, merkezi yönetilen bir Antivirüs veya EDR (Gelişmiş Tehdit Algılama) yazılımı yüklü mü?</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18</w:t>
            </w:r>
          </w:p>
        </w:tc>
        <w:tc>
          <w:tcPr>
            <w:tcW w:w="2100" w:type="dxa"/>
            <w:vAlign w:val="center"/>
          </w:tcPr>
          <w:p>
            <w:pPr>
              <w:spacing w:before="20" w:after="20"/>
              <w:jc w:val="left"/>
            </w:pPr>
            <w:r>
              <w:rPr>
                <w:sz w:val="17"/>
                <w:szCs w:val="17"/>
              </w:rPr>
              <w:t xml:space="preserve">Tehdit ve Zafiyet Yönetimi</w:t>
            </w:r>
          </w:p>
        </w:tc>
        <w:tc>
          <w:tcPr>
            <w:tcW w:w="3722" w:type="dxa"/>
            <w:vAlign w:val="center"/>
          </w:tcPr>
          <w:p>
            <w:pPr>
              <w:spacing w:before="20" w:after="20"/>
              <w:jc w:val="left"/>
            </w:pPr>
            <w:r>
              <w:rPr>
                <w:sz w:val="17"/>
                <w:szCs w:val="17"/>
              </w:rPr>
              <w:t xml:space="preserve">İşletim sistemlerinin ve kritik yazılımların güvenlik güncellemeleri (yamaları) merkezi ve otomatik olarak yapılıyor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19</w:t>
            </w:r>
          </w:p>
        </w:tc>
        <w:tc>
          <w:tcPr>
            <w:tcW w:w="2100" w:type="dxa"/>
            <w:vAlign w:val="center"/>
          </w:tcPr>
          <w:p>
            <w:pPr>
              <w:spacing w:before="20" w:after="20"/>
              <w:jc w:val="left"/>
            </w:pPr>
            <w:r>
              <w:rPr>
                <w:sz w:val="17"/>
                <w:szCs w:val="17"/>
              </w:rPr>
              <w:t xml:space="preserve">Veri ve Kriptografi Güvenliği</w:t>
            </w:r>
          </w:p>
        </w:tc>
        <w:tc>
          <w:tcPr>
            <w:tcW w:w="3722" w:type="dxa"/>
            <w:vAlign w:val="center"/>
          </w:tcPr>
          <w:p>
            <w:pPr>
              <w:spacing w:before="20" w:after="20"/>
              <w:jc w:val="left"/>
            </w:pPr>
            <w:r>
              <w:rPr>
                <w:sz w:val="17"/>
                <w:szCs w:val="17"/>
              </w:rPr>
              <w:t xml:space="preserve">İzinsiz USB bellek kullanımı engelleniyor ve mobil cihazlar (laptop) çalınmaya karşı disk şifreleme ile korunuyor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20</w:t>
            </w:r>
          </w:p>
        </w:tc>
        <w:tc>
          <w:tcPr>
            <w:tcW w:w="2100" w:type="dxa"/>
            <w:vAlign w:val="center"/>
          </w:tcPr>
          <w:p>
            <w:pPr>
              <w:spacing w:before="20" w:after="20"/>
              <w:jc w:val="left"/>
            </w:pPr>
            <w:r>
              <w:rPr>
                <w:sz w:val="17"/>
                <w:szCs w:val="17"/>
              </w:rPr>
              <w:t xml:space="preserve">Ağ ve İletişim Güvenliği</w:t>
            </w:r>
          </w:p>
        </w:tc>
        <w:tc>
          <w:tcPr>
            <w:tcW w:w="3722" w:type="dxa"/>
            <w:vAlign w:val="center"/>
          </w:tcPr>
          <w:p>
            <w:pPr>
              <w:spacing w:before="20" w:after="20"/>
              <w:jc w:val="left"/>
            </w:pPr>
            <w:r>
              <w:rPr>
                <w:sz w:val="17"/>
                <w:szCs w:val="17"/>
              </w:rPr>
              <w:t xml:space="preserve">Oltalama (Phishing) ve zararlı e-postaları engelleyen profesyonel bir E-Posta Güvenlik Ağ Geçidi (Gateway) var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21</w:t>
            </w:r>
          </w:p>
        </w:tc>
        <w:tc>
          <w:tcPr>
            <w:tcW w:w="2100" w:type="dxa"/>
            <w:vAlign w:val="center"/>
          </w:tcPr>
          <w:p>
            <w:pPr>
              <w:spacing w:before="20" w:after="20"/>
              <w:jc w:val="left"/>
            </w:pPr>
            <w:r>
              <w:rPr>
                <w:sz w:val="17"/>
                <w:szCs w:val="17"/>
              </w:rPr>
              <w:t xml:space="preserve">Tehdit ve Zafiyet Yönetimi</w:t>
            </w:r>
          </w:p>
        </w:tc>
        <w:tc>
          <w:tcPr>
            <w:tcW w:w="3722" w:type="dxa"/>
            <w:vAlign w:val="center"/>
          </w:tcPr>
          <w:p>
            <w:pPr>
              <w:spacing w:before="20" w:after="20"/>
              <w:jc w:val="left"/>
            </w:pPr>
            <w:r>
              <w:rPr>
                <w:sz w:val="17"/>
                <w:szCs w:val="17"/>
              </w:rPr>
              <w:t xml:space="preserve">Yılda en az bir kez Sızma Testi (Pentest) yaptırıp, rapordaki kritik açıkları kapatarak doğruluyor musunuz?</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22</w:t>
            </w:r>
          </w:p>
        </w:tc>
        <w:tc>
          <w:tcPr>
            <w:tcW w:w="2100" w:type="dxa"/>
            <w:vAlign w:val="center"/>
          </w:tcPr>
          <w:p>
            <w:pPr>
              <w:spacing w:before="20" w:after="20"/>
              <w:jc w:val="left"/>
            </w:pPr>
            <w:r>
              <w:rPr>
                <w:sz w:val="17"/>
                <w:szCs w:val="17"/>
              </w:rPr>
              <w:t xml:space="preserve">Veri ve Kriptografi Güvenliği</w:t>
            </w:r>
          </w:p>
        </w:tc>
        <w:tc>
          <w:tcPr>
            <w:tcW w:w="3722" w:type="dxa"/>
            <w:vAlign w:val="center"/>
          </w:tcPr>
          <w:p>
            <w:pPr>
              <w:spacing w:before="20" w:after="20"/>
              <w:jc w:val="left"/>
            </w:pPr>
            <w:r>
              <w:rPr>
                <w:sz w:val="17"/>
                <w:szCs w:val="17"/>
              </w:rPr>
              <w:t xml:space="preserve">Hassas verilerin (Müşteri, Finans) e-posta, USB veya bulut yoluyla dışarı çıkarılmasını izleyen/engelleyen bir sistem (DLP) var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23</w:t>
            </w:r>
          </w:p>
        </w:tc>
        <w:tc>
          <w:tcPr>
            <w:tcW w:w="2100" w:type="dxa"/>
            <w:vAlign w:val="center"/>
          </w:tcPr>
          <w:p>
            <w:pPr>
              <w:spacing w:before="20" w:after="20"/>
              <w:jc w:val="left"/>
            </w:pPr>
            <w:r>
              <w:rPr>
                <w:sz w:val="17"/>
                <w:szCs w:val="17"/>
              </w:rPr>
              <w:t xml:space="preserve">Veri ve Kriptografi Güvenliği</w:t>
            </w:r>
          </w:p>
        </w:tc>
        <w:tc>
          <w:tcPr>
            <w:tcW w:w="3722" w:type="dxa"/>
            <w:vAlign w:val="center"/>
          </w:tcPr>
          <w:p>
            <w:pPr>
              <w:spacing w:before="20" w:after="20"/>
              <w:jc w:val="left"/>
            </w:pPr>
            <w:r>
              <w:rPr>
                <w:sz w:val="17"/>
                <w:szCs w:val="17"/>
              </w:rPr>
              <w:t xml:space="preserve">Yasal saklama süresi dolan verilerin güvenli ve geri döndürülemez şekilde silinmesi için bir süreciniz var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24</w:t>
            </w:r>
          </w:p>
        </w:tc>
        <w:tc>
          <w:tcPr>
            <w:tcW w:w="2100" w:type="dxa"/>
            <w:vAlign w:val="center"/>
          </w:tcPr>
          <w:p>
            <w:pPr>
              <w:spacing w:before="20" w:after="20"/>
              <w:jc w:val="left"/>
            </w:pPr>
            <w:r>
              <w:rPr>
                <w:sz w:val="17"/>
                <w:szCs w:val="17"/>
              </w:rPr>
              <w:t xml:space="preserve">Olay Müdahale, İzleme ve Süreklilik</w:t>
            </w:r>
          </w:p>
        </w:tc>
        <w:tc>
          <w:tcPr>
            <w:tcW w:w="3722" w:type="dxa"/>
            <w:vAlign w:val="center"/>
          </w:tcPr>
          <w:p>
            <w:pPr>
              <w:spacing w:before="20" w:after="20"/>
              <w:jc w:val="left"/>
            </w:pPr>
            <w:r>
              <w:rPr>
                <w:sz w:val="17"/>
                <w:szCs w:val="17"/>
              </w:rPr>
              <w:t xml:space="preserve">Kritik veriler düzenli yedekleniyor ve bu yedeklerin çalıştığı "Geri Dönüş (Restore)" testleri ile doğrulanıyor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25</w:t>
            </w:r>
          </w:p>
        </w:tc>
        <w:tc>
          <w:tcPr>
            <w:tcW w:w="2100" w:type="dxa"/>
            <w:vAlign w:val="center"/>
          </w:tcPr>
          <w:p>
            <w:pPr>
              <w:spacing w:before="20" w:after="20"/>
              <w:jc w:val="left"/>
            </w:pPr>
            <w:r>
              <w:rPr>
                <w:sz w:val="17"/>
                <w:szCs w:val="17"/>
              </w:rPr>
              <w:t xml:space="preserve">Olay Müdahale, İzleme ve Süreklilik</w:t>
            </w:r>
          </w:p>
        </w:tc>
        <w:tc>
          <w:tcPr>
            <w:tcW w:w="3722" w:type="dxa"/>
            <w:vAlign w:val="center"/>
          </w:tcPr>
          <w:p>
            <w:pPr>
              <w:spacing w:before="20" w:after="20"/>
              <w:jc w:val="left"/>
            </w:pPr>
            <w:r>
              <w:rPr>
                <w:sz w:val="17"/>
                <w:szCs w:val="17"/>
              </w:rPr>
              <w:t xml:space="preserve">Fidye yazılımlarına (Ransomware) karşı, yedeklerin bir kopyası ağdan izole (Offline/Teyp/Lock) tutuluyor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26</w:t>
            </w:r>
          </w:p>
        </w:tc>
        <w:tc>
          <w:tcPr>
            <w:tcW w:w="2100" w:type="dxa"/>
            <w:vAlign w:val="center"/>
          </w:tcPr>
          <w:p>
            <w:pPr>
              <w:spacing w:before="20" w:after="20"/>
              <w:jc w:val="left"/>
            </w:pPr>
            <w:r>
              <w:rPr>
                <w:sz w:val="17"/>
                <w:szCs w:val="17"/>
              </w:rPr>
              <w:t xml:space="preserve">Olay Müdahale, İzleme ve Süreklilik</w:t>
            </w:r>
          </w:p>
        </w:tc>
        <w:tc>
          <w:tcPr>
            <w:tcW w:w="3722" w:type="dxa"/>
            <w:vAlign w:val="center"/>
          </w:tcPr>
          <w:p>
            <w:pPr>
              <w:spacing w:before="20" w:after="20"/>
              <w:jc w:val="left"/>
            </w:pPr>
            <w:r>
              <w:rPr>
                <w:sz w:val="17"/>
                <w:szCs w:val="17"/>
              </w:rPr>
              <w:t xml:space="preserve">Siber saldırı veya felaket anında işin durmaması için yazılı ve test edilmiş bir İş Sürekliliği Planınız var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27</w:t>
            </w:r>
          </w:p>
        </w:tc>
        <w:tc>
          <w:tcPr>
            <w:tcW w:w="2100" w:type="dxa"/>
            <w:vAlign w:val="center"/>
          </w:tcPr>
          <w:p>
            <w:pPr>
              <w:spacing w:before="20" w:after="20"/>
              <w:jc w:val="left"/>
            </w:pPr>
            <w:r>
              <w:rPr>
                <w:sz w:val="17"/>
                <w:szCs w:val="17"/>
              </w:rPr>
              <w:t xml:space="preserve">Olay Müdahale, İzleme ve Süreklilik</w:t>
            </w:r>
          </w:p>
        </w:tc>
        <w:tc>
          <w:tcPr>
            <w:tcW w:w="3722" w:type="dxa"/>
            <w:vAlign w:val="center"/>
          </w:tcPr>
          <w:p>
            <w:pPr>
              <w:spacing w:before="20" w:after="20"/>
              <w:jc w:val="left"/>
            </w:pPr>
            <w:r>
              <w:rPr>
                <w:sz w:val="17"/>
                <w:szCs w:val="17"/>
              </w:rPr>
              <w:t xml:space="preserve">Log kayıtları 5651 ve 7545 sayılı kanunlara uygun şekilde, imzalı ve merkezi bir sistemde (SIEM) saklanıyor mu?</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28</w:t>
            </w:r>
          </w:p>
        </w:tc>
        <w:tc>
          <w:tcPr>
            <w:tcW w:w="2100" w:type="dxa"/>
            <w:vAlign w:val="center"/>
          </w:tcPr>
          <w:p>
            <w:pPr>
              <w:spacing w:before="20" w:after="20"/>
              <w:jc w:val="left"/>
            </w:pPr>
            <w:r>
              <w:rPr>
                <w:sz w:val="17"/>
                <w:szCs w:val="17"/>
              </w:rPr>
              <w:t xml:space="preserve">Olay Müdahale, İzleme ve Süreklilik</w:t>
            </w:r>
          </w:p>
        </w:tc>
        <w:tc>
          <w:tcPr>
            <w:tcW w:w="3722" w:type="dxa"/>
            <w:vAlign w:val="center"/>
          </w:tcPr>
          <w:p>
            <w:pPr>
              <w:spacing w:before="20" w:after="20"/>
              <w:jc w:val="left"/>
            </w:pPr>
            <w:r>
              <w:rPr>
                <w:sz w:val="17"/>
                <w:szCs w:val="17"/>
              </w:rPr>
              <w:t xml:space="preserve">Sistemlerinizdeki saldırı ve anomalileri 7/24 izleyen ve müdahale eden bir SOC (Güvenlik Operasyon Merkezi) hizmetiniz var mı?</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29</w:t>
            </w:r>
          </w:p>
        </w:tc>
        <w:tc>
          <w:tcPr>
            <w:tcW w:w="2100" w:type="dxa"/>
            <w:vAlign w:val="center"/>
          </w:tcPr>
          <w:p>
            <w:pPr>
              <w:spacing w:before="20" w:after="20"/>
              <w:jc w:val="left"/>
            </w:pPr>
            <w:r>
              <w:rPr>
                <w:sz w:val="17"/>
                <w:szCs w:val="17"/>
              </w:rPr>
              <w:t xml:space="preserve">Tedarikçi ve Üçüncü Taraf Güvenliği</w:t>
            </w:r>
          </w:p>
        </w:tc>
        <w:tc>
          <w:tcPr>
            <w:tcW w:w="3722" w:type="dxa"/>
            <w:vAlign w:val="center"/>
          </w:tcPr>
          <w:p>
            <w:pPr>
              <w:spacing w:before="20" w:after="20"/>
              <w:jc w:val="left"/>
            </w:pPr>
            <w:r>
              <w:rPr>
                <w:sz w:val="17"/>
                <w:szCs w:val="17"/>
              </w:rPr>
              <w:t xml:space="preserve">Hizmet aldığınız firmalarla yapılan sözleşmeler "Veri Gizliliği" ve "Siber Güvenlik" sorumluluklarını içeriyor mu?</w:t>
            </w:r>
          </w:p>
        </w:tc>
        <w:tc>
          <w:tcPr>
            <w:tcW w:w="1350" w:type="dxa"/>
            <w:vAlign w:val="center"/>
          </w:tcPr>
          <w:p>
            <w:pPr>
              <w:spacing w:before="20" w:after="20"/>
              <w:jc w:val="left"/>
            </w:pPr>
            <w:r>
              <w:rPr>
                <w:b/>
                <w:bCs/>
                <w:sz w:val="17"/>
                <w:szCs w:val="17"/>
              </w:rPr>
              <w:t xml:space="preserve">Kapsam Dışı</w:t>
            </w:r>
          </w:p>
        </w:tc>
        <w:tc>
          <w:tcPr>
            <w:tcW w:w="1300" w:type="dxa"/>
            <w:vAlign w:val="center"/>
          </w:tcPr>
          <w:p>
            <w:pPr>
              <w:spacing w:before="20" w:after="20"/>
              <w:jc w:val="left"/>
            </w:pPr>
            <w:r>
              <w:rPr>
                <w:sz w:val="17"/>
                <w:szCs w:val="17"/>
              </w:rPr>
              <w:t xml:space="preserve">—</w:t>
            </w:r>
          </w:p>
        </w:tc>
      </w:tr>
      <w:tr>
        <w:trPr>
          <w:cantSplit/>
        </w:trPr>
        <w:tc>
          <w:tcPr>
            <w:tcW w:w="600" w:type="dxa"/>
            <w:vAlign w:val="center"/>
          </w:tcPr>
          <w:p>
            <w:pPr>
              <w:spacing w:before="20" w:after="20"/>
              <w:jc w:val="center"/>
            </w:pPr>
            <w:r>
              <w:rPr>
                <w:sz w:val="17"/>
                <w:szCs w:val="17"/>
              </w:rPr>
              <w:t xml:space="preserve">30</w:t>
            </w:r>
          </w:p>
        </w:tc>
        <w:tc>
          <w:tcPr>
            <w:tcW w:w="2100" w:type="dxa"/>
            <w:vAlign w:val="center"/>
          </w:tcPr>
          <w:p>
            <w:pPr>
              <w:spacing w:before="20" w:after="20"/>
              <w:jc w:val="left"/>
            </w:pPr>
            <w:r>
              <w:rPr>
                <w:sz w:val="17"/>
                <w:szCs w:val="17"/>
              </w:rPr>
              <w:t xml:space="preserve">Tedarikçi ve Üçüncü Taraf Güvenliği</w:t>
            </w:r>
          </w:p>
        </w:tc>
        <w:tc>
          <w:tcPr>
            <w:tcW w:w="3722" w:type="dxa"/>
            <w:vAlign w:val="center"/>
          </w:tcPr>
          <w:p>
            <w:pPr>
              <w:spacing w:before="20" w:after="20"/>
              <w:jc w:val="left"/>
            </w:pPr>
            <w:r>
              <w:rPr>
                <w:sz w:val="17"/>
                <w:szCs w:val="17"/>
              </w:rPr>
              <w:t xml:space="preserve">Tedarikçilerin sistemlerinize erişimi sürekli açık mı, yoksa sadece gerektiğinde kontrollü ve izlenerek mi açılıyor?</w:t>
            </w:r>
          </w:p>
        </w:tc>
        <w:tc>
          <w:tcPr>
            <w:tcW w:w="1350" w:type="dxa"/>
            <w:vAlign w:val="center"/>
          </w:tcPr>
          <w:p>
            <w:pPr>
              <w:spacing w:before="20" w:after="20"/>
              <w:jc w:val="left"/>
            </w:pPr>
            <w:r>
              <w:rPr>
                <w:sz w:val="17"/>
                <w:szCs w:val="17"/>
              </w:rPr>
              <w:t xml:space="preserve">Tam Yanıtlandı</w:t>
            </w:r>
          </w:p>
        </w:tc>
        <w:tc>
          <w:tcPr>
            <w:tcW w:w="1300" w:type="dxa"/>
            <w:vAlign w:val="center"/>
          </w:tcPr>
          <w:p>
            <w:pPr>
              <w:spacing w:before="20" w:after="20"/>
              <w:jc w:val="left"/>
            </w:pPr>
            <w:r>
              <w:rPr>
                <w:sz w:val="17"/>
                <w:szCs w:val="17"/>
              </w:rPr>
              <w:t xml:space="preserve">—</w:t>
            </w:r>
          </w:p>
        </w:tc>
      </w:tr>
    </w:tbl>
    <w:p>
      <w:pPr>
        <w:spacing w:before="0" w:after="60"/>
      </w:pPr>
      <w:r>
        <w:rPr>
          <w:sz w:val="8"/>
          <w:szCs w:val="8"/>
        </w:rPr>
        <w:t xml:space="preserve"/>
      </w:r>
    </w:p>
    <w:sectPr xmlns:w="http://schemas.openxmlformats.org/wordprocessingml/2006/main" w:rsidR="004207ED">
      <w:headerReference xmlns:r="http://schemas.openxmlformats.org/officeDocument/2006/relationships" w:type="default" r:id="rId9"/>
      <w:footerReference xmlns:r="http://schemas.openxmlformats.org/officeDocument/2006/relationships" w:type="default" r:id="rId10"/>
      <w:headerReference xmlns:r="http://schemas.openxmlformats.org/officeDocument/2006/relationships" w:type="first" r:id="rId11"/>
      <w:footerReference xmlns:r="http://schemas.openxmlformats.org/officeDocument/2006/relationships" w:type="first" r:id="rId12"/>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2BDFF" w14:textId="77777777" w:rsidR="000C4080" w:rsidRDefault="000C4080" w:rsidP="00D35A6D">
      <w:pPr>
        <w:spacing w:after="0"/>
      </w:pPr>
      <w:r>
        <w:separator/>
      </w:r>
    </w:p>
  </w:endnote>
  <w:endnote w:type="continuationSeparator" w:id="0">
    <w:p w14:paraId="5CD17EE2" w14:textId="77777777" w:rsidR="000C4080" w:rsidRDefault="000C4080" w:rsidP="00D35A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839188"/>
      <w:docPartObj>
        <w:docPartGallery w:val="Page Numbers (Bottom of Page)"/>
        <w:docPartUnique/>
      </w:docPartObj>
    </w:sdtPr>
    <w:sdtContent>
      <w:p w14:paraId="614EB5B8" w14:textId="77777777" w:rsidR="00D40D38" w:rsidRDefault="00D40D38">
        <w:pPr>
          <w:pStyle w:val="Footer"/>
          <w:jc w:val="center"/>
        </w:pPr>
      </w:p>
      <w:tbl>
        <w:tblPr>
          <w:tblStyle w:val="TableGridLight"/>
          <w:tblW w:w="0" w:type="auto"/>
          <w:tblLook w:val="04A0" w:firstRow="1" w:lastRow="0" w:firstColumn="1" w:lastColumn="0" w:noHBand="0" w:noVBand="1"/>
        </w:tblPr>
        <w:tblGrid>
          <w:gridCol w:w="1530"/>
          <w:gridCol w:w="6655"/>
          <w:gridCol w:w="877"/>
        </w:tblGrid>
        <w:tr w:rsidR="00D40D38" w14:paraId="1D3C5C94" w14:textId="77777777" w:rsidTr="004E3439">
          <w:tc>
            <w:tcPr>
              <w:tcW w:w="1530" w:type="dxa"/>
            </w:tcPr>
            <w:p w14:paraId="505229E7" w14:textId="77777777" w:rsidR="00D40D38" w:rsidRDefault="00D40D38" w:rsidP="00D40D38">
              <w:pPr>
                <w:jc w:val="center"/>
                <w:rPr>
                  <w:sz w:val="18"/>
                  <w:szCs w:val="18"/>
                  <w:shd w:val="clear" w:color="auto" w:fill="FFFFFF"/>
                </w:rPr>
              </w:pPr>
              <w:r>
                <w:drawing>
                  <wp:inline distT="0" distB="0" distL="0" distR="0" wp14:anchorId="2FB85F9A" wp14:editId="4F385583">
                    <wp:extent cx="752475" cy="508871"/>
                    <wp:effectExtent l="0" t="0" r="0" b="5715"/>
                    <wp:docPr id="1276276523" name="Resim 1764584380" descr="log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764584380" descr="logo içeren bir resim&#10;&#10;Açıklama otomatik olarak oluşturuldu"/>
                            <pic:cNvPicPr>
                              <a:picLocks noChangeAspect="1" noChangeArrowheads="1"/>
                            </pic:cNvPicPr>
                          </pic:nvPicPr>
                          <pic:blipFill>
                            <a:blip r:embed="rId1"/>
                            <a:stretch>
                              <a:fillRect/>
                            </a:stretch>
                          </pic:blipFill>
                          <pic:spPr bwMode="auto">
                            <a:xfrm>
                              <a:off x="0" y="0"/>
                              <a:ext cx="755094" cy="510642"/>
                            </a:xfrm>
                            <a:prstGeom prst="rect">
                              <a:avLst/>
                            </a:prstGeom>
                          </pic:spPr>
                        </pic:pic>
                      </a:graphicData>
                    </a:graphic>
                  </wp:inline>
                </w:drawing>
              </w:r>
            </w:p>
          </w:tc>
          <w:tc>
            <w:tcPr>
              <w:tcW w:w="6655" w:type="dxa"/>
              <w:vAlign w:val="center"/>
            </w:tcPr>
            <w:p w14:paraId="7B1E6020" w14:textId="77777777" w:rsidR="00D40D38" w:rsidRPr="00D40D38" w:rsidRDefault="00D40D38" w:rsidP="00D40D38">
              <w:pPr>
                <w:jc w:val="center"/>
                <w:rPr>
                  <w:sz w:val="18"/>
                  <w:szCs w:val="18"/>
                  <w:shd w:val="clear" w:color="auto" w:fill="FFFFFF"/>
                </w:rPr>
              </w:pPr>
              <w:r w:rsidRPr="00D40D38">
                <w:rPr>
                  <w:sz w:val="18"/>
                  <w:szCs w:val="18"/>
                  <w:shd w:val="clear" w:color="auto" w:fill="FFFFFF"/>
                </w:rPr>
                <w:t>CyberArts Siber Güvenlik ve Danışmanlık A.Ş.</w:t>
              </w:r>
            </w:p>
            <w:p w14:paraId="575AAA54" w14:textId="77777777" w:rsidR="00D40D38" w:rsidRPr="00D40D38" w:rsidRDefault="00D40D38" w:rsidP="00D40D38">
              <w:pPr>
                <w:jc w:val="center"/>
                <w:rPr>
                  <w:sz w:val="18"/>
                  <w:szCs w:val="18"/>
                  <w:shd w:val="clear" w:color="auto" w:fill="FFFFFF"/>
                </w:rPr>
              </w:pPr>
              <w:proofErr w:type="spellStart"/>
              <w:r w:rsidRPr="00D40D38">
                <w:rPr>
                  <w:sz w:val="18"/>
                  <w:szCs w:val="18"/>
                  <w:shd w:val="clear" w:color="auto" w:fill="FFFFFF"/>
                </w:rPr>
                <w:t>Quasar</w:t>
              </w:r>
              <w:proofErr w:type="spellEnd"/>
              <w:r w:rsidRPr="00D40D38">
                <w:rPr>
                  <w:sz w:val="18"/>
                  <w:szCs w:val="18"/>
                  <w:shd w:val="clear" w:color="auto" w:fill="FFFFFF"/>
                </w:rPr>
                <w:t xml:space="preserve"> İstanbul Fulya Mah. Büyükdere Cad. No: 76, 34394 Mecidiyeköy Şişli – İSTANBUL</w:t>
              </w:r>
            </w:p>
            <w:p w14:paraId="4C453859" w14:textId="77777777" w:rsidR="00D40D38" w:rsidRPr="00D40D38" w:rsidRDefault="00D40D38" w:rsidP="00D40D38">
              <w:pPr>
                <w:jc w:val="center"/>
                <w:rPr>
                  <w:sz w:val="18"/>
                  <w:szCs w:val="18"/>
                </w:rPr>
              </w:pPr>
              <w:r w:rsidRPr="00D40D38">
                <w:rPr>
                  <w:sz w:val="18"/>
                  <w:szCs w:val="18"/>
                </w:rPr>
                <w:t xml:space="preserve">info@cyberartspro.com / </w:t>
              </w:r>
              <w:hyperlink r:id="rId2" w:history="1">
                <w:r w:rsidRPr="00D40D38">
                  <w:rPr>
                    <w:rStyle w:val="Hyperlink"/>
                    <w:sz w:val="18"/>
                    <w:szCs w:val="18"/>
                  </w:rPr>
                  <w:t>www.cyberartspro.com</w:t>
                </w:r>
              </w:hyperlink>
            </w:p>
          </w:tc>
          <w:tc>
            <w:tcPr>
              <w:tcW w:w="877" w:type="dxa"/>
              <w:vAlign w:val="center"/>
            </w:tcPr>
            <w:sdt>
              <w:sdtPr>
                <w:id w:val="1195117948"/>
                <w:docPartObj>
                  <w:docPartGallery w:val="Page Numbers (Bottom of Page)"/>
                  <w:docPartUnique/>
                </w:docPartObj>
              </w:sdtPr>
              <w:sdtContent>
                <w:p w14:paraId="168F9463" w14:textId="77777777" w:rsidR="00D40D38" w:rsidRPr="00D40D38" w:rsidRDefault="00D40D38" w:rsidP="00D40D38">
                  <w:pPr>
                    <w:pStyle w:val="Footer"/>
                    <w:jc w:val="center"/>
                  </w:pPr>
                  <w:r>
                    <w:fldChar w:fldCharType="begin"/>
                  </w:r>
                  <w:r>
                    <w:instrText xml:space="preserve"> PAGE   \* MERGEFORMAT </w:instrText>
                  </w:r>
                  <w:r>
                    <w:fldChar w:fldCharType="separate"/>
                  </w:r>
                  <w:r>
                    <w:t>2</w:t>
                  </w:r>
                  <w:r>
                    <w:fldChar w:fldCharType="end"/>
                  </w:r>
                </w:p>
              </w:sdtContent>
            </w:sdt>
          </w:tc>
        </w:tr>
      </w:tbl>
      <w:p w14:paraId="7AAAA608" w14:textId="4302E66D" w:rsidR="004207ED" w:rsidRDefault="00000000">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E04E" w14:textId="77777777" w:rsidR="00D40D38" w:rsidRDefault="00D40D38" w:rsidP="00D40D38">
    <w:pPr>
      <w:spacing w:after="0"/>
      <w:jc w:val="center"/>
      <w:rPr>
        <w:sz w:val="18"/>
        <w:szCs w:val="18"/>
        <w:shd w:val="clear" w:color="auto" w:fill="FFFFFF"/>
      </w:rPr>
    </w:pPr>
  </w:p>
  <w:tbl>
    <w:tblPr>
      <w:tblStyle w:val="TableGridLight"/>
      <w:tblW w:w="0" w:type="auto"/>
      <w:tblLook w:val="04A0" w:firstRow="1" w:lastRow="0" w:firstColumn="1" w:lastColumn="0" w:noHBand="0" w:noVBand="1"/>
    </w:tblPr>
    <w:tblGrid>
      <w:gridCol w:w="1530"/>
      <w:gridCol w:w="6655"/>
      <w:gridCol w:w="877"/>
    </w:tblGrid>
    <w:tr w:rsidR="00D40D38" w14:paraId="7763ADC7" w14:textId="13EA3E57" w:rsidTr="00D40D38">
      <w:tc>
        <w:tcPr>
          <w:tcW w:w="1530" w:type="dxa"/>
        </w:tcPr>
        <w:p w14:paraId="488C1B89" w14:textId="45510271" w:rsidR="00D40D38" w:rsidRDefault="00D40D38" w:rsidP="00D40D38">
          <w:pPr>
            <w:jc w:val="center"/>
            <w:rPr>
              <w:sz w:val="18"/>
              <w:szCs w:val="18"/>
              <w:shd w:val="clear" w:color="auto" w:fill="FFFFFF"/>
            </w:rPr>
          </w:pPr>
          <w:r>
            <w:drawing>
              <wp:inline distT="0" distB="0" distL="0" distR="0" wp14:anchorId="4FD785F7" wp14:editId="1A3B2834">
                <wp:extent cx="752475" cy="508871"/>
                <wp:effectExtent l="0" t="0" r="0" b="5715"/>
                <wp:docPr id="2" name="Resim 1764584380" descr="log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764584380" descr="logo içeren bir resim&#10;&#10;Açıklama otomatik olarak oluşturuldu"/>
                        <pic:cNvPicPr>
                          <a:picLocks noChangeAspect="1" noChangeArrowheads="1"/>
                        </pic:cNvPicPr>
                      </pic:nvPicPr>
                      <pic:blipFill>
                        <a:blip r:embed="rId1"/>
                        <a:stretch>
                          <a:fillRect/>
                        </a:stretch>
                      </pic:blipFill>
                      <pic:spPr bwMode="auto">
                        <a:xfrm>
                          <a:off x="0" y="0"/>
                          <a:ext cx="755094" cy="510642"/>
                        </a:xfrm>
                        <a:prstGeom prst="rect">
                          <a:avLst/>
                        </a:prstGeom>
                      </pic:spPr>
                    </pic:pic>
                  </a:graphicData>
                </a:graphic>
              </wp:inline>
            </w:drawing>
          </w:r>
        </w:p>
      </w:tc>
      <w:tc>
        <w:tcPr>
          <w:tcW w:w="6655" w:type="dxa"/>
          <w:vAlign w:val="center"/>
        </w:tcPr>
        <w:p w14:paraId="164940A8" w14:textId="77777777" w:rsidR="00D40D38" w:rsidRPr="00D40D38" w:rsidRDefault="00D40D38" w:rsidP="00D40D38">
          <w:pPr>
            <w:jc w:val="center"/>
            <w:rPr>
              <w:sz w:val="18"/>
              <w:szCs w:val="18"/>
              <w:shd w:val="clear" w:color="auto" w:fill="FFFFFF"/>
            </w:rPr>
          </w:pPr>
          <w:r w:rsidRPr="00D40D38">
            <w:rPr>
              <w:sz w:val="18"/>
              <w:szCs w:val="18"/>
              <w:shd w:val="clear" w:color="auto" w:fill="FFFFFF"/>
            </w:rPr>
            <w:t>CyberArts Siber Güvenlik ve Danışmanlık A.Ş.</w:t>
          </w:r>
        </w:p>
        <w:p w14:paraId="134226A7" w14:textId="77777777" w:rsidR="00D40D38" w:rsidRPr="00D40D38" w:rsidRDefault="00D40D38" w:rsidP="00D40D38">
          <w:pPr>
            <w:jc w:val="center"/>
            <w:rPr>
              <w:sz w:val="18"/>
              <w:szCs w:val="18"/>
              <w:shd w:val="clear" w:color="auto" w:fill="FFFFFF"/>
            </w:rPr>
          </w:pPr>
          <w:proofErr w:type="spellStart"/>
          <w:r w:rsidRPr="00D40D38">
            <w:rPr>
              <w:sz w:val="18"/>
              <w:szCs w:val="18"/>
              <w:shd w:val="clear" w:color="auto" w:fill="FFFFFF"/>
            </w:rPr>
            <w:t>Quasar</w:t>
          </w:r>
          <w:proofErr w:type="spellEnd"/>
          <w:r w:rsidRPr="00D40D38">
            <w:rPr>
              <w:sz w:val="18"/>
              <w:szCs w:val="18"/>
              <w:shd w:val="clear" w:color="auto" w:fill="FFFFFF"/>
            </w:rPr>
            <w:t xml:space="preserve"> İstanbul Fulya Mah. Büyükdere Cad. No: 76, 34394 Mecidiyeköy Şişli – İSTANBUL</w:t>
          </w:r>
        </w:p>
        <w:p w14:paraId="42093C86" w14:textId="644BF7FA" w:rsidR="00D40D38" w:rsidRPr="00D40D38" w:rsidRDefault="00D40D38" w:rsidP="00D40D38">
          <w:pPr>
            <w:jc w:val="center"/>
            <w:rPr>
              <w:sz w:val="18"/>
              <w:szCs w:val="18"/>
            </w:rPr>
          </w:pPr>
          <w:r w:rsidRPr="00D40D38">
            <w:rPr>
              <w:sz w:val="18"/>
              <w:szCs w:val="18"/>
            </w:rPr>
            <w:t xml:space="preserve">info@cyberartspro.com / </w:t>
          </w:r>
          <w:hyperlink r:id="rId2" w:history="1">
            <w:r w:rsidRPr="00D40D38">
              <w:rPr>
                <w:rStyle w:val="Hyperlink"/>
                <w:sz w:val="18"/>
                <w:szCs w:val="18"/>
              </w:rPr>
              <w:t>www.cyberartspro.com</w:t>
            </w:r>
          </w:hyperlink>
        </w:p>
      </w:tc>
      <w:tc>
        <w:tcPr>
          <w:tcW w:w="877" w:type="dxa"/>
          <w:vAlign w:val="center"/>
        </w:tcPr>
        <w:sdt>
          <w:sdtPr>
            <w:id w:val="-1250115552"/>
            <w:docPartObj>
              <w:docPartGallery w:val="Page Numbers (Bottom of Page)"/>
              <w:docPartUnique/>
            </w:docPartObj>
          </w:sdtPr>
          <w:sdtContent>
            <w:p w14:paraId="1C664EB3" w14:textId="4639AA5C" w:rsidR="00D40D38" w:rsidRPr="00D40D38" w:rsidRDefault="00D40D38" w:rsidP="00D40D38">
              <w:pPr>
                <w:pStyle w:val="Footer"/>
                <w:jc w:val="center"/>
              </w:pPr>
              <w:r>
                <w:fldChar w:fldCharType="begin"/>
              </w:r>
              <w:r>
                <w:instrText xml:space="preserve"> PAGE   \* MERGEFORMAT </w:instrText>
              </w:r>
              <w:r>
                <w:fldChar w:fldCharType="separate"/>
              </w:r>
              <w:r>
                <w:t>2</w:t>
              </w:r>
              <w:r>
                <w:fldChar w:fldCharType="end"/>
              </w:r>
            </w:p>
          </w:sdtContent>
        </w:sdt>
      </w:tc>
    </w:tr>
  </w:tbl>
  <w:p w14:paraId="158718D6" w14:textId="1EAAB75E" w:rsidR="00D40D38" w:rsidRPr="00D40D38" w:rsidRDefault="00D40D38" w:rsidP="00D40D38">
    <w:pPr>
      <w:spacing w:after="0"/>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58F0B" w14:textId="77777777" w:rsidR="000C4080" w:rsidRDefault="000C4080" w:rsidP="00D35A6D">
      <w:pPr>
        <w:spacing w:after="0"/>
      </w:pPr>
      <w:r>
        <w:separator/>
      </w:r>
    </w:p>
  </w:footnote>
  <w:footnote w:type="continuationSeparator" w:id="0">
    <w:p w14:paraId="18617F22" w14:textId="77777777" w:rsidR="000C4080" w:rsidRDefault="000C4080" w:rsidP="00D35A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23D3" w14:textId="0234F96A" w:rsidR="00D40D38" w:rsidRDefault="00D40D38">
    <w:pPr>
      <w:pStyle w:val="Header"/>
    </w:pPr>
  </w:p>
  <w:p w14:paraId="13C9F259" w14:textId="77777777" w:rsidR="00D40D38" w:rsidRDefault="00D40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6E0C64F6E86045FAA7B5DF2636BF8871"/>
      </w:placeholder>
      <w:temporary/>
      <w:showingPlcHdr/>
      <w15:appearance w15:val="hidden"/>
    </w:sdtPr>
    <w:sdtContent>
      <w:p w14:paraId="7D495D65" w14:textId="77777777" w:rsidR="00D40D38" w:rsidRDefault="00D40D38">
        <w:pPr>
          <w:pStyle w:val="Header"/>
        </w:pPr>
        <w:r>
          <w:t>[Type here]</w:t>
        </w:r>
      </w:p>
    </w:sdtContent>
  </w:sdt>
  <w:p w14:paraId="4D468D64" w14:textId="77777777" w:rsidR="00D40D38" w:rsidRDefault="00D40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B1F"/>
    <w:multiLevelType w:val="hybridMultilevel"/>
    <w:tmpl w:val="A4C83890"/>
    <w:lvl w:ilvl="0" w:tplc="7A14DC50">
      <w:start w:val="1"/>
      <w:numFmt w:val="bullet"/>
      <w:pStyle w:val="Bullet"/>
      <w:lvlText w:val=""/>
      <w:lvlJc w:val="left"/>
      <w:pPr>
        <w:ind w:left="360" w:hanging="360"/>
      </w:pPr>
      <w:rPr>
        <w:rFonts w:ascii="Symbol" w:hAnsi="Symbol" w:hint="default"/>
      </w:rPr>
    </w:lvl>
    <w:lvl w:ilvl="1" w:tplc="041F0003" w:tentative="1">
      <w:start w:val="1"/>
      <w:numFmt w:val="bullet"/>
      <w:lvlText w:val="o"/>
      <w:lvlJc w:val="left"/>
      <w:pPr>
        <w:ind w:left="720" w:hanging="360"/>
      </w:pPr>
      <w:rPr>
        <w:rFonts w:ascii="Courier New" w:hAnsi="Courier New" w:hint="default"/>
      </w:rPr>
    </w:lvl>
    <w:lvl w:ilvl="2" w:tplc="041F0005" w:tentative="1">
      <w:start w:val="1"/>
      <w:numFmt w:val="bullet"/>
      <w:lvlText w:val=""/>
      <w:lvlJc w:val="left"/>
      <w:pPr>
        <w:ind w:left="1080" w:hanging="360"/>
      </w:pPr>
      <w:rPr>
        <w:rFonts w:ascii="Wingdings" w:hAnsi="Wingdings" w:hint="default"/>
      </w:rPr>
    </w:lvl>
    <w:lvl w:ilvl="3" w:tplc="041F0001" w:tentative="1">
      <w:start w:val="1"/>
      <w:numFmt w:val="bullet"/>
      <w:lvlText w:val=""/>
      <w:lvlJc w:val="left"/>
      <w:pPr>
        <w:ind w:left="1440" w:hanging="360"/>
      </w:pPr>
      <w:rPr>
        <w:rFonts w:ascii="Symbol" w:hAnsi="Symbol" w:hint="default"/>
      </w:rPr>
    </w:lvl>
    <w:lvl w:ilvl="4" w:tplc="041F0003" w:tentative="1">
      <w:start w:val="1"/>
      <w:numFmt w:val="bullet"/>
      <w:lvlText w:val="o"/>
      <w:lvlJc w:val="left"/>
      <w:pPr>
        <w:ind w:left="1800" w:hanging="360"/>
      </w:pPr>
      <w:rPr>
        <w:rFonts w:ascii="Courier New" w:hAnsi="Courier New" w:hint="default"/>
      </w:rPr>
    </w:lvl>
    <w:lvl w:ilvl="5" w:tplc="041F0005" w:tentative="1">
      <w:start w:val="1"/>
      <w:numFmt w:val="bullet"/>
      <w:lvlText w:val=""/>
      <w:lvlJc w:val="left"/>
      <w:pPr>
        <w:ind w:left="2160" w:hanging="360"/>
      </w:pPr>
      <w:rPr>
        <w:rFonts w:ascii="Wingdings" w:hAnsi="Wingdings" w:hint="default"/>
      </w:rPr>
    </w:lvl>
    <w:lvl w:ilvl="6" w:tplc="041F0001" w:tentative="1">
      <w:start w:val="1"/>
      <w:numFmt w:val="bullet"/>
      <w:lvlText w:val=""/>
      <w:lvlJc w:val="left"/>
      <w:pPr>
        <w:ind w:left="2520" w:hanging="360"/>
      </w:pPr>
      <w:rPr>
        <w:rFonts w:ascii="Symbol" w:hAnsi="Symbol" w:hint="default"/>
      </w:rPr>
    </w:lvl>
    <w:lvl w:ilvl="7" w:tplc="041F0003" w:tentative="1">
      <w:start w:val="1"/>
      <w:numFmt w:val="bullet"/>
      <w:lvlText w:val="o"/>
      <w:lvlJc w:val="left"/>
      <w:pPr>
        <w:ind w:left="2880" w:hanging="360"/>
      </w:pPr>
      <w:rPr>
        <w:rFonts w:ascii="Courier New" w:hAnsi="Courier New" w:hint="default"/>
      </w:rPr>
    </w:lvl>
    <w:lvl w:ilvl="8" w:tplc="041F0005" w:tentative="1">
      <w:start w:val="1"/>
      <w:numFmt w:val="bullet"/>
      <w:lvlText w:val=""/>
      <w:lvlJc w:val="left"/>
      <w:pPr>
        <w:ind w:left="3240" w:hanging="360"/>
      </w:pPr>
      <w:rPr>
        <w:rFonts w:ascii="Wingdings" w:hAnsi="Wingdings" w:hint="default"/>
      </w:rPr>
    </w:lvl>
  </w:abstractNum>
  <w:abstractNum w:abstractNumId="1" w15:restartNumberingAfterBreak="0">
    <w:nsid w:val="0D192D41"/>
    <w:multiLevelType w:val="multilevel"/>
    <w:tmpl w:val="C0C28D54"/>
    <w:lvl w:ilvl="0">
      <w:start w:val="1"/>
      <w:numFmt w:val="decimal"/>
      <w:pStyle w:val="Heading1"/>
      <w:suff w:val="space"/>
      <w:lvlText w:val="%1."/>
      <w:lvlJc w:val="left"/>
      <w:pPr>
        <w:ind w:left="0" w:firstLine="0"/>
      </w:pPr>
      <w:rPr>
        <w:rFonts w:hint="default"/>
        <w:b/>
        <w:bCs/>
      </w:rPr>
    </w:lvl>
    <w:lvl w:ilvl="1">
      <w:start w:val="1"/>
      <w:numFmt w:val="decimal"/>
      <w:pStyle w:val="Heading2"/>
      <w:isLgl/>
      <w:suff w:val="space"/>
      <w:lvlText w:val="%1.%2."/>
      <w:lvlJc w:val="left"/>
      <w:pPr>
        <w:ind w:left="0" w:firstLine="0"/>
      </w:pPr>
      <w:rPr>
        <w:rFonts w:hint="default"/>
        <w:b/>
        <w:bCs/>
      </w:rPr>
    </w:lvl>
    <w:lvl w:ilvl="2">
      <w:start w:val="1"/>
      <w:numFmt w:val="decimal"/>
      <w:pStyle w:val="Heading3"/>
      <w:isLgl/>
      <w:suff w:val="space"/>
      <w:lvlText w:val="%1.%2.%3."/>
      <w:lvlJc w:val="left"/>
      <w:pPr>
        <w:ind w:left="0" w:firstLine="0"/>
      </w:pPr>
      <w:rPr>
        <w:rFonts w:hint="default"/>
        <w:b/>
        <w:bCs/>
      </w:rPr>
    </w:lvl>
    <w:lvl w:ilvl="3">
      <w:start w:val="1"/>
      <w:numFmt w:val="decimal"/>
      <w:pStyle w:val="Heading4"/>
      <w:isLgl/>
      <w:suff w:val="space"/>
      <w:lvlText w:val="%1.%2.%3.%4."/>
      <w:lvlJc w:val="left"/>
      <w:pPr>
        <w:ind w:left="0" w:firstLine="0"/>
      </w:pPr>
      <w:rPr>
        <w:rFonts w:hint="default"/>
        <w:b/>
        <w:bCs/>
      </w:rPr>
    </w:lvl>
    <w:lvl w:ilvl="4">
      <w:start w:val="1"/>
      <w:numFmt w:val="decimal"/>
      <w:pStyle w:val="Heading5"/>
      <w:isLgl/>
      <w:suff w:val="space"/>
      <w:lvlText w:val="%1.%2.%3.%4.%5."/>
      <w:lvlJc w:val="left"/>
      <w:pPr>
        <w:ind w:left="0" w:firstLine="0"/>
      </w:pPr>
      <w:rPr>
        <w:rFonts w:hint="default"/>
        <w:b/>
        <w:bCs/>
      </w:rPr>
    </w:lvl>
    <w:lvl w:ilvl="5">
      <w:start w:val="1"/>
      <w:numFmt w:val="decimal"/>
      <w:pStyle w:val="Heading6"/>
      <w:isLgl/>
      <w:suff w:val="space"/>
      <w:lvlText w:val="%1.%2.%3.%4.%5.%6."/>
      <w:lvlJc w:val="left"/>
      <w:pPr>
        <w:ind w:left="0" w:firstLine="0"/>
      </w:pPr>
      <w:rPr>
        <w:rFonts w:hint="default"/>
        <w:b/>
        <w:bCs/>
      </w:rPr>
    </w:lvl>
    <w:lvl w:ilvl="6">
      <w:start w:val="1"/>
      <w:numFmt w:val="decimal"/>
      <w:pStyle w:val="Heading7"/>
      <w:isLgl/>
      <w:suff w:val="space"/>
      <w:lvlText w:val="%1.%2.%3.%4.%5.%6.%7."/>
      <w:lvlJc w:val="left"/>
      <w:pPr>
        <w:ind w:left="0" w:firstLine="0"/>
      </w:pPr>
      <w:rPr>
        <w:rFonts w:hint="default"/>
      </w:rPr>
    </w:lvl>
    <w:lvl w:ilvl="7">
      <w:start w:val="1"/>
      <w:numFmt w:val="decimal"/>
      <w:pStyle w:val="Heading8"/>
      <w:isLgl/>
      <w:suff w:val="space"/>
      <w:lvlText w:val="%1.%2.%3.%4.%5.%6.%7.%8."/>
      <w:lvlJc w:val="left"/>
      <w:pPr>
        <w:ind w:left="0" w:firstLine="0"/>
      </w:pPr>
      <w:rPr>
        <w:rFonts w:hint="default"/>
      </w:rPr>
    </w:lvl>
    <w:lvl w:ilvl="8">
      <w:start w:val="1"/>
      <w:numFmt w:val="decimal"/>
      <w:pStyle w:val="Heading9"/>
      <w:isLgl/>
      <w:suff w:val="space"/>
      <w:lvlText w:val="%1.%2.%3.%4.%5.%6.%7.%8.%9."/>
      <w:lvlJc w:val="left"/>
      <w:pPr>
        <w:ind w:left="0" w:firstLine="0"/>
      </w:pPr>
      <w:rPr>
        <w:rFonts w:hint="default"/>
      </w:rPr>
    </w:lvl>
  </w:abstractNum>
  <w:num w:numId="1" w16cid:durableId="721638035">
    <w:abstractNumId w:val="1"/>
  </w:num>
  <w:num w:numId="2" w16cid:durableId="142464310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09"/>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8F"/>
    <w:rsid w:val="000C4080"/>
    <w:rsid w:val="004207ED"/>
    <w:rsid w:val="00784C37"/>
    <w:rsid w:val="007B5F8B"/>
    <w:rsid w:val="00A23365"/>
    <w:rsid w:val="00A82A0F"/>
    <w:rsid w:val="00BF518F"/>
    <w:rsid w:val="00D40D38"/>
    <w:rsid w:val="00FE331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7888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link w:val="Heading1Char"/>
    <w:uiPriority w:val="9"/>
    <w:qFormat/>
    <w:pPr>
      <w:keepNext/>
      <w:keepLines/>
      <w:numPr>
        <w:numId w:val="1"/>
      </w:numPr>
      <w:spacing w:before="360"/>
      <w:jc w:val="left"/>
      <w:outlineLvl w:val="0"/>
    </w:pPr>
    <w:rPr>
      <w:b/>
      <w:bCs/>
      <w:sz w:val="28"/>
      <w:szCs w:val="28"/>
    </w:rPr>
  </w:style>
  <w:style w:type="paragraph" w:styleId="Heading2">
    <w:name w:val="heading 2"/>
    <w:basedOn w:val="Normal"/>
    <w:next w:val="Normal"/>
    <w:link w:val="Heading2Char"/>
    <w:uiPriority w:val="9"/>
    <w:qFormat/>
    <w:pPr>
      <w:keepNext/>
      <w:keepLines/>
      <w:numPr>
        <w:ilvl w:val="1"/>
        <w:numId w:val="1"/>
      </w:numPr>
      <w:spacing w:before="280"/>
      <w:jc w:val="left"/>
      <w:outlineLvl w:val="1"/>
    </w:pPr>
    <w:rPr>
      <w:b/>
      <w:bCs/>
      <w:sz w:val="26"/>
      <w:szCs w:val="26"/>
    </w:rPr>
  </w:style>
  <w:style w:type="paragraph" w:styleId="Heading3">
    <w:name w:val="heading 3"/>
    <w:basedOn w:val="Normal"/>
    <w:next w:val="Normal"/>
    <w:link w:val="Heading3Char"/>
    <w:uiPriority w:val="9"/>
    <w:qFormat/>
    <w:pPr>
      <w:keepNext/>
      <w:keepLines/>
      <w:numPr>
        <w:ilvl w:val="2"/>
        <w:numId w:val="1"/>
      </w:numPr>
      <w:spacing w:before="240"/>
      <w:jc w:val="left"/>
      <w:outlineLvl w:val="2"/>
    </w:pPr>
    <w:rPr>
      <w:b/>
      <w:bCs/>
      <w:sz w:val="24"/>
      <w:szCs w:val="24"/>
    </w:rPr>
  </w:style>
  <w:style w:type="paragraph" w:styleId="Heading4">
    <w:name w:val="heading 4"/>
    <w:basedOn w:val="Normal"/>
    <w:next w:val="Normal"/>
    <w:link w:val="Heading4Char"/>
    <w:uiPriority w:val="9"/>
    <w:qFormat/>
    <w:pPr>
      <w:keepNext/>
      <w:keepLines/>
      <w:numPr>
        <w:ilvl w:val="3"/>
        <w:numId w:val="1"/>
      </w:numPr>
      <w:spacing w:before="200"/>
      <w:jc w:val="left"/>
      <w:outlineLvl w:val="3"/>
    </w:pPr>
    <w:rPr>
      <w:b/>
      <w:bCs/>
    </w:rPr>
  </w:style>
  <w:style w:type="paragraph" w:styleId="Heading5">
    <w:name w:val="heading 5"/>
    <w:basedOn w:val="Normal"/>
    <w:next w:val="Normal"/>
    <w:link w:val="Heading5Char"/>
    <w:uiPriority w:val="9"/>
    <w:qFormat/>
    <w:pPr>
      <w:keepNext/>
      <w:keepLines/>
      <w:numPr>
        <w:ilvl w:val="4"/>
        <w:numId w:val="1"/>
      </w:numPr>
      <w:spacing w:before="160"/>
      <w:jc w:val="left"/>
      <w:outlineLvl w:val="4"/>
    </w:pPr>
    <w:rPr>
      <w:b/>
      <w:bCs/>
    </w:rPr>
  </w:style>
  <w:style w:type="paragraph" w:styleId="Heading6">
    <w:name w:val="heading 6"/>
    <w:basedOn w:val="Normal"/>
    <w:next w:val="Normal"/>
    <w:link w:val="Heading6Char"/>
    <w:uiPriority w:val="9"/>
    <w:qFormat/>
    <w:pPr>
      <w:keepNext/>
      <w:keepLines/>
      <w:numPr>
        <w:ilvl w:val="5"/>
        <w:numId w:val="1"/>
      </w:numPr>
      <w:spacing w:before="160"/>
      <w:jc w:val="left"/>
      <w:outlineLvl w:val="5"/>
    </w:pPr>
    <w:rPr>
      <w:b/>
      <w:bCs/>
    </w:rPr>
  </w:style>
  <w:style w:type="paragraph" w:styleId="Heading7">
    <w:name w:val="heading 7"/>
    <w:basedOn w:val="Normal"/>
    <w:next w:val="Normal"/>
    <w:link w:val="Heading7Char"/>
    <w:uiPriority w:val="9"/>
    <w:qFormat/>
    <w:pPr>
      <w:keepNext/>
      <w:keepLines/>
      <w:numPr>
        <w:ilvl w:val="6"/>
        <w:numId w:val="1"/>
      </w:numPr>
      <w:spacing w:before="160"/>
      <w:jc w:val="left"/>
      <w:outlineLvl w:val="6"/>
    </w:pPr>
    <w:rPr>
      <w:b/>
      <w:bCs/>
    </w:rPr>
  </w:style>
  <w:style w:type="paragraph" w:styleId="Heading8">
    <w:name w:val="heading 8"/>
    <w:basedOn w:val="Normal"/>
    <w:next w:val="Normal"/>
    <w:link w:val="Heading8Char"/>
    <w:uiPriority w:val="9"/>
    <w:qFormat/>
    <w:pPr>
      <w:keepNext/>
      <w:keepLines/>
      <w:numPr>
        <w:ilvl w:val="7"/>
        <w:numId w:val="1"/>
      </w:numPr>
      <w:spacing w:before="160"/>
      <w:jc w:val="left"/>
      <w:outlineLvl w:val="7"/>
    </w:pPr>
    <w:rPr>
      <w:b/>
      <w:bCs/>
    </w:rPr>
  </w:style>
  <w:style w:type="paragraph" w:styleId="Heading9">
    <w:name w:val="heading 9"/>
    <w:basedOn w:val="Normal"/>
    <w:next w:val="Normal"/>
    <w:link w:val="Heading9Char"/>
    <w:uiPriority w:val="9"/>
    <w:qFormat/>
    <w:pPr>
      <w:keepNext/>
      <w:keepLines/>
      <w:numPr>
        <w:ilvl w:val="8"/>
        <w:numId w:val="1"/>
      </w:numPr>
      <w:spacing w:before="160"/>
      <w:jc w:val="left"/>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w:eastAsia="Calibri" w:hAnsi="Calibri" w:cs="Calibri"/>
      <w:b/>
      <w:bCs/>
      <w:sz w:val="28"/>
      <w:szCs w:val="28"/>
    </w:rPr>
  </w:style>
  <w:style w:type="character" w:customStyle="1" w:styleId="Heading2Char">
    <w:name w:val="Heading 2 Char"/>
    <w:basedOn w:val="DefaultParagraphFont"/>
    <w:link w:val="Heading2"/>
    <w:uiPriority w:val="9"/>
    <w:rPr>
      <w:rFonts w:ascii="Calibri" w:eastAsia="Calibri" w:hAnsi="Calibri" w:cs="Calibri"/>
      <w:b/>
      <w:bCs/>
      <w:sz w:val="26"/>
      <w:szCs w:val="26"/>
    </w:rPr>
  </w:style>
  <w:style w:type="character" w:customStyle="1" w:styleId="Heading3Char">
    <w:name w:val="Heading 3 Char"/>
    <w:basedOn w:val="DefaultParagraphFont"/>
    <w:link w:val="Heading3"/>
    <w:uiPriority w:val="9"/>
    <w:rPr>
      <w:rFonts w:ascii="Calibri" w:eastAsia="Calibri" w:hAnsi="Calibri" w:cs="Calibri"/>
      <w:b/>
      <w:bCs/>
      <w:sz w:val="24"/>
      <w:szCs w:val="24"/>
    </w:rPr>
  </w:style>
  <w:style w:type="character" w:customStyle="1" w:styleId="Heading4Char">
    <w:name w:val="Heading 4 Char"/>
    <w:basedOn w:val="DefaultParagraphFont"/>
    <w:link w:val="Heading4"/>
    <w:uiPriority w:val="9"/>
    <w:rPr>
      <w:rFonts w:ascii="Calibri" w:eastAsia="Calibri" w:hAnsi="Calibri" w:cs="Calibri"/>
      <w:b/>
      <w:bCs/>
      <w:sz w:val="22"/>
      <w:szCs w:val="22"/>
    </w:rPr>
  </w:style>
  <w:style w:type="character" w:customStyle="1" w:styleId="Heading5Char">
    <w:name w:val="Heading 5 Char"/>
    <w:basedOn w:val="DefaultParagraphFont"/>
    <w:link w:val="Heading5"/>
    <w:uiPriority w:val="9"/>
    <w:rPr>
      <w:rFonts w:ascii="Calibri" w:eastAsia="Calibri" w:hAnsi="Calibri" w:cs="Calibri"/>
      <w:b/>
      <w:bCs/>
      <w:sz w:val="22"/>
      <w:szCs w:val="22"/>
    </w:rPr>
  </w:style>
  <w:style w:type="character" w:customStyle="1" w:styleId="Heading6Char">
    <w:name w:val="Heading 6 Char"/>
    <w:basedOn w:val="DefaultParagraphFont"/>
    <w:link w:val="Heading6"/>
    <w:uiPriority w:val="9"/>
    <w:rPr>
      <w:rFonts w:ascii="Calibri" w:eastAsia="Calibri" w:hAnsi="Calibri" w:cs="Calibri"/>
      <w:b/>
      <w:bCs/>
      <w:sz w:val="22"/>
      <w:szCs w:val="22"/>
    </w:rPr>
  </w:style>
  <w:style w:type="character" w:customStyle="1" w:styleId="Heading7Char">
    <w:name w:val="Heading 7 Char"/>
    <w:basedOn w:val="DefaultParagraphFont"/>
    <w:link w:val="Heading7"/>
    <w:uiPriority w:val="9"/>
    <w:rPr>
      <w:rFonts w:ascii="Calibri" w:eastAsia="Calibri" w:hAnsi="Calibri" w:cs="Calibri"/>
      <w:b/>
      <w:bCs/>
      <w:sz w:val="22"/>
      <w:szCs w:val="22"/>
    </w:rPr>
  </w:style>
  <w:style w:type="character" w:customStyle="1" w:styleId="Heading8Char">
    <w:name w:val="Heading 8 Char"/>
    <w:basedOn w:val="DefaultParagraphFont"/>
    <w:link w:val="Heading8"/>
    <w:uiPriority w:val="9"/>
    <w:rPr>
      <w:rFonts w:ascii="Calibri" w:eastAsia="Calibri" w:hAnsi="Calibri" w:cs="Calibri"/>
      <w:b/>
      <w:bCs/>
      <w:sz w:val="22"/>
      <w:szCs w:val="22"/>
    </w:rPr>
  </w:style>
  <w:style w:type="character" w:customStyle="1" w:styleId="Heading9Char">
    <w:name w:val="Heading 9 Char"/>
    <w:basedOn w:val="DefaultParagraphFont"/>
    <w:link w:val="Heading9"/>
    <w:uiPriority w:val="9"/>
    <w:rPr>
      <w:rFonts w:ascii="Calibri" w:eastAsia="Calibri" w:hAnsi="Calibri" w:cs="Calibri"/>
      <w:b/>
      <w:bCs/>
      <w:sz w:val="22"/>
      <w:szCs w:val="22"/>
    </w:rPr>
  </w:style>
  <w:style w:type="paragraph" w:styleId="Title">
    <w:name w:val="Title"/>
    <w:basedOn w:val="Normal"/>
    <w:next w:val="Normal"/>
    <w:link w:val="TitleChar"/>
    <w:uiPriority w:val="10"/>
    <w:qFormat/>
    <w:pPr>
      <w:jc w:val="center"/>
    </w:pPr>
    <w:rPr>
      <w:b/>
      <w:bCs/>
      <w:sz w:val="40"/>
      <w:szCs w:val="40"/>
    </w:rPr>
  </w:style>
  <w:style w:type="character" w:customStyle="1" w:styleId="TitleChar">
    <w:name w:val="Title Char"/>
    <w:basedOn w:val="DefaultParagraphFont"/>
    <w:link w:val="Title"/>
    <w:uiPriority w:val="10"/>
    <w:rPr>
      <w:rFonts w:ascii="Calibri" w:eastAsia="Calibri" w:hAnsi="Calibri" w:cs="Calibri"/>
      <w:b/>
      <w:bCs/>
      <w:sz w:val="40"/>
      <w:szCs w:val="40"/>
    </w:rPr>
  </w:style>
  <w:style w:type="paragraph" w:styleId="ListParagraph">
    <w:name w:val="List Paragraph"/>
    <w:basedOn w:val="Normal"/>
    <w:uiPriority w:val="34"/>
    <w:qFormat/>
    <w:pPr>
      <w:ind w:left="720"/>
      <w:contextualSpacing/>
    </w:pPr>
  </w:style>
  <w:style w:type="paragraph" w:customStyle="1" w:styleId="Bullet">
    <w:name w:val="Bullet"/>
    <w:basedOn w:val="Normal"/>
    <w:next w:val="Normal"/>
    <w:link w:val="BulletChar"/>
    <w:qFormat/>
    <w:pPr>
      <w:numPr>
        <w:numId w:val="2"/>
      </w:numPr>
      <w:spacing w:after="60"/>
    </w:pPr>
  </w:style>
  <w:style w:type="character" w:customStyle="1" w:styleId="BulletChar">
    <w:name w:val="Bullet Char"/>
    <w:basedOn w:val="DefaultParagraphFont"/>
    <w:link w:val="Bullet"/>
    <w:rPr>
      <w:rFonts w:ascii="Calibri" w:eastAsia="Calibri" w:hAnsi="Calibri" w:cs="Calibri"/>
      <w:sz w:val="22"/>
      <w:szCs w:val="22"/>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pPr>
      <w:tabs>
        <w:tab w:val="center" w:pos="4536"/>
        <w:tab w:val="right" w:pos="9072"/>
      </w:tabs>
      <w:spacing w:after="0"/>
      <w:jc w:val="left"/>
    </w:pPr>
    <w:rPr>
      <w:sz w:val="18"/>
      <w:szCs w:val="18"/>
    </w:rPr>
  </w:style>
  <w:style w:type="character" w:customStyle="1" w:styleId="HeaderChar">
    <w:name w:val="Header Char"/>
    <w:basedOn w:val="DefaultParagraphFont"/>
    <w:link w:val="Header"/>
    <w:uiPriority w:val="99"/>
    <w:rPr>
      <w:rFonts w:ascii="Calibri" w:eastAsia="Calibri" w:hAnsi="Calibri" w:cs="Calibri"/>
      <w:sz w:val="18"/>
      <w:szCs w:val="18"/>
    </w:rPr>
  </w:style>
  <w:style w:type="paragraph" w:styleId="Footer">
    <w:name w:val="footer"/>
    <w:basedOn w:val="Normal"/>
    <w:link w:val="FooterChar"/>
    <w:uiPriority w:val="99"/>
    <w:unhideWhenUsed/>
    <w:pPr>
      <w:tabs>
        <w:tab w:val="center" w:pos="4536"/>
        <w:tab w:val="right" w:pos="9072"/>
      </w:tabs>
      <w:spacing w:after="0"/>
      <w:jc w:val="left"/>
    </w:pPr>
    <w:rPr>
      <w:sz w:val="18"/>
      <w:szCs w:val="18"/>
    </w:rPr>
  </w:style>
  <w:style w:type="character" w:customStyle="1" w:styleId="FooterChar">
    <w:name w:val="Footer Char"/>
    <w:basedOn w:val="DefaultParagraphFont"/>
    <w:link w:val="Footer"/>
    <w:uiPriority w:val="99"/>
    <w:rPr>
      <w:rFonts w:ascii="Calibri" w:eastAsia="Calibri" w:hAnsi="Calibri" w:cs="Calibri"/>
      <w:sz w:val="18"/>
      <w:szCs w:val="18"/>
    </w:rPr>
  </w:style>
  <w:style w:type="table" w:styleId="TableGrid">
    <w:name w:val="Table Grid"/>
    <w:basedOn w:val="TableNormal"/>
    <w:uiPriority w:val="39"/>
    <w:pPr>
      <w:spacing w:before="40" w:after="40"/>
    </w:pPr>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Normal"/>
    <w:next w:val="Normal"/>
    <w:uiPriority w:val="39"/>
    <w:unhideWhenUsed/>
    <w:qFormat/>
    <w:pPr>
      <w:keepNext/>
      <w:keepLines/>
      <w:spacing w:after="240"/>
      <w:jc w:val="left"/>
    </w:pPr>
    <w:rPr>
      <w:b/>
      <w:bCs/>
      <w:sz w:val="28"/>
      <w:szCs w:val="28"/>
    </w:rPr>
  </w:style>
  <w:style w:type="paragraph" w:styleId="TOC1">
    <w:name w:val="toc 1"/>
    <w:basedOn w:val="Normal"/>
    <w:next w:val="Normal"/>
    <w:autoRedefine/>
    <w:uiPriority w:val="39"/>
    <w:unhideWhenUsed/>
    <w:pPr>
      <w:tabs>
        <w:tab w:val="right" w:leader="dot" w:pos="9072"/>
      </w:tabs>
      <w:spacing w:after="60"/>
      <w:jc w:val="left"/>
    </w:pPr>
    <w:rPr>
      <w:b/>
      <w:bCs/>
      <w:noProof/>
    </w:rPr>
  </w:style>
  <w:style w:type="paragraph" w:styleId="TOC2">
    <w:name w:val="toc 2"/>
    <w:basedOn w:val="Normal"/>
    <w:next w:val="Normal"/>
    <w:autoRedefine/>
    <w:uiPriority w:val="39"/>
    <w:unhideWhenUsed/>
    <w:pPr>
      <w:tabs>
        <w:tab w:val="right" w:leader="dot" w:pos="9072"/>
      </w:tabs>
      <w:spacing w:after="40"/>
      <w:ind w:left="240"/>
      <w:jc w:val="left"/>
    </w:pPr>
    <w:rPr>
      <w:noProof/>
    </w:rPr>
  </w:style>
  <w:style w:type="paragraph" w:styleId="TOC3">
    <w:name w:val="toc 3"/>
    <w:basedOn w:val="Normal"/>
    <w:next w:val="Normal"/>
    <w:autoRedefine/>
    <w:uiPriority w:val="39"/>
    <w:unhideWhenUsed/>
    <w:pPr>
      <w:tabs>
        <w:tab w:val="right" w:leader="dot" w:pos="9072"/>
      </w:tabs>
      <w:spacing w:after="40"/>
      <w:ind w:left="480"/>
      <w:jc w:val="left"/>
    </w:pPr>
    <w:rPr>
      <w:noProof/>
    </w:rPr>
  </w:style>
  <w:style w:type="character" w:styleId="Hyperlink">
    <w:name w:val="Hyperlink"/>
    <w:basedOn w:val="DefaultParagraphFont"/>
    <w:uiPriority w:val="99"/>
    <w:unhideWhenUsed/>
    <w:rPr>
      <w:color w:val="auto"/>
      <w:u w:val="none"/>
    </w:rPr>
  </w:style>
  <w:style w:type="paragraph" w:styleId="Caption">
    <w:name w:val="caption"/>
    <w:basedOn w:val="Normal"/>
    <w:next w:val="Normal"/>
    <w:uiPriority w:val="35"/>
    <w:unhideWhenUsed/>
    <w:qFormat/>
    <w:pPr>
      <w:keepNext/>
      <w:spacing w:before="120"/>
      <w:jc w:val="left"/>
    </w:pPr>
    <w:rPr>
      <w:b/>
      <w:bCs/>
      <w:sz w:val="20"/>
      <w:szCs w:val="20"/>
    </w:rPr>
  </w:style>
  <w:style w:type="character" w:styleId="PlaceholderText">
    <w:name w:val="Placeholder Text"/>
    <w:basedOn w:val="DefaultParagraphFont"/>
    <w:uiPriority w:val="99"/>
    <w:semiHidden/>
    <w:rPr>
      <w:color w:val="808080"/>
    </w:rPr>
  </w:style>
  <w:style w:type="character" w:styleId="UnresolvedMention">
    <w:name w:val="Unresolved Mention"/>
    <w:basedOn w:val="DefaultParagraphFont"/>
    <w:uiPriority w:val="99"/>
    <w:semiHidden/>
    <w:unhideWhenUsed/>
    <w:rPr>
      <w:color w:val="605E5C"/>
      <w:shd w:val="clear" w:color="auto" w:fill="E1DFDD"/>
    </w:rPr>
  </w:style>
  <w:style w:type="table" w:styleId="TableGridLight">
    <w:name w:val="Grid Table Light"/>
    <w:basedOn w:val="TableNormal"/>
    <w:uiPriority w:val="40"/>
    <w:rsid w:val="00D40D3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3986">
      <w:bodyDiv w:val="1"/>
      <w:marLeft w:val="0"/>
      <w:marRight w:val="0"/>
      <w:marTop w:val="0"/>
      <w:marBottom w:val="0"/>
      <w:divBdr>
        <w:top w:val="none" w:sz="0" w:space="0" w:color="auto"/>
        <w:left w:val="none" w:sz="0" w:space="0" w:color="auto"/>
        <w:bottom w:val="none" w:sz="0" w:space="0" w:color="auto"/>
        <w:right w:val="none" w:sz="0" w:space="0" w:color="auto"/>
      </w:divBdr>
    </w:div>
    <w:div w:id="20397011">
      <w:bodyDiv w:val="1"/>
      <w:marLeft w:val="0"/>
      <w:marRight w:val="0"/>
      <w:marTop w:val="0"/>
      <w:marBottom w:val="0"/>
      <w:divBdr>
        <w:top w:val="none" w:sz="0" w:space="0" w:color="auto"/>
        <w:left w:val="none" w:sz="0" w:space="0" w:color="auto"/>
        <w:bottom w:val="none" w:sz="0" w:space="0" w:color="auto"/>
        <w:right w:val="none" w:sz="0" w:space="0" w:color="auto"/>
      </w:divBdr>
    </w:div>
    <w:div w:id="23135867">
      <w:bodyDiv w:val="1"/>
      <w:marLeft w:val="0"/>
      <w:marRight w:val="0"/>
      <w:marTop w:val="0"/>
      <w:marBottom w:val="0"/>
      <w:divBdr>
        <w:top w:val="none" w:sz="0" w:space="0" w:color="auto"/>
        <w:left w:val="none" w:sz="0" w:space="0" w:color="auto"/>
        <w:bottom w:val="none" w:sz="0" w:space="0" w:color="auto"/>
        <w:right w:val="none" w:sz="0" w:space="0" w:color="auto"/>
      </w:divBdr>
    </w:div>
    <w:div w:id="27609405">
      <w:bodyDiv w:val="1"/>
      <w:marLeft w:val="0"/>
      <w:marRight w:val="0"/>
      <w:marTop w:val="0"/>
      <w:marBottom w:val="0"/>
      <w:divBdr>
        <w:top w:val="none" w:sz="0" w:space="0" w:color="auto"/>
        <w:left w:val="none" w:sz="0" w:space="0" w:color="auto"/>
        <w:bottom w:val="none" w:sz="0" w:space="0" w:color="auto"/>
        <w:right w:val="none" w:sz="0" w:space="0" w:color="auto"/>
      </w:divBdr>
    </w:div>
    <w:div w:id="42171066">
      <w:bodyDiv w:val="1"/>
      <w:marLeft w:val="0"/>
      <w:marRight w:val="0"/>
      <w:marTop w:val="0"/>
      <w:marBottom w:val="0"/>
      <w:divBdr>
        <w:top w:val="none" w:sz="0" w:space="0" w:color="auto"/>
        <w:left w:val="none" w:sz="0" w:space="0" w:color="auto"/>
        <w:bottom w:val="none" w:sz="0" w:space="0" w:color="auto"/>
        <w:right w:val="none" w:sz="0" w:space="0" w:color="auto"/>
      </w:divBdr>
    </w:div>
    <w:div w:id="54015163">
      <w:bodyDiv w:val="1"/>
      <w:marLeft w:val="0"/>
      <w:marRight w:val="0"/>
      <w:marTop w:val="0"/>
      <w:marBottom w:val="0"/>
      <w:divBdr>
        <w:top w:val="none" w:sz="0" w:space="0" w:color="auto"/>
        <w:left w:val="none" w:sz="0" w:space="0" w:color="auto"/>
        <w:bottom w:val="none" w:sz="0" w:space="0" w:color="auto"/>
        <w:right w:val="none" w:sz="0" w:space="0" w:color="auto"/>
      </w:divBdr>
    </w:div>
    <w:div w:id="54207809">
      <w:bodyDiv w:val="1"/>
      <w:marLeft w:val="0"/>
      <w:marRight w:val="0"/>
      <w:marTop w:val="0"/>
      <w:marBottom w:val="0"/>
      <w:divBdr>
        <w:top w:val="none" w:sz="0" w:space="0" w:color="auto"/>
        <w:left w:val="none" w:sz="0" w:space="0" w:color="auto"/>
        <w:bottom w:val="none" w:sz="0" w:space="0" w:color="auto"/>
        <w:right w:val="none" w:sz="0" w:space="0" w:color="auto"/>
      </w:divBdr>
    </w:div>
    <w:div w:id="68818216">
      <w:bodyDiv w:val="1"/>
      <w:marLeft w:val="0"/>
      <w:marRight w:val="0"/>
      <w:marTop w:val="0"/>
      <w:marBottom w:val="0"/>
      <w:divBdr>
        <w:top w:val="none" w:sz="0" w:space="0" w:color="auto"/>
        <w:left w:val="none" w:sz="0" w:space="0" w:color="auto"/>
        <w:bottom w:val="none" w:sz="0" w:space="0" w:color="auto"/>
        <w:right w:val="none" w:sz="0" w:space="0" w:color="auto"/>
      </w:divBdr>
    </w:div>
    <w:div w:id="78722585">
      <w:bodyDiv w:val="1"/>
      <w:marLeft w:val="0"/>
      <w:marRight w:val="0"/>
      <w:marTop w:val="0"/>
      <w:marBottom w:val="0"/>
      <w:divBdr>
        <w:top w:val="none" w:sz="0" w:space="0" w:color="auto"/>
        <w:left w:val="none" w:sz="0" w:space="0" w:color="auto"/>
        <w:bottom w:val="none" w:sz="0" w:space="0" w:color="auto"/>
        <w:right w:val="none" w:sz="0" w:space="0" w:color="auto"/>
      </w:divBdr>
    </w:div>
    <w:div w:id="93405554">
      <w:bodyDiv w:val="1"/>
      <w:marLeft w:val="0"/>
      <w:marRight w:val="0"/>
      <w:marTop w:val="0"/>
      <w:marBottom w:val="0"/>
      <w:divBdr>
        <w:top w:val="none" w:sz="0" w:space="0" w:color="auto"/>
        <w:left w:val="none" w:sz="0" w:space="0" w:color="auto"/>
        <w:bottom w:val="none" w:sz="0" w:space="0" w:color="auto"/>
        <w:right w:val="none" w:sz="0" w:space="0" w:color="auto"/>
      </w:divBdr>
    </w:div>
    <w:div w:id="100688892">
      <w:bodyDiv w:val="1"/>
      <w:marLeft w:val="0"/>
      <w:marRight w:val="0"/>
      <w:marTop w:val="0"/>
      <w:marBottom w:val="0"/>
      <w:divBdr>
        <w:top w:val="none" w:sz="0" w:space="0" w:color="auto"/>
        <w:left w:val="none" w:sz="0" w:space="0" w:color="auto"/>
        <w:bottom w:val="none" w:sz="0" w:space="0" w:color="auto"/>
        <w:right w:val="none" w:sz="0" w:space="0" w:color="auto"/>
      </w:divBdr>
    </w:div>
    <w:div w:id="118383213">
      <w:bodyDiv w:val="1"/>
      <w:marLeft w:val="0"/>
      <w:marRight w:val="0"/>
      <w:marTop w:val="0"/>
      <w:marBottom w:val="0"/>
      <w:divBdr>
        <w:top w:val="none" w:sz="0" w:space="0" w:color="auto"/>
        <w:left w:val="none" w:sz="0" w:space="0" w:color="auto"/>
        <w:bottom w:val="none" w:sz="0" w:space="0" w:color="auto"/>
        <w:right w:val="none" w:sz="0" w:space="0" w:color="auto"/>
      </w:divBdr>
    </w:div>
    <w:div w:id="121459621">
      <w:bodyDiv w:val="1"/>
      <w:marLeft w:val="0"/>
      <w:marRight w:val="0"/>
      <w:marTop w:val="0"/>
      <w:marBottom w:val="0"/>
      <w:divBdr>
        <w:top w:val="none" w:sz="0" w:space="0" w:color="auto"/>
        <w:left w:val="none" w:sz="0" w:space="0" w:color="auto"/>
        <w:bottom w:val="none" w:sz="0" w:space="0" w:color="auto"/>
        <w:right w:val="none" w:sz="0" w:space="0" w:color="auto"/>
      </w:divBdr>
      <w:divsChild>
        <w:div w:id="92095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21694">
      <w:bodyDiv w:val="1"/>
      <w:marLeft w:val="0"/>
      <w:marRight w:val="0"/>
      <w:marTop w:val="0"/>
      <w:marBottom w:val="0"/>
      <w:divBdr>
        <w:top w:val="none" w:sz="0" w:space="0" w:color="auto"/>
        <w:left w:val="none" w:sz="0" w:space="0" w:color="auto"/>
        <w:bottom w:val="none" w:sz="0" w:space="0" w:color="auto"/>
        <w:right w:val="none" w:sz="0" w:space="0" w:color="auto"/>
      </w:divBdr>
      <w:divsChild>
        <w:div w:id="536046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4103">
      <w:bodyDiv w:val="1"/>
      <w:marLeft w:val="0"/>
      <w:marRight w:val="0"/>
      <w:marTop w:val="0"/>
      <w:marBottom w:val="0"/>
      <w:divBdr>
        <w:top w:val="none" w:sz="0" w:space="0" w:color="auto"/>
        <w:left w:val="none" w:sz="0" w:space="0" w:color="auto"/>
        <w:bottom w:val="none" w:sz="0" w:space="0" w:color="auto"/>
        <w:right w:val="none" w:sz="0" w:space="0" w:color="auto"/>
      </w:divBdr>
    </w:div>
    <w:div w:id="168297530">
      <w:bodyDiv w:val="1"/>
      <w:marLeft w:val="0"/>
      <w:marRight w:val="0"/>
      <w:marTop w:val="0"/>
      <w:marBottom w:val="0"/>
      <w:divBdr>
        <w:top w:val="none" w:sz="0" w:space="0" w:color="auto"/>
        <w:left w:val="none" w:sz="0" w:space="0" w:color="auto"/>
        <w:bottom w:val="none" w:sz="0" w:space="0" w:color="auto"/>
        <w:right w:val="none" w:sz="0" w:space="0" w:color="auto"/>
      </w:divBdr>
    </w:div>
    <w:div w:id="189496270">
      <w:bodyDiv w:val="1"/>
      <w:marLeft w:val="0"/>
      <w:marRight w:val="0"/>
      <w:marTop w:val="0"/>
      <w:marBottom w:val="0"/>
      <w:divBdr>
        <w:top w:val="none" w:sz="0" w:space="0" w:color="auto"/>
        <w:left w:val="none" w:sz="0" w:space="0" w:color="auto"/>
        <w:bottom w:val="none" w:sz="0" w:space="0" w:color="auto"/>
        <w:right w:val="none" w:sz="0" w:space="0" w:color="auto"/>
      </w:divBdr>
    </w:div>
    <w:div w:id="212159707">
      <w:bodyDiv w:val="1"/>
      <w:marLeft w:val="0"/>
      <w:marRight w:val="0"/>
      <w:marTop w:val="0"/>
      <w:marBottom w:val="0"/>
      <w:divBdr>
        <w:top w:val="none" w:sz="0" w:space="0" w:color="auto"/>
        <w:left w:val="none" w:sz="0" w:space="0" w:color="auto"/>
        <w:bottom w:val="none" w:sz="0" w:space="0" w:color="auto"/>
        <w:right w:val="none" w:sz="0" w:space="0" w:color="auto"/>
      </w:divBdr>
    </w:div>
    <w:div w:id="213587559">
      <w:bodyDiv w:val="1"/>
      <w:marLeft w:val="0"/>
      <w:marRight w:val="0"/>
      <w:marTop w:val="0"/>
      <w:marBottom w:val="0"/>
      <w:divBdr>
        <w:top w:val="none" w:sz="0" w:space="0" w:color="auto"/>
        <w:left w:val="none" w:sz="0" w:space="0" w:color="auto"/>
        <w:bottom w:val="none" w:sz="0" w:space="0" w:color="auto"/>
        <w:right w:val="none" w:sz="0" w:space="0" w:color="auto"/>
      </w:divBdr>
    </w:div>
    <w:div w:id="222180272">
      <w:bodyDiv w:val="1"/>
      <w:marLeft w:val="0"/>
      <w:marRight w:val="0"/>
      <w:marTop w:val="0"/>
      <w:marBottom w:val="0"/>
      <w:divBdr>
        <w:top w:val="none" w:sz="0" w:space="0" w:color="auto"/>
        <w:left w:val="none" w:sz="0" w:space="0" w:color="auto"/>
        <w:bottom w:val="none" w:sz="0" w:space="0" w:color="auto"/>
        <w:right w:val="none" w:sz="0" w:space="0" w:color="auto"/>
      </w:divBdr>
    </w:div>
    <w:div w:id="238099550">
      <w:bodyDiv w:val="1"/>
      <w:marLeft w:val="0"/>
      <w:marRight w:val="0"/>
      <w:marTop w:val="0"/>
      <w:marBottom w:val="0"/>
      <w:divBdr>
        <w:top w:val="none" w:sz="0" w:space="0" w:color="auto"/>
        <w:left w:val="none" w:sz="0" w:space="0" w:color="auto"/>
        <w:bottom w:val="none" w:sz="0" w:space="0" w:color="auto"/>
        <w:right w:val="none" w:sz="0" w:space="0" w:color="auto"/>
      </w:divBdr>
    </w:div>
    <w:div w:id="239024751">
      <w:bodyDiv w:val="1"/>
      <w:marLeft w:val="0"/>
      <w:marRight w:val="0"/>
      <w:marTop w:val="0"/>
      <w:marBottom w:val="0"/>
      <w:divBdr>
        <w:top w:val="none" w:sz="0" w:space="0" w:color="auto"/>
        <w:left w:val="none" w:sz="0" w:space="0" w:color="auto"/>
        <w:bottom w:val="none" w:sz="0" w:space="0" w:color="auto"/>
        <w:right w:val="none" w:sz="0" w:space="0" w:color="auto"/>
      </w:divBdr>
    </w:div>
    <w:div w:id="267929555">
      <w:bodyDiv w:val="1"/>
      <w:marLeft w:val="0"/>
      <w:marRight w:val="0"/>
      <w:marTop w:val="0"/>
      <w:marBottom w:val="0"/>
      <w:divBdr>
        <w:top w:val="none" w:sz="0" w:space="0" w:color="auto"/>
        <w:left w:val="none" w:sz="0" w:space="0" w:color="auto"/>
        <w:bottom w:val="none" w:sz="0" w:space="0" w:color="auto"/>
        <w:right w:val="none" w:sz="0" w:space="0" w:color="auto"/>
      </w:divBdr>
    </w:div>
    <w:div w:id="281035361">
      <w:bodyDiv w:val="1"/>
      <w:marLeft w:val="0"/>
      <w:marRight w:val="0"/>
      <w:marTop w:val="0"/>
      <w:marBottom w:val="0"/>
      <w:divBdr>
        <w:top w:val="none" w:sz="0" w:space="0" w:color="auto"/>
        <w:left w:val="none" w:sz="0" w:space="0" w:color="auto"/>
        <w:bottom w:val="none" w:sz="0" w:space="0" w:color="auto"/>
        <w:right w:val="none" w:sz="0" w:space="0" w:color="auto"/>
      </w:divBdr>
    </w:div>
    <w:div w:id="285162608">
      <w:bodyDiv w:val="1"/>
      <w:marLeft w:val="0"/>
      <w:marRight w:val="0"/>
      <w:marTop w:val="0"/>
      <w:marBottom w:val="0"/>
      <w:divBdr>
        <w:top w:val="none" w:sz="0" w:space="0" w:color="auto"/>
        <w:left w:val="none" w:sz="0" w:space="0" w:color="auto"/>
        <w:bottom w:val="none" w:sz="0" w:space="0" w:color="auto"/>
        <w:right w:val="none" w:sz="0" w:space="0" w:color="auto"/>
      </w:divBdr>
    </w:div>
    <w:div w:id="300312245">
      <w:bodyDiv w:val="1"/>
      <w:marLeft w:val="0"/>
      <w:marRight w:val="0"/>
      <w:marTop w:val="0"/>
      <w:marBottom w:val="0"/>
      <w:divBdr>
        <w:top w:val="none" w:sz="0" w:space="0" w:color="auto"/>
        <w:left w:val="none" w:sz="0" w:space="0" w:color="auto"/>
        <w:bottom w:val="none" w:sz="0" w:space="0" w:color="auto"/>
        <w:right w:val="none" w:sz="0" w:space="0" w:color="auto"/>
      </w:divBdr>
    </w:div>
    <w:div w:id="310915449">
      <w:bodyDiv w:val="1"/>
      <w:marLeft w:val="0"/>
      <w:marRight w:val="0"/>
      <w:marTop w:val="0"/>
      <w:marBottom w:val="0"/>
      <w:divBdr>
        <w:top w:val="none" w:sz="0" w:space="0" w:color="auto"/>
        <w:left w:val="none" w:sz="0" w:space="0" w:color="auto"/>
        <w:bottom w:val="none" w:sz="0" w:space="0" w:color="auto"/>
        <w:right w:val="none" w:sz="0" w:space="0" w:color="auto"/>
      </w:divBdr>
    </w:div>
    <w:div w:id="323049728">
      <w:bodyDiv w:val="1"/>
      <w:marLeft w:val="0"/>
      <w:marRight w:val="0"/>
      <w:marTop w:val="0"/>
      <w:marBottom w:val="0"/>
      <w:divBdr>
        <w:top w:val="none" w:sz="0" w:space="0" w:color="auto"/>
        <w:left w:val="none" w:sz="0" w:space="0" w:color="auto"/>
        <w:bottom w:val="none" w:sz="0" w:space="0" w:color="auto"/>
        <w:right w:val="none" w:sz="0" w:space="0" w:color="auto"/>
      </w:divBdr>
    </w:div>
    <w:div w:id="328100823">
      <w:bodyDiv w:val="1"/>
      <w:marLeft w:val="0"/>
      <w:marRight w:val="0"/>
      <w:marTop w:val="0"/>
      <w:marBottom w:val="0"/>
      <w:divBdr>
        <w:top w:val="none" w:sz="0" w:space="0" w:color="auto"/>
        <w:left w:val="none" w:sz="0" w:space="0" w:color="auto"/>
        <w:bottom w:val="none" w:sz="0" w:space="0" w:color="auto"/>
        <w:right w:val="none" w:sz="0" w:space="0" w:color="auto"/>
      </w:divBdr>
    </w:div>
    <w:div w:id="334068657">
      <w:bodyDiv w:val="1"/>
      <w:marLeft w:val="0"/>
      <w:marRight w:val="0"/>
      <w:marTop w:val="0"/>
      <w:marBottom w:val="0"/>
      <w:divBdr>
        <w:top w:val="none" w:sz="0" w:space="0" w:color="auto"/>
        <w:left w:val="none" w:sz="0" w:space="0" w:color="auto"/>
        <w:bottom w:val="none" w:sz="0" w:space="0" w:color="auto"/>
        <w:right w:val="none" w:sz="0" w:space="0" w:color="auto"/>
      </w:divBdr>
    </w:div>
    <w:div w:id="338508295">
      <w:bodyDiv w:val="1"/>
      <w:marLeft w:val="0"/>
      <w:marRight w:val="0"/>
      <w:marTop w:val="0"/>
      <w:marBottom w:val="0"/>
      <w:divBdr>
        <w:top w:val="none" w:sz="0" w:space="0" w:color="auto"/>
        <w:left w:val="none" w:sz="0" w:space="0" w:color="auto"/>
        <w:bottom w:val="none" w:sz="0" w:space="0" w:color="auto"/>
        <w:right w:val="none" w:sz="0" w:space="0" w:color="auto"/>
      </w:divBdr>
    </w:div>
    <w:div w:id="341662815">
      <w:bodyDiv w:val="1"/>
      <w:marLeft w:val="0"/>
      <w:marRight w:val="0"/>
      <w:marTop w:val="0"/>
      <w:marBottom w:val="0"/>
      <w:divBdr>
        <w:top w:val="none" w:sz="0" w:space="0" w:color="auto"/>
        <w:left w:val="none" w:sz="0" w:space="0" w:color="auto"/>
        <w:bottom w:val="none" w:sz="0" w:space="0" w:color="auto"/>
        <w:right w:val="none" w:sz="0" w:space="0" w:color="auto"/>
      </w:divBdr>
    </w:div>
    <w:div w:id="367145065">
      <w:bodyDiv w:val="1"/>
      <w:marLeft w:val="0"/>
      <w:marRight w:val="0"/>
      <w:marTop w:val="0"/>
      <w:marBottom w:val="0"/>
      <w:divBdr>
        <w:top w:val="none" w:sz="0" w:space="0" w:color="auto"/>
        <w:left w:val="none" w:sz="0" w:space="0" w:color="auto"/>
        <w:bottom w:val="none" w:sz="0" w:space="0" w:color="auto"/>
        <w:right w:val="none" w:sz="0" w:space="0" w:color="auto"/>
      </w:divBdr>
    </w:div>
    <w:div w:id="397553106">
      <w:bodyDiv w:val="1"/>
      <w:marLeft w:val="0"/>
      <w:marRight w:val="0"/>
      <w:marTop w:val="0"/>
      <w:marBottom w:val="0"/>
      <w:divBdr>
        <w:top w:val="none" w:sz="0" w:space="0" w:color="auto"/>
        <w:left w:val="none" w:sz="0" w:space="0" w:color="auto"/>
        <w:bottom w:val="none" w:sz="0" w:space="0" w:color="auto"/>
        <w:right w:val="none" w:sz="0" w:space="0" w:color="auto"/>
      </w:divBdr>
    </w:div>
    <w:div w:id="412892648">
      <w:bodyDiv w:val="1"/>
      <w:marLeft w:val="0"/>
      <w:marRight w:val="0"/>
      <w:marTop w:val="0"/>
      <w:marBottom w:val="0"/>
      <w:divBdr>
        <w:top w:val="none" w:sz="0" w:space="0" w:color="auto"/>
        <w:left w:val="none" w:sz="0" w:space="0" w:color="auto"/>
        <w:bottom w:val="none" w:sz="0" w:space="0" w:color="auto"/>
        <w:right w:val="none" w:sz="0" w:space="0" w:color="auto"/>
      </w:divBdr>
    </w:div>
    <w:div w:id="444691092">
      <w:bodyDiv w:val="1"/>
      <w:marLeft w:val="0"/>
      <w:marRight w:val="0"/>
      <w:marTop w:val="0"/>
      <w:marBottom w:val="0"/>
      <w:divBdr>
        <w:top w:val="none" w:sz="0" w:space="0" w:color="auto"/>
        <w:left w:val="none" w:sz="0" w:space="0" w:color="auto"/>
        <w:bottom w:val="none" w:sz="0" w:space="0" w:color="auto"/>
        <w:right w:val="none" w:sz="0" w:space="0" w:color="auto"/>
      </w:divBdr>
    </w:div>
    <w:div w:id="454057817">
      <w:bodyDiv w:val="1"/>
      <w:marLeft w:val="0"/>
      <w:marRight w:val="0"/>
      <w:marTop w:val="0"/>
      <w:marBottom w:val="0"/>
      <w:divBdr>
        <w:top w:val="none" w:sz="0" w:space="0" w:color="auto"/>
        <w:left w:val="none" w:sz="0" w:space="0" w:color="auto"/>
        <w:bottom w:val="none" w:sz="0" w:space="0" w:color="auto"/>
        <w:right w:val="none" w:sz="0" w:space="0" w:color="auto"/>
      </w:divBdr>
    </w:div>
    <w:div w:id="462816124">
      <w:bodyDiv w:val="1"/>
      <w:marLeft w:val="0"/>
      <w:marRight w:val="0"/>
      <w:marTop w:val="0"/>
      <w:marBottom w:val="0"/>
      <w:divBdr>
        <w:top w:val="none" w:sz="0" w:space="0" w:color="auto"/>
        <w:left w:val="none" w:sz="0" w:space="0" w:color="auto"/>
        <w:bottom w:val="none" w:sz="0" w:space="0" w:color="auto"/>
        <w:right w:val="none" w:sz="0" w:space="0" w:color="auto"/>
      </w:divBdr>
    </w:div>
    <w:div w:id="471218464">
      <w:bodyDiv w:val="1"/>
      <w:marLeft w:val="0"/>
      <w:marRight w:val="0"/>
      <w:marTop w:val="0"/>
      <w:marBottom w:val="0"/>
      <w:divBdr>
        <w:top w:val="none" w:sz="0" w:space="0" w:color="auto"/>
        <w:left w:val="none" w:sz="0" w:space="0" w:color="auto"/>
        <w:bottom w:val="none" w:sz="0" w:space="0" w:color="auto"/>
        <w:right w:val="none" w:sz="0" w:space="0" w:color="auto"/>
      </w:divBdr>
      <w:divsChild>
        <w:div w:id="159331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688255">
      <w:bodyDiv w:val="1"/>
      <w:marLeft w:val="0"/>
      <w:marRight w:val="0"/>
      <w:marTop w:val="0"/>
      <w:marBottom w:val="0"/>
      <w:divBdr>
        <w:top w:val="none" w:sz="0" w:space="0" w:color="auto"/>
        <w:left w:val="none" w:sz="0" w:space="0" w:color="auto"/>
        <w:bottom w:val="none" w:sz="0" w:space="0" w:color="auto"/>
        <w:right w:val="none" w:sz="0" w:space="0" w:color="auto"/>
      </w:divBdr>
    </w:div>
    <w:div w:id="487215464">
      <w:bodyDiv w:val="1"/>
      <w:marLeft w:val="0"/>
      <w:marRight w:val="0"/>
      <w:marTop w:val="0"/>
      <w:marBottom w:val="0"/>
      <w:divBdr>
        <w:top w:val="none" w:sz="0" w:space="0" w:color="auto"/>
        <w:left w:val="none" w:sz="0" w:space="0" w:color="auto"/>
        <w:bottom w:val="none" w:sz="0" w:space="0" w:color="auto"/>
        <w:right w:val="none" w:sz="0" w:space="0" w:color="auto"/>
      </w:divBdr>
    </w:div>
    <w:div w:id="497425822">
      <w:bodyDiv w:val="1"/>
      <w:marLeft w:val="0"/>
      <w:marRight w:val="0"/>
      <w:marTop w:val="0"/>
      <w:marBottom w:val="0"/>
      <w:divBdr>
        <w:top w:val="none" w:sz="0" w:space="0" w:color="auto"/>
        <w:left w:val="none" w:sz="0" w:space="0" w:color="auto"/>
        <w:bottom w:val="none" w:sz="0" w:space="0" w:color="auto"/>
        <w:right w:val="none" w:sz="0" w:space="0" w:color="auto"/>
      </w:divBdr>
    </w:div>
    <w:div w:id="506600011">
      <w:bodyDiv w:val="1"/>
      <w:marLeft w:val="0"/>
      <w:marRight w:val="0"/>
      <w:marTop w:val="0"/>
      <w:marBottom w:val="0"/>
      <w:divBdr>
        <w:top w:val="none" w:sz="0" w:space="0" w:color="auto"/>
        <w:left w:val="none" w:sz="0" w:space="0" w:color="auto"/>
        <w:bottom w:val="none" w:sz="0" w:space="0" w:color="auto"/>
        <w:right w:val="none" w:sz="0" w:space="0" w:color="auto"/>
      </w:divBdr>
    </w:div>
    <w:div w:id="508835781">
      <w:bodyDiv w:val="1"/>
      <w:marLeft w:val="0"/>
      <w:marRight w:val="0"/>
      <w:marTop w:val="0"/>
      <w:marBottom w:val="0"/>
      <w:divBdr>
        <w:top w:val="none" w:sz="0" w:space="0" w:color="auto"/>
        <w:left w:val="none" w:sz="0" w:space="0" w:color="auto"/>
        <w:bottom w:val="none" w:sz="0" w:space="0" w:color="auto"/>
        <w:right w:val="none" w:sz="0" w:space="0" w:color="auto"/>
      </w:divBdr>
    </w:div>
    <w:div w:id="539123785">
      <w:bodyDiv w:val="1"/>
      <w:marLeft w:val="0"/>
      <w:marRight w:val="0"/>
      <w:marTop w:val="0"/>
      <w:marBottom w:val="0"/>
      <w:divBdr>
        <w:top w:val="none" w:sz="0" w:space="0" w:color="auto"/>
        <w:left w:val="none" w:sz="0" w:space="0" w:color="auto"/>
        <w:bottom w:val="none" w:sz="0" w:space="0" w:color="auto"/>
        <w:right w:val="none" w:sz="0" w:space="0" w:color="auto"/>
      </w:divBdr>
      <w:divsChild>
        <w:div w:id="42908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332319">
      <w:bodyDiv w:val="1"/>
      <w:marLeft w:val="0"/>
      <w:marRight w:val="0"/>
      <w:marTop w:val="0"/>
      <w:marBottom w:val="0"/>
      <w:divBdr>
        <w:top w:val="none" w:sz="0" w:space="0" w:color="auto"/>
        <w:left w:val="none" w:sz="0" w:space="0" w:color="auto"/>
        <w:bottom w:val="none" w:sz="0" w:space="0" w:color="auto"/>
        <w:right w:val="none" w:sz="0" w:space="0" w:color="auto"/>
      </w:divBdr>
    </w:div>
    <w:div w:id="581069562">
      <w:bodyDiv w:val="1"/>
      <w:marLeft w:val="0"/>
      <w:marRight w:val="0"/>
      <w:marTop w:val="0"/>
      <w:marBottom w:val="0"/>
      <w:divBdr>
        <w:top w:val="none" w:sz="0" w:space="0" w:color="auto"/>
        <w:left w:val="none" w:sz="0" w:space="0" w:color="auto"/>
        <w:bottom w:val="none" w:sz="0" w:space="0" w:color="auto"/>
        <w:right w:val="none" w:sz="0" w:space="0" w:color="auto"/>
      </w:divBdr>
      <w:divsChild>
        <w:div w:id="83892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3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476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07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312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376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145443">
      <w:bodyDiv w:val="1"/>
      <w:marLeft w:val="0"/>
      <w:marRight w:val="0"/>
      <w:marTop w:val="0"/>
      <w:marBottom w:val="0"/>
      <w:divBdr>
        <w:top w:val="none" w:sz="0" w:space="0" w:color="auto"/>
        <w:left w:val="none" w:sz="0" w:space="0" w:color="auto"/>
        <w:bottom w:val="none" w:sz="0" w:space="0" w:color="auto"/>
        <w:right w:val="none" w:sz="0" w:space="0" w:color="auto"/>
      </w:divBdr>
      <w:divsChild>
        <w:div w:id="1224829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075459">
      <w:bodyDiv w:val="1"/>
      <w:marLeft w:val="0"/>
      <w:marRight w:val="0"/>
      <w:marTop w:val="0"/>
      <w:marBottom w:val="0"/>
      <w:divBdr>
        <w:top w:val="none" w:sz="0" w:space="0" w:color="auto"/>
        <w:left w:val="none" w:sz="0" w:space="0" w:color="auto"/>
        <w:bottom w:val="none" w:sz="0" w:space="0" w:color="auto"/>
        <w:right w:val="none" w:sz="0" w:space="0" w:color="auto"/>
      </w:divBdr>
    </w:div>
    <w:div w:id="610665644">
      <w:bodyDiv w:val="1"/>
      <w:marLeft w:val="0"/>
      <w:marRight w:val="0"/>
      <w:marTop w:val="0"/>
      <w:marBottom w:val="0"/>
      <w:divBdr>
        <w:top w:val="none" w:sz="0" w:space="0" w:color="auto"/>
        <w:left w:val="none" w:sz="0" w:space="0" w:color="auto"/>
        <w:bottom w:val="none" w:sz="0" w:space="0" w:color="auto"/>
        <w:right w:val="none" w:sz="0" w:space="0" w:color="auto"/>
      </w:divBdr>
    </w:div>
    <w:div w:id="616914023">
      <w:bodyDiv w:val="1"/>
      <w:marLeft w:val="0"/>
      <w:marRight w:val="0"/>
      <w:marTop w:val="0"/>
      <w:marBottom w:val="0"/>
      <w:divBdr>
        <w:top w:val="none" w:sz="0" w:space="0" w:color="auto"/>
        <w:left w:val="none" w:sz="0" w:space="0" w:color="auto"/>
        <w:bottom w:val="none" w:sz="0" w:space="0" w:color="auto"/>
        <w:right w:val="none" w:sz="0" w:space="0" w:color="auto"/>
      </w:divBdr>
    </w:div>
    <w:div w:id="638072489">
      <w:bodyDiv w:val="1"/>
      <w:marLeft w:val="0"/>
      <w:marRight w:val="0"/>
      <w:marTop w:val="0"/>
      <w:marBottom w:val="0"/>
      <w:divBdr>
        <w:top w:val="none" w:sz="0" w:space="0" w:color="auto"/>
        <w:left w:val="none" w:sz="0" w:space="0" w:color="auto"/>
        <w:bottom w:val="none" w:sz="0" w:space="0" w:color="auto"/>
        <w:right w:val="none" w:sz="0" w:space="0" w:color="auto"/>
      </w:divBdr>
    </w:div>
    <w:div w:id="645164282">
      <w:bodyDiv w:val="1"/>
      <w:marLeft w:val="0"/>
      <w:marRight w:val="0"/>
      <w:marTop w:val="0"/>
      <w:marBottom w:val="0"/>
      <w:divBdr>
        <w:top w:val="none" w:sz="0" w:space="0" w:color="auto"/>
        <w:left w:val="none" w:sz="0" w:space="0" w:color="auto"/>
        <w:bottom w:val="none" w:sz="0" w:space="0" w:color="auto"/>
        <w:right w:val="none" w:sz="0" w:space="0" w:color="auto"/>
      </w:divBdr>
    </w:div>
    <w:div w:id="656808070">
      <w:bodyDiv w:val="1"/>
      <w:marLeft w:val="0"/>
      <w:marRight w:val="0"/>
      <w:marTop w:val="0"/>
      <w:marBottom w:val="0"/>
      <w:divBdr>
        <w:top w:val="none" w:sz="0" w:space="0" w:color="auto"/>
        <w:left w:val="none" w:sz="0" w:space="0" w:color="auto"/>
        <w:bottom w:val="none" w:sz="0" w:space="0" w:color="auto"/>
        <w:right w:val="none" w:sz="0" w:space="0" w:color="auto"/>
      </w:divBdr>
    </w:div>
    <w:div w:id="671372884">
      <w:bodyDiv w:val="1"/>
      <w:marLeft w:val="0"/>
      <w:marRight w:val="0"/>
      <w:marTop w:val="0"/>
      <w:marBottom w:val="0"/>
      <w:divBdr>
        <w:top w:val="none" w:sz="0" w:space="0" w:color="auto"/>
        <w:left w:val="none" w:sz="0" w:space="0" w:color="auto"/>
        <w:bottom w:val="none" w:sz="0" w:space="0" w:color="auto"/>
        <w:right w:val="none" w:sz="0" w:space="0" w:color="auto"/>
      </w:divBdr>
      <w:divsChild>
        <w:div w:id="2017689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599514">
      <w:bodyDiv w:val="1"/>
      <w:marLeft w:val="0"/>
      <w:marRight w:val="0"/>
      <w:marTop w:val="0"/>
      <w:marBottom w:val="0"/>
      <w:divBdr>
        <w:top w:val="none" w:sz="0" w:space="0" w:color="auto"/>
        <w:left w:val="none" w:sz="0" w:space="0" w:color="auto"/>
        <w:bottom w:val="none" w:sz="0" w:space="0" w:color="auto"/>
        <w:right w:val="none" w:sz="0" w:space="0" w:color="auto"/>
      </w:divBdr>
    </w:div>
    <w:div w:id="714500759">
      <w:bodyDiv w:val="1"/>
      <w:marLeft w:val="0"/>
      <w:marRight w:val="0"/>
      <w:marTop w:val="0"/>
      <w:marBottom w:val="0"/>
      <w:divBdr>
        <w:top w:val="none" w:sz="0" w:space="0" w:color="auto"/>
        <w:left w:val="none" w:sz="0" w:space="0" w:color="auto"/>
        <w:bottom w:val="none" w:sz="0" w:space="0" w:color="auto"/>
        <w:right w:val="none" w:sz="0" w:space="0" w:color="auto"/>
      </w:divBdr>
    </w:div>
    <w:div w:id="715008669">
      <w:bodyDiv w:val="1"/>
      <w:marLeft w:val="0"/>
      <w:marRight w:val="0"/>
      <w:marTop w:val="0"/>
      <w:marBottom w:val="0"/>
      <w:divBdr>
        <w:top w:val="none" w:sz="0" w:space="0" w:color="auto"/>
        <w:left w:val="none" w:sz="0" w:space="0" w:color="auto"/>
        <w:bottom w:val="none" w:sz="0" w:space="0" w:color="auto"/>
        <w:right w:val="none" w:sz="0" w:space="0" w:color="auto"/>
      </w:divBdr>
    </w:div>
    <w:div w:id="719551956">
      <w:bodyDiv w:val="1"/>
      <w:marLeft w:val="0"/>
      <w:marRight w:val="0"/>
      <w:marTop w:val="0"/>
      <w:marBottom w:val="0"/>
      <w:divBdr>
        <w:top w:val="none" w:sz="0" w:space="0" w:color="auto"/>
        <w:left w:val="none" w:sz="0" w:space="0" w:color="auto"/>
        <w:bottom w:val="none" w:sz="0" w:space="0" w:color="auto"/>
        <w:right w:val="none" w:sz="0" w:space="0" w:color="auto"/>
      </w:divBdr>
    </w:div>
    <w:div w:id="728457787">
      <w:bodyDiv w:val="1"/>
      <w:marLeft w:val="0"/>
      <w:marRight w:val="0"/>
      <w:marTop w:val="0"/>
      <w:marBottom w:val="0"/>
      <w:divBdr>
        <w:top w:val="none" w:sz="0" w:space="0" w:color="auto"/>
        <w:left w:val="none" w:sz="0" w:space="0" w:color="auto"/>
        <w:bottom w:val="none" w:sz="0" w:space="0" w:color="auto"/>
        <w:right w:val="none" w:sz="0" w:space="0" w:color="auto"/>
      </w:divBdr>
    </w:div>
    <w:div w:id="748428621">
      <w:bodyDiv w:val="1"/>
      <w:marLeft w:val="0"/>
      <w:marRight w:val="0"/>
      <w:marTop w:val="0"/>
      <w:marBottom w:val="0"/>
      <w:divBdr>
        <w:top w:val="none" w:sz="0" w:space="0" w:color="auto"/>
        <w:left w:val="none" w:sz="0" w:space="0" w:color="auto"/>
        <w:bottom w:val="none" w:sz="0" w:space="0" w:color="auto"/>
        <w:right w:val="none" w:sz="0" w:space="0" w:color="auto"/>
      </w:divBdr>
      <w:divsChild>
        <w:div w:id="58268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636885">
      <w:bodyDiv w:val="1"/>
      <w:marLeft w:val="0"/>
      <w:marRight w:val="0"/>
      <w:marTop w:val="0"/>
      <w:marBottom w:val="0"/>
      <w:divBdr>
        <w:top w:val="none" w:sz="0" w:space="0" w:color="auto"/>
        <w:left w:val="none" w:sz="0" w:space="0" w:color="auto"/>
        <w:bottom w:val="none" w:sz="0" w:space="0" w:color="auto"/>
        <w:right w:val="none" w:sz="0" w:space="0" w:color="auto"/>
      </w:divBdr>
      <w:divsChild>
        <w:div w:id="1186670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040714">
      <w:bodyDiv w:val="1"/>
      <w:marLeft w:val="0"/>
      <w:marRight w:val="0"/>
      <w:marTop w:val="0"/>
      <w:marBottom w:val="0"/>
      <w:divBdr>
        <w:top w:val="none" w:sz="0" w:space="0" w:color="auto"/>
        <w:left w:val="none" w:sz="0" w:space="0" w:color="auto"/>
        <w:bottom w:val="none" w:sz="0" w:space="0" w:color="auto"/>
        <w:right w:val="none" w:sz="0" w:space="0" w:color="auto"/>
      </w:divBdr>
    </w:div>
    <w:div w:id="771899232">
      <w:bodyDiv w:val="1"/>
      <w:marLeft w:val="0"/>
      <w:marRight w:val="0"/>
      <w:marTop w:val="0"/>
      <w:marBottom w:val="0"/>
      <w:divBdr>
        <w:top w:val="none" w:sz="0" w:space="0" w:color="auto"/>
        <w:left w:val="none" w:sz="0" w:space="0" w:color="auto"/>
        <w:bottom w:val="none" w:sz="0" w:space="0" w:color="auto"/>
        <w:right w:val="none" w:sz="0" w:space="0" w:color="auto"/>
      </w:divBdr>
    </w:div>
    <w:div w:id="779489158">
      <w:bodyDiv w:val="1"/>
      <w:marLeft w:val="0"/>
      <w:marRight w:val="0"/>
      <w:marTop w:val="0"/>
      <w:marBottom w:val="0"/>
      <w:divBdr>
        <w:top w:val="none" w:sz="0" w:space="0" w:color="auto"/>
        <w:left w:val="none" w:sz="0" w:space="0" w:color="auto"/>
        <w:bottom w:val="none" w:sz="0" w:space="0" w:color="auto"/>
        <w:right w:val="none" w:sz="0" w:space="0" w:color="auto"/>
      </w:divBdr>
    </w:div>
    <w:div w:id="795639806">
      <w:bodyDiv w:val="1"/>
      <w:marLeft w:val="0"/>
      <w:marRight w:val="0"/>
      <w:marTop w:val="0"/>
      <w:marBottom w:val="0"/>
      <w:divBdr>
        <w:top w:val="none" w:sz="0" w:space="0" w:color="auto"/>
        <w:left w:val="none" w:sz="0" w:space="0" w:color="auto"/>
        <w:bottom w:val="none" w:sz="0" w:space="0" w:color="auto"/>
        <w:right w:val="none" w:sz="0" w:space="0" w:color="auto"/>
      </w:divBdr>
    </w:div>
    <w:div w:id="803473988">
      <w:bodyDiv w:val="1"/>
      <w:marLeft w:val="0"/>
      <w:marRight w:val="0"/>
      <w:marTop w:val="0"/>
      <w:marBottom w:val="0"/>
      <w:divBdr>
        <w:top w:val="none" w:sz="0" w:space="0" w:color="auto"/>
        <w:left w:val="none" w:sz="0" w:space="0" w:color="auto"/>
        <w:bottom w:val="none" w:sz="0" w:space="0" w:color="auto"/>
        <w:right w:val="none" w:sz="0" w:space="0" w:color="auto"/>
      </w:divBdr>
    </w:div>
    <w:div w:id="803693093">
      <w:bodyDiv w:val="1"/>
      <w:marLeft w:val="0"/>
      <w:marRight w:val="0"/>
      <w:marTop w:val="0"/>
      <w:marBottom w:val="0"/>
      <w:divBdr>
        <w:top w:val="none" w:sz="0" w:space="0" w:color="auto"/>
        <w:left w:val="none" w:sz="0" w:space="0" w:color="auto"/>
        <w:bottom w:val="none" w:sz="0" w:space="0" w:color="auto"/>
        <w:right w:val="none" w:sz="0" w:space="0" w:color="auto"/>
      </w:divBdr>
    </w:div>
    <w:div w:id="829563091">
      <w:bodyDiv w:val="1"/>
      <w:marLeft w:val="0"/>
      <w:marRight w:val="0"/>
      <w:marTop w:val="0"/>
      <w:marBottom w:val="0"/>
      <w:divBdr>
        <w:top w:val="none" w:sz="0" w:space="0" w:color="auto"/>
        <w:left w:val="none" w:sz="0" w:space="0" w:color="auto"/>
        <w:bottom w:val="none" w:sz="0" w:space="0" w:color="auto"/>
        <w:right w:val="none" w:sz="0" w:space="0" w:color="auto"/>
      </w:divBdr>
    </w:div>
    <w:div w:id="845485957">
      <w:bodyDiv w:val="1"/>
      <w:marLeft w:val="0"/>
      <w:marRight w:val="0"/>
      <w:marTop w:val="0"/>
      <w:marBottom w:val="0"/>
      <w:divBdr>
        <w:top w:val="none" w:sz="0" w:space="0" w:color="auto"/>
        <w:left w:val="none" w:sz="0" w:space="0" w:color="auto"/>
        <w:bottom w:val="none" w:sz="0" w:space="0" w:color="auto"/>
        <w:right w:val="none" w:sz="0" w:space="0" w:color="auto"/>
      </w:divBdr>
      <w:divsChild>
        <w:div w:id="33037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303029">
      <w:bodyDiv w:val="1"/>
      <w:marLeft w:val="0"/>
      <w:marRight w:val="0"/>
      <w:marTop w:val="0"/>
      <w:marBottom w:val="0"/>
      <w:divBdr>
        <w:top w:val="none" w:sz="0" w:space="0" w:color="auto"/>
        <w:left w:val="none" w:sz="0" w:space="0" w:color="auto"/>
        <w:bottom w:val="none" w:sz="0" w:space="0" w:color="auto"/>
        <w:right w:val="none" w:sz="0" w:space="0" w:color="auto"/>
      </w:divBdr>
    </w:div>
    <w:div w:id="878083375">
      <w:bodyDiv w:val="1"/>
      <w:marLeft w:val="0"/>
      <w:marRight w:val="0"/>
      <w:marTop w:val="0"/>
      <w:marBottom w:val="0"/>
      <w:divBdr>
        <w:top w:val="none" w:sz="0" w:space="0" w:color="auto"/>
        <w:left w:val="none" w:sz="0" w:space="0" w:color="auto"/>
        <w:bottom w:val="none" w:sz="0" w:space="0" w:color="auto"/>
        <w:right w:val="none" w:sz="0" w:space="0" w:color="auto"/>
      </w:divBdr>
    </w:div>
    <w:div w:id="879319176">
      <w:bodyDiv w:val="1"/>
      <w:marLeft w:val="0"/>
      <w:marRight w:val="0"/>
      <w:marTop w:val="0"/>
      <w:marBottom w:val="0"/>
      <w:divBdr>
        <w:top w:val="none" w:sz="0" w:space="0" w:color="auto"/>
        <w:left w:val="none" w:sz="0" w:space="0" w:color="auto"/>
        <w:bottom w:val="none" w:sz="0" w:space="0" w:color="auto"/>
        <w:right w:val="none" w:sz="0" w:space="0" w:color="auto"/>
      </w:divBdr>
    </w:div>
    <w:div w:id="910508240">
      <w:bodyDiv w:val="1"/>
      <w:marLeft w:val="0"/>
      <w:marRight w:val="0"/>
      <w:marTop w:val="0"/>
      <w:marBottom w:val="0"/>
      <w:divBdr>
        <w:top w:val="none" w:sz="0" w:space="0" w:color="auto"/>
        <w:left w:val="none" w:sz="0" w:space="0" w:color="auto"/>
        <w:bottom w:val="none" w:sz="0" w:space="0" w:color="auto"/>
        <w:right w:val="none" w:sz="0" w:space="0" w:color="auto"/>
      </w:divBdr>
    </w:div>
    <w:div w:id="932249804">
      <w:bodyDiv w:val="1"/>
      <w:marLeft w:val="0"/>
      <w:marRight w:val="0"/>
      <w:marTop w:val="0"/>
      <w:marBottom w:val="0"/>
      <w:divBdr>
        <w:top w:val="none" w:sz="0" w:space="0" w:color="auto"/>
        <w:left w:val="none" w:sz="0" w:space="0" w:color="auto"/>
        <w:bottom w:val="none" w:sz="0" w:space="0" w:color="auto"/>
        <w:right w:val="none" w:sz="0" w:space="0" w:color="auto"/>
      </w:divBdr>
    </w:div>
    <w:div w:id="942345542">
      <w:bodyDiv w:val="1"/>
      <w:marLeft w:val="0"/>
      <w:marRight w:val="0"/>
      <w:marTop w:val="0"/>
      <w:marBottom w:val="0"/>
      <w:divBdr>
        <w:top w:val="none" w:sz="0" w:space="0" w:color="auto"/>
        <w:left w:val="none" w:sz="0" w:space="0" w:color="auto"/>
        <w:bottom w:val="none" w:sz="0" w:space="0" w:color="auto"/>
        <w:right w:val="none" w:sz="0" w:space="0" w:color="auto"/>
      </w:divBdr>
    </w:div>
    <w:div w:id="948050340">
      <w:bodyDiv w:val="1"/>
      <w:marLeft w:val="0"/>
      <w:marRight w:val="0"/>
      <w:marTop w:val="0"/>
      <w:marBottom w:val="0"/>
      <w:divBdr>
        <w:top w:val="none" w:sz="0" w:space="0" w:color="auto"/>
        <w:left w:val="none" w:sz="0" w:space="0" w:color="auto"/>
        <w:bottom w:val="none" w:sz="0" w:space="0" w:color="auto"/>
        <w:right w:val="none" w:sz="0" w:space="0" w:color="auto"/>
      </w:divBdr>
    </w:div>
    <w:div w:id="950354643">
      <w:bodyDiv w:val="1"/>
      <w:marLeft w:val="0"/>
      <w:marRight w:val="0"/>
      <w:marTop w:val="0"/>
      <w:marBottom w:val="0"/>
      <w:divBdr>
        <w:top w:val="none" w:sz="0" w:space="0" w:color="auto"/>
        <w:left w:val="none" w:sz="0" w:space="0" w:color="auto"/>
        <w:bottom w:val="none" w:sz="0" w:space="0" w:color="auto"/>
        <w:right w:val="none" w:sz="0" w:space="0" w:color="auto"/>
      </w:divBdr>
      <w:divsChild>
        <w:div w:id="552157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673576">
      <w:bodyDiv w:val="1"/>
      <w:marLeft w:val="0"/>
      <w:marRight w:val="0"/>
      <w:marTop w:val="0"/>
      <w:marBottom w:val="0"/>
      <w:divBdr>
        <w:top w:val="none" w:sz="0" w:space="0" w:color="auto"/>
        <w:left w:val="none" w:sz="0" w:space="0" w:color="auto"/>
        <w:bottom w:val="none" w:sz="0" w:space="0" w:color="auto"/>
        <w:right w:val="none" w:sz="0" w:space="0" w:color="auto"/>
      </w:divBdr>
      <w:divsChild>
        <w:div w:id="6291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904327">
      <w:bodyDiv w:val="1"/>
      <w:marLeft w:val="0"/>
      <w:marRight w:val="0"/>
      <w:marTop w:val="0"/>
      <w:marBottom w:val="0"/>
      <w:divBdr>
        <w:top w:val="none" w:sz="0" w:space="0" w:color="auto"/>
        <w:left w:val="none" w:sz="0" w:space="0" w:color="auto"/>
        <w:bottom w:val="none" w:sz="0" w:space="0" w:color="auto"/>
        <w:right w:val="none" w:sz="0" w:space="0" w:color="auto"/>
      </w:divBdr>
    </w:div>
    <w:div w:id="987444855">
      <w:bodyDiv w:val="1"/>
      <w:marLeft w:val="0"/>
      <w:marRight w:val="0"/>
      <w:marTop w:val="0"/>
      <w:marBottom w:val="0"/>
      <w:divBdr>
        <w:top w:val="none" w:sz="0" w:space="0" w:color="auto"/>
        <w:left w:val="none" w:sz="0" w:space="0" w:color="auto"/>
        <w:bottom w:val="none" w:sz="0" w:space="0" w:color="auto"/>
        <w:right w:val="none" w:sz="0" w:space="0" w:color="auto"/>
      </w:divBdr>
    </w:div>
    <w:div w:id="991062689">
      <w:bodyDiv w:val="1"/>
      <w:marLeft w:val="0"/>
      <w:marRight w:val="0"/>
      <w:marTop w:val="0"/>
      <w:marBottom w:val="0"/>
      <w:divBdr>
        <w:top w:val="none" w:sz="0" w:space="0" w:color="auto"/>
        <w:left w:val="none" w:sz="0" w:space="0" w:color="auto"/>
        <w:bottom w:val="none" w:sz="0" w:space="0" w:color="auto"/>
        <w:right w:val="none" w:sz="0" w:space="0" w:color="auto"/>
      </w:divBdr>
    </w:div>
    <w:div w:id="1000038651">
      <w:bodyDiv w:val="1"/>
      <w:marLeft w:val="0"/>
      <w:marRight w:val="0"/>
      <w:marTop w:val="0"/>
      <w:marBottom w:val="0"/>
      <w:divBdr>
        <w:top w:val="none" w:sz="0" w:space="0" w:color="auto"/>
        <w:left w:val="none" w:sz="0" w:space="0" w:color="auto"/>
        <w:bottom w:val="none" w:sz="0" w:space="0" w:color="auto"/>
        <w:right w:val="none" w:sz="0" w:space="0" w:color="auto"/>
      </w:divBdr>
    </w:div>
    <w:div w:id="1042294085">
      <w:bodyDiv w:val="1"/>
      <w:marLeft w:val="0"/>
      <w:marRight w:val="0"/>
      <w:marTop w:val="0"/>
      <w:marBottom w:val="0"/>
      <w:divBdr>
        <w:top w:val="none" w:sz="0" w:space="0" w:color="auto"/>
        <w:left w:val="none" w:sz="0" w:space="0" w:color="auto"/>
        <w:bottom w:val="none" w:sz="0" w:space="0" w:color="auto"/>
        <w:right w:val="none" w:sz="0" w:space="0" w:color="auto"/>
      </w:divBdr>
    </w:div>
    <w:div w:id="1075199547">
      <w:bodyDiv w:val="1"/>
      <w:marLeft w:val="0"/>
      <w:marRight w:val="0"/>
      <w:marTop w:val="0"/>
      <w:marBottom w:val="0"/>
      <w:divBdr>
        <w:top w:val="none" w:sz="0" w:space="0" w:color="auto"/>
        <w:left w:val="none" w:sz="0" w:space="0" w:color="auto"/>
        <w:bottom w:val="none" w:sz="0" w:space="0" w:color="auto"/>
        <w:right w:val="none" w:sz="0" w:space="0" w:color="auto"/>
      </w:divBdr>
      <w:divsChild>
        <w:div w:id="105986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678362">
      <w:bodyDiv w:val="1"/>
      <w:marLeft w:val="0"/>
      <w:marRight w:val="0"/>
      <w:marTop w:val="0"/>
      <w:marBottom w:val="0"/>
      <w:divBdr>
        <w:top w:val="none" w:sz="0" w:space="0" w:color="auto"/>
        <w:left w:val="none" w:sz="0" w:space="0" w:color="auto"/>
        <w:bottom w:val="none" w:sz="0" w:space="0" w:color="auto"/>
        <w:right w:val="none" w:sz="0" w:space="0" w:color="auto"/>
      </w:divBdr>
    </w:div>
    <w:div w:id="1097796099">
      <w:bodyDiv w:val="1"/>
      <w:marLeft w:val="0"/>
      <w:marRight w:val="0"/>
      <w:marTop w:val="0"/>
      <w:marBottom w:val="0"/>
      <w:divBdr>
        <w:top w:val="none" w:sz="0" w:space="0" w:color="auto"/>
        <w:left w:val="none" w:sz="0" w:space="0" w:color="auto"/>
        <w:bottom w:val="none" w:sz="0" w:space="0" w:color="auto"/>
        <w:right w:val="none" w:sz="0" w:space="0" w:color="auto"/>
      </w:divBdr>
    </w:div>
    <w:div w:id="1102412935">
      <w:bodyDiv w:val="1"/>
      <w:marLeft w:val="0"/>
      <w:marRight w:val="0"/>
      <w:marTop w:val="0"/>
      <w:marBottom w:val="0"/>
      <w:divBdr>
        <w:top w:val="none" w:sz="0" w:space="0" w:color="auto"/>
        <w:left w:val="none" w:sz="0" w:space="0" w:color="auto"/>
        <w:bottom w:val="none" w:sz="0" w:space="0" w:color="auto"/>
        <w:right w:val="none" w:sz="0" w:space="0" w:color="auto"/>
      </w:divBdr>
      <w:divsChild>
        <w:div w:id="756025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441029">
      <w:bodyDiv w:val="1"/>
      <w:marLeft w:val="0"/>
      <w:marRight w:val="0"/>
      <w:marTop w:val="0"/>
      <w:marBottom w:val="0"/>
      <w:divBdr>
        <w:top w:val="none" w:sz="0" w:space="0" w:color="auto"/>
        <w:left w:val="none" w:sz="0" w:space="0" w:color="auto"/>
        <w:bottom w:val="none" w:sz="0" w:space="0" w:color="auto"/>
        <w:right w:val="none" w:sz="0" w:space="0" w:color="auto"/>
      </w:divBdr>
    </w:div>
    <w:div w:id="1127554222">
      <w:bodyDiv w:val="1"/>
      <w:marLeft w:val="0"/>
      <w:marRight w:val="0"/>
      <w:marTop w:val="0"/>
      <w:marBottom w:val="0"/>
      <w:divBdr>
        <w:top w:val="none" w:sz="0" w:space="0" w:color="auto"/>
        <w:left w:val="none" w:sz="0" w:space="0" w:color="auto"/>
        <w:bottom w:val="none" w:sz="0" w:space="0" w:color="auto"/>
        <w:right w:val="none" w:sz="0" w:space="0" w:color="auto"/>
      </w:divBdr>
    </w:div>
    <w:div w:id="1133592924">
      <w:bodyDiv w:val="1"/>
      <w:marLeft w:val="0"/>
      <w:marRight w:val="0"/>
      <w:marTop w:val="0"/>
      <w:marBottom w:val="0"/>
      <w:divBdr>
        <w:top w:val="none" w:sz="0" w:space="0" w:color="auto"/>
        <w:left w:val="none" w:sz="0" w:space="0" w:color="auto"/>
        <w:bottom w:val="none" w:sz="0" w:space="0" w:color="auto"/>
        <w:right w:val="none" w:sz="0" w:space="0" w:color="auto"/>
      </w:divBdr>
    </w:div>
    <w:div w:id="1151677517">
      <w:bodyDiv w:val="1"/>
      <w:marLeft w:val="0"/>
      <w:marRight w:val="0"/>
      <w:marTop w:val="0"/>
      <w:marBottom w:val="0"/>
      <w:divBdr>
        <w:top w:val="none" w:sz="0" w:space="0" w:color="auto"/>
        <w:left w:val="none" w:sz="0" w:space="0" w:color="auto"/>
        <w:bottom w:val="none" w:sz="0" w:space="0" w:color="auto"/>
        <w:right w:val="none" w:sz="0" w:space="0" w:color="auto"/>
      </w:divBdr>
    </w:div>
    <w:div w:id="1155990411">
      <w:bodyDiv w:val="1"/>
      <w:marLeft w:val="0"/>
      <w:marRight w:val="0"/>
      <w:marTop w:val="0"/>
      <w:marBottom w:val="0"/>
      <w:divBdr>
        <w:top w:val="none" w:sz="0" w:space="0" w:color="auto"/>
        <w:left w:val="none" w:sz="0" w:space="0" w:color="auto"/>
        <w:bottom w:val="none" w:sz="0" w:space="0" w:color="auto"/>
        <w:right w:val="none" w:sz="0" w:space="0" w:color="auto"/>
      </w:divBdr>
    </w:div>
    <w:div w:id="1174347153">
      <w:bodyDiv w:val="1"/>
      <w:marLeft w:val="0"/>
      <w:marRight w:val="0"/>
      <w:marTop w:val="0"/>
      <w:marBottom w:val="0"/>
      <w:divBdr>
        <w:top w:val="none" w:sz="0" w:space="0" w:color="auto"/>
        <w:left w:val="none" w:sz="0" w:space="0" w:color="auto"/>
        <w:bottom w:val="none" w:sz="0" w:space="0" w:color="auto"/>
        <w:right w:val="none" w:sz="0" w:space="0" w:color="auto"/>
      </w:divBdr>
    </w:div>
    <w:div w:id="1193691233">
      <w:bodyDiv w:val="1"/>
      <w:marLeft w:val="0"/>
      <w:marRight w:val="0"/>
      <w:marTop w:val="0"/>
      <w:marBottom w:val="0"/>
      <w:divBdr>
        <w:top w:val="none" w:sz="0" w:space="0" w:color="auto"/>
        <w:left w:val="none" w:sz="0" w:space="0" w:color="auto"/>
        <w:bottom w:val="none" w:sz="0" w:space="0" w:color="auto"/>
        <w:right w:val="none" w:sz="0" w:space="0" w:color="auto"/>
      </w:divBdr>
      <w:divsChild>
        <w:div w:id="494614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484742">
      <w:bodyDiv w:val="1"/>
      <w:marLeft w:val="0"/>
      <w:marRight w:val="0"/>
      <w:marTop w:val="0"/>
      <w:marBottom w:val="0"/>
      <w:divBdr>
        <w:top w:val="none" w:sz="0" w:space="0" w:color="auto"/>
        <w:left w:val="none" w:sz="0" w:space="0" w:color="auto"/>
        <w:bottom w:val="none" w:sz="0" w:space="0" w:color="auto"/>
        <w:right w:val="none" w:sz="0" w:space="0" w:color="auto"/>
      </w:divBdr>
    </w:div>
    <w:div w:id="1233925204">
      <w:bodyDiv w:val="1"/>
      <w:marLeft w:val="0"/>
      <w:marRight w:val="0"/>
      <w:marTop w:val="0"/>
      <w:marBottom w:val="0"/>
      <w:divBdr>
        <w:top w:val="none" w:sz="0" w:space="0" w:color="auto"/>
        <w:left w:val="none" w:sz="0" w:space="0" w:color="auto"/>
        <w:bottom w:val="none" w:sz="0" w:space="0" w:color="auto"/>
        <w:right w:val="none" w:sz="0" w:space="0" w:color="auto"/>
      </w:divBdr>
      <w:divsChild>
        <w:div w:id="564143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5653133">
      <w:bodyDiv w:val="1"/>
      <w:marLeft w:val="0"/>
      <w:marRight w:val="0"/>
      <w:marTop w:val="0"/>
      <w:marBottom w:val="0"/>
      <w:divBdr>
        <w:top w:val="none" w:sz="0" w:space="0" w:color="auto"/>
        <w:left w:val="none" w:sz="0" w:space="0" w:color="auto"/>
        <w:bottom w:val="none" w:sz="0" w:space="0" w:color="auto"/>
        <w:right w:val="none" w:sz="0" w:space="0" w:color="auto"/>
      </w:divBdr>
    </w:div>
    <w:div w:id="1278292273">
      <w:bodyDiv w:val="1"/>
      <w:marLeft w:val="0"/>
      <w:marRight w:val="0"/>
      <w:marTop w:val="0"/>
      <w:marBottom w:val="0"/>
      <w:divBdr>
        <w:top w:val="none" w:sz="0" w:space="0" w:color="auto"/>
        <w:left w:val="none" w:sz="0" w:space="0" w:color="auto"/>
        <w:bottom w:val="none" w:sz="0" w:space="0" w:color="auto"/>
        <w:right w:val="none" w:sz="0" w:space="0" w:color="auto"/>
      </w:divBdr>
      <w:divsChild>
        <w:div w:id="45224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310994">
      <w:bodyDiv w:val="1"/>
      <w:marLeft w:val="0"/>
      <w:marRight w:val="0"/>
      <w:marTop w:val="0"/>
      <w:marBottom w:val="0"/>
      <w:divBdr>
        <w:top w:val="none" w:sz="0" w:space="0" w:color="auto"/>
        <w:left w:val="none" w:sz="0" w:space="0" w:color="auto"/>
        <w:bottom w:val="none" w:sz="0" w:space="0" w:color="auto"/>
        <w:right w:val="none" w:sz="0" w:space="0" w:color="auto"/>
      </w:divBdr>
    </w:div>
    <w:div w:id="1302929690">
      <w:bodyDiv w:val="1"/>
      <w:marLeft w:val="0"/>
      <w:marRight w:val="0"/>
      <w:marTop w:val="0"/>
      <w:marBottom w:val="0"/>
      <w:divBdr>
        <w:top w:val="none" w:sz="0" w:space="0" w:color="auto"/>
        <w:left w:val="none" w:sz="0" w:space="0" w:color="auto"/>
        <w:bottom w:val="none" w:sz="0" w:space="0" w:color="auto"/>
        <w:right w:val="none" w:sz="0" w:space="0" w:color="auto"/>
      </w:divBdr>
      <w:divsChild>
        <w:div w:id="7147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97064">
      <w:bodyDiv w:val="1"/>
      <w:marLeft w:val="0"/>
      <w:marRight w:val="0"/>
      <w:marTop w:val="0"/>
      <w:marBottom w:val="0"/>
      <w:divBdr>
        <w:top w:val="none" w:sz="0" w:space="0" w:color="auto"/>
        <w:left w:val="none" w:sz="0" w:space="0" w:color="auto"/>
        <w:bottom w:val="none" w:sz="0" w:space="0" w:color="auto"/>
        <w:right w:val="none" w:sz="0" w:space="0" w:color="auto"/>
      </w:divBdr>
    </w:div>
    <w:div w:id="1368070438">
      <w:bodyDiv w:val="1"/>
      <w:marLeft w:val="0"/>
      <w:marRight w:val="0"/>
      <w:marTop w:val="0"/>
      <w:marBottom w:val="0"/>
      <w:divBdr>
        <w:top w:val="none" w:sz="0" w:space="0" w:color="auto"/>
        <w:left w:val="none" w:sz="0" w:space="0" w:color="auto"/>
        <w:bottom w:val="none" w:sz="0" w:space="0" w:color="auto"/>
        <w:right w:val="none" w:sz="0" w:space="0" w:color="auto"/>
      </w:divBdr>
    </w:div>
    <w:div w:id="1387291361">
      <w:bodyDiv w:val="1"/>
      <w:marLeft w:val="0"/>
      <w:marRight w:val="0"/>
      <w:marTop w:val="0"/>
      <w:marBottom w:val="0"/>
      <w:divBdr>
        <w:top w:val="none" w:sz="0" w:space="0" w:color="auto"/>
        <w:left w:val="none" w:sz="0" w:space="0" w:color="auto"/>
        <w:bottom w:val="none" w:sz="0" w:space="0" w:color="auto"/>
        <w:right w:val="none" w:sz="0" w:space="0" w:color="auto"/>
      </w:divBdr>
    </w:div>
    <w:div w:id="1392849972">
      <w:bodyDiv w:val="1"/>
      <w:marLeft w:val="0"/>
      <w:marRight w:val="0"/>
      <w:marTop w:val="0"/>
      <w:marBottom w:val="0"/>
      <w:divBdr>
        <w:top w:val="none" w:sz="0" w:space="0" w:color="auto"/>
        <w:left w:val="none" w:sz="0" w:space="0" w:color="auto"/>
        <w:bottom w:val="none" w:sz="0" w:space="0" w:color="auto"/>
        <w:right w:val="none" w:sz="0" w:space="0" w:color="auto"/>
      </w:divBdr>
    </w:div>
    <w:div w:id="1397968406">
      <w:bodyDiv w:val="1"/>
      <w:marLeft w:val="0"/>
      <w:marRight w:val="0"/>
      <w:marTop w:val="0"/>
      <w:marBottom w:val="0"/>
      <w:divBdr>
        <w:top w:val="none" w:sz="0" w:space="0" w:color="auto"/>
        <w:left w:val="none" w:sz="0" w:space="0" w:color="auto"/>
        <w:bottom w:val="none" w:sz="0" w:space="0" w:color="auto"/>
        <w:right w:val="none" w:sz="0" w:space="0" w:color="auto"/>
      </w:divBdr>
      <w:divsChild>
        <w:div w:id="317458745">
          <w:marLeft w:val="0"/>
          <w:marRight w:val="0"/>
          <w:marTop w:val="0"/>
          <w:marBottom w:val="0"/>
          <w:divBdr>
            <w:top w:val="none" w:sz="0" w:space="0" w:color="auto"/>
            <w:left w:val="none" w:sz="0" w:space="0" w:color="auto"/>
            <w:bottom w:val="none" w:sz="0" w:space="0" w:color="auto"/>
            <w:right w:val="none" w:sz="0" w:space="0" w:color="auto"/>
          </w:divBdr>
          <w:divsChild>
            <w:div w:id="17818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6946">
      <w:bodyDiv w:val="1"/>
      <w:marLeft w:val="0"/>
      <w:marRight w:val="0"/>
      <w:marTop w:val="0"/>
      <w:marBottom w:val="0"/>
      <w:divBdr>
        <w:top w:val="none" w:sz="0" w:space="0" w:color="auto"/>
        <w:left w:val="none" w:sz="0" w:space="0" w:color="auto"/>
        <w:bottom w:val="none" w:sz="0" w:space="0" w:color="auto"/>
        <w:right w:val="none" w:sz="0" w:space="0" w:color="auto"/>
      </w:divBdr>
      <w:divsChild>
        <w:div w:id="1048143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542012">
      <w:bodyDiv w:val="1"/>
      <w:marLeft w:val="0"/>
      <w:marRight w:val="0"/>
      <w:marTop w:val="0"/>
      <w:marBottom w:val="0"/>
      <w:divBdr>
        <w:top w:val="none" w:sz="0" w:space="0" w:color="auto"/>
        <w:left w:val="none" w:sz="0" w:space="0" w:color="auto"/>
        <w:bottom w:val="none" w:sz="0" w:space="0" w:color="auto"/>
        <w:right w:val="none" w:sz="0" w:space="0" w:color="auto"/>
      </w:divBdr>
    </w:div>
    <w:div w:id="1429082195">
      <w:bodyDiv w:val="1"/>
      <w:marLeft w:val="0"/>
      <w:marRight w:val="0"/>
      <w:marTop w:val="0"/>
      <w:marBottom w:val="0"/>
      <w:divBdr>
        <w:top w:val="none" w:sz="0" w:space="0" w:color="auto"/>
        <w:left w:val="none" w:sz="0" w:space="0" w:color="auto"/>
        <w:bottom w:val="none" w:sz="0" w:space="0" w:color="auto"/>
        <w:right w:val="none" w:sz="0" w:space="0" w:color="auto"/>
      </w:divBdr>
    </w:div>
    <w:div w:id="1431119844">
      <w:bodyDiv w:val="1"/>
      <w:marLeft w:val="0"/>
      <w:marRight w:val="0"/>
      <w:marTop w:val="0"/>
      <w:marBottom w:val="0"/>
      <w:divBdr>
        <w:top w:val="none" w:sz="0" w:space="0" w:color="auto"/>
        <w:left w:val="none" w:sz="0" w:space="0" w:color="auto"/>
        <w:bottom w:val="none" w:sz="0" w:space="0" w:color="auto"/>
        <w:right w:val="none" w:sz="0" w:space="0" w:color="auto"/>
      </w:divBdr>
    </w:div>
    <w:div w:id="1461607253">
      <w:bodyDiv w:val="1"/>
      <w:marLeft w:val="0"/>
      <w:marRight w:val="0"/>
      <w:marTop w:val="0"/>
      <w:marBottom w:val="0"/>
      <w:divBdr>
        <w:top w:val="none" w:sz="0" w:space="0" w:color="auto"/>
        <w:left w:val="none" w:sz="0" w:space="0" w:color="auto"/>
        <w:bottom w:val="none" w:sz="0" w:space="0" w:color="auto"/>
        <w:right w:val="none" w:sz="0" w:space="0" w:color="auto"/>
      </w:divBdr>
    </w:div>
    <w:div w:id="1467312643">
      <w:bodyDiv w:val="1"/>
      <w:marLeft w:val="0"/>
      <w:marRight w:val="0"/>
      <w:marTop w:val="0"/>
      <w:marBottom w:val="0"/>
      <w:divBdr>
        <w:top w:val="none" w:sz="0" w:space="0" w:color="auto"/>
        <w:left w:val="none" w:sz="0" w:space="0" w:color="auto"/>
        <w:bottom w:val="none" w:sz="0" w:space="0" w:color="auto"/>
        <w:right w:val="none" w:sz="0" w:space="0" w:color="auto"/>
      </w:divBdr>
    </w:div>
    <w:div w:id="1477450162">
      <w:bodyDiv w:val="1"/>
      <w:marLeft w:val="0"/>
      <w:marRight w:val="0"/>
      <w:marTop w:val="0"/>
      <w:marBottom w:val="0"/>
      <w:divBdr>
        <w:top w:val="none" w:sz="0" w:space="0" w:color="auto"/>
        <w:left w:val="none" w:sz="0" w:space="0" w:color="auto"/>
        <w:bottom w:val="none" w:sz="0" w:space="0" w:color="auto"/>
        <w:right w:val="none" w:sz="0" w:space="0" w:color="auto"/>
      </w:divBdr>
      <w:divsChild>
        <w:div w:id="1230070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843352">
      <w:bodyDiv w:val="1"/>
      <w:marLeft w:val="0"/>
      <w:marRight w:val="0"/>
      <w:marTop w:val="0"/>
      <w:marBottom w:val="0"/>
      <w:divBdr>
        <w:top w:val="none" w:sz="0" w:space="0" w:color="auto"/>
        <w:left w:val="none" w:sz="0" w:space="0" w:color="auto"/>
        <w:bottom w:val="none" w:sz="0" w:space="0" w:color="auto"/>
        <w:right w:val="none" w:sz="0" w:space="0" w:color="auto"/>
      </w:divBdr>
    </w:div>
    <w:div w:id="1484273744">
      <w:bodyDiv w:val="1"/>
      <w:marLeft w:val="0"/>
      <w:marRight w:val="0"/>
      <w:marTop w:val="0"/>
      <w:marBottom w:val="0"/>
      <w:divBdr>
        <w:top w:val="none" w:sz="0" w:space="0" w:color="auto"/>
        <w:left w:val="none" w:sz="0" w:space="0" w:color="auto"/>
        <w:bottom w:val="none" w:sz="0" w:space="0" w:color="auto"/>
        <w:right w:val="none" w:sz="0" w:space="0" w:color="auto"/>
      </w:divBdr>
      <w:divsChild>
        <w:div w:id="1967423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562549">
      <w:bodyDiv w:val="1"/>
      <w:marLeft w:val="0"/>
      <w:marRight w:val="0"/>
      <w:marTop w:val="0"/>
      <w:marBottom w:val="0"/>
      <w:divBdr>
        <w:top w:val="none" w:sz="0" w:space="0" w:color="auto"/>
        <w:left w:val="none" w:sz="0" w:space="0" w:color="auto"/>
        <w:bottom w:val="none" w:sz="0" w:space="0" w:color="auto"/>
        <w:right w:val="none" w:sz="0" w:space="0" w:color="auto"/>
      </w:divBdr>
    </w:div>
    <w:div w:id="1494492941">
      <w:bodyDiv w:val="1"/>
      <w:marLeft w:val="0"/>
      <w:marRight w:val="0"/>
      <w:marTop w:val="0"/>
      <w:marBottom w:val="0"/>
      <w:divBdr>
        <w:top w:val="none" w:sz="0" w:space="0" w:color="auto"/>
        <w:left w:val="none" w:sz="0" w:space="0" w:color="auto"/>
        <w:bottom w:val="none" w:sz="0" w:space="0" w:color="auto"/>
        <w:right w:val="none" w:sz="0" w:space="0" w:color="auto"/>
      </w:divBdr>
    </w:div>
    <w:div w:id="1529177975">
      <w:bodyDiv w:val="1"/>
      <w:marLeft w:val="0"/>
      <w:marRight w:val="0"/>
      <w:marTop w:val="0"/>
      <w:marBottom w:val="0"/>
      <w:divBdr>
        <w:top w:val="none" w:sz="0" w:space="0" w:color="auto"/>
        <w:left w:val="none" w:sz="0" w:space="0" w:color="auto"/>
        <w:bottom w:val="none" w:sz="0" w:space="0" w:color="auto"/>
        <w:right w:val="none" w:sz="0" w:space="0" w:color="auto"/>
      </w:divBdr>
    </w:div>
    <w:div w:id="1559780275">
      <w:bodyDiv w:val="1"/>
      <w:marLeft w:val="0"/>
      <w:marRight w:val="0"/>
      <w:marTop w:val="0"/>
      <w:marBottom w:val="0"/>
      <w:divBdr>
        <w:top w:val="none" w:sz="0" w:space="0" w:color="auto"/>
        <w:left w:val="none" w:sz="0" w:space="0" w:color="auto"/>
        <w:bottom w:val="none" w:sz="0" w:space="0" w:color="auto"/>
        <w:right w:val="none" w:sz="0" w:space="0" w:color="auto"/>
      </w:divBdr>
    </w:div>
    <w:div w:id="1566531128">
      <w:bodyDiv w:val="1"/>
      <w:marLeft w:val="0"/>
      <w:marRight w:val="0"/>
      <w:marTop w:val="0"/>
      <w:marBottom w:val="0"/>
      <w:divBdr>
        <w:top w:val="none" w:sz="0" w:space="0" w:color="auto"/>
        <w:left w:val="none" w:sz="0" w:space="0" w:color="auto"/>
        <w:bottom w:val="none" w:sz="0" w:space="0" w:color="auto"/>
        <w:right w:val="none" w:sz="0" w:space="0" w:color="auto"/>
      </w:divBdr>
      <w:divsChild>
        <w:div w:id="93482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799535">
      <w:bodyDiv w:val="1"/>
      <w:marLeft w:val="0"/>
      <w:marRight w:val="0"/>
      <w:marTop w:val="0"/>
      <w:marBottom w:val="0"/>
      <w:divBdr>
        <w:top w:val="none" w:sz="0" w:space="0" w:color="auto"/>
        <w:left w:val="none" w:sz="0" w:space="0" w:color="auto"/>
        <w:bottom w:val="none" w:sz="0" w:space="0" w:color="auto"/>
        <w:right w:val="none" w:sz="0" w:space="0" w:color="auto"/>
      </w:divBdr>
    </w:div>
    <w:div w:id="1576279155">
      <w:bodyDiv w:val="1"/>
      <w:marLeft w:val="0"/>
      <w:marRight w:val="0"/>
      <w:marTop w:val="0"/>
      <w:marBottom w:val="0"/>
      <w:divBdr>
        <w:top w:val="none" w:sz="0" w:space="0" w:color="auto"/>
        <w:left w:val="none" w:sz="0" w:space="0" w:color="auto"/>
        <w:bottom w:val="none" w:sz="0" w:space="0" w:color="auto"/>
        <w:right w:val="none" w:sz="0" w:space="0" w:color="auto"/>
      </w:divBdr>
      <w:divsChild>
        <w:div w:id="148715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6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584070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8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5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469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179879">
      <w:bodyDiv w:val="1"/>
      <w:marLeft w:val="0"/>
      <w:marRight w:val="0"/>
      <w:marTop w:val="0"/>
      <w:marBottom w:val="0"/>
      <w:divBdr>
        <w:top w:val="none" w:sz="0" w:space="0" w:color="auto"/>
        <w:left w:val="none" w:sz="0" w:space="0" w:color="auto"/>
        <w:bottom w:val="none" w:sz="0" w:space="0" w:color="auto"/>
        <w:right w:val="none" w:sz="0" w:space="0" w:color="auto"/>
      </w:divBdr>
    </w:div>
    <w:div w:id="1583950304">
      <w:bodyDiv w:val="1"/>
      <w:marLeft w:val="0"/>
      <w:marRight w:val="0"/>
      <w:marTop w:val="0"/>
      <w:marBottom w:val="0"/>
      <w:divBdr>
        <w:top w:val="none" w:sz="0" w:space="0" w:color="auto"/>
        <w:left w:val="none" w:sz="0" w:space="0" w:color="auto"/>
        <w:bottom w:val="none" w:sz="0" w:space="0" w:color="auto"/>
        <w:right w:val="none" w:sz="0" w:space="0" w:color="auto"/>
      </w:divBdr>
    </w:div>
    <w:div w:id="1594506985">
      <w:bodyDiv w:val="1"/>
      <w:marLeft w:val="0"/>
      <w:marRight w:val="0"/>
      <w:marTop w:val="0"/>
      <w:marBottom w:val="0"/>
      <w:divBdr>
        <w:top w:val="none" w:sz="0" w:space="0" w:color="auto"/>
        <w:left w:val="none" w:sz="0" w:space="0" w:color="auto"/>
        <w:bottom w:val="none" w:sz="0" w:space="0" w:color="auto"/>
        <w:right w:val="none" w:sz="0" w:space="0" w:color="auto"/>
      </w:divBdr>
    </w:div>
    <w:div w:id="1602103373">
      <w:bodyDiv w:val="1"/>
      <w:marLeft w:val="0"/>
      <w:marRight w:val="0"/>
      <w:marTop w:val="0"/>
      <w:marBottom w:val="0"/>
      <w:divBdr>
        <w:top w:val="none" w:sz="0" w:space="0" w:color="auto"/>
        <w:left w:val="none" w:sz="0" w:space="0" w:color="auto"/>
        <w:bottom w:val="none" w:sz="0" w:space="0" w:color="auto"/>
        <w:right w:val="none" w:sz="0" w:space="0" w:color="auto"/>
      </w:divBdr>
    </w:div>
    <w:div w:id="1611355210">
      <w:bodyDiv w:val="1"/>
      <w:marLeft w:val="0"/>
      <w:marRight w:val="0"/>
      <w:marTop w:val="0"/>
      <w:marBottom w:val="0"/>
      <w:divBdr>
        <w:top w:val="none" w:sz="0" w:space="0" w:color="auto"/>
        <w:left w:val="none" w:sz="0" w:space="0" w:color="auto"/>
        <w:bottom w:val="none" w:sz="0" w:space="0" w:color="auto"/>
        <w:right w:val="none" w:sz="0" w:space="0" w:color="auto"/>
      </w:divBdr>
    </w:div>
    <w:div w:id="1615819619">
      <w:bodyDiv w:val="1"/>
      <w:marLeft w:val="0"/>
      <w:marRight w:val="0"/>
      <w:marTop w:val="0"/>
      <w:marBottom w:val="0"/>
      <w:divBdr>
        <w:top w:val="none" w:sz="0" w:space="0" w:color="auto"/>
        <w:left w:val="none" w:sz="0" w:space="0" w:color="auto"/>
        <w:bottom w:val="none" w:sz="0" w:space="0" w:color="auto"/>
        <w:right w:val="none" w:sz="0" w:space="0" w:color="auto"/>
      </w:divBdr>
    </w:div>
    <w:div w:id="1644387297">
      <w:bodyDiv w:val="1"/>
      <w:marLeft w:val="0"/>
      <w:marRight w:val="0"/>
      <w:marTop w:val="0"/>
      <w:marBottom w:val="0"/>
      <w:divBdr>
        <w:top w:val="none" w:sz="0" w:space="0" w:color="auto"/>
        <w:left w:val="none" w:sz="0" w:space="0" w:color="auto"/>
        <w:bottom w:val="none" w:sz="0" w:space="0" w:color="auto"/>
        <w:right w:val="none" w:sz="0" w:space="0" w:color="auto"/>
      </w:divBdr>
      <w:divsChild>
        <w:div w:id="2092660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388447">
      <w:bodyDiv w:val="1"/>
      <w:marLeft w:val="0"/>
      <w:marRight w:val="0"/>
      <w:marTop w:val="0"/>
      <w:marBottom w:val="0"/>
      <w:divBdr>
        <w:top w:val="none" w:sz="0" w:space="0" w:color="auto"/>
        <w:left w:val="none" w:sz="0" w:space="0" w:color="auto"/>
        <w:bottom w:val="none" w:sz="0" w:space="0" w:color="auto"/>
        <w:right w:val="none" w:sz="0" w:space="0" w:color="auto"/>
      </w:divBdr>
    </w:div>
    <w:div w:id="1644969859">
      <w:bodyDiv w:val="1"/>
      <w:marLeft w:val="0"/>
      <w:marRight w:val="0"/>
      <w:marTop w:val="0"/>
      <w:marBottom w:val="0"/>
      <w:divBdr>
        <w:top w:val="none" w:sz="0" w:space="0" w:color="auto"/>
        <w:left w:val="none" w:sz="0" w:space="0" w:color="auto"/>
        <w:bottom w:val="none" w:sz="0" w:space="0" w:color="auto"/>
        <w:right w:val="none" w:sz="0" w:space="0" w:color="auto"/>
      </w:divBdr>
      <w:divsChild>
        <w:div w:id="611862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899413">
      <w:bodyDiv w:val="1"/>
      <w:marLeft w:val="0"/>
      <w:marRight w:val="0"/>
      <w:marTop w:val="0"/>
      <w:marBottom w:val="0"/>
      <w:divBdr>
        <w:top w:val="none" w:sz="0" w:space="0" w:color="auto"/>
        <w:left w:val="none" w:sz="0" w:space="0" w:color="auto"/>
        <w:bottom w:val="none" w:sz="0" w:space="0" w:color="auto"/>
        <w:right w:val="none" w:sz="0" w:space="0" w:color="auto"/>
      </w:divBdr>
    </w:div>
    <w:div w:id="1669482080">
      <w:bodyDiv w:val="1"/>
      <w:marLeft w:val="0"/>
      <w:marRight w:val="0"/>
      <w:marTop w:val="0"/>
      <w:marBottom w:val="0"/>
      <w:divBdr>
        <w:top w:val="none" w:sz="0" w:space="0" w:color="auto"/>
        <w:left w:val="none" w:sz="0" w:space="0" w:color="auto"/>
        <w:bottom w:val="none" w:sz="0" w:space="0" w:color="auto"/>
        <w:right w:val="none" w:sz="0" w:space="0" w:color="auto"/>
      </w:divBdr>
      <w:divsChild>
        <w:div w:id="448940270">
          <w:marLeft w:val="0"/>
          <w:marRight w:val="0"/>
          <w:marTop w:val="0"/>
          <w:marBottom w:val="0"/>
          <w:divBdr>
            <w:top w:val="none" w:sz="0" w:space="0" w:color="auto"/>
            <w:left w:val="none" w:sz="0" w:space="0" w:color="auto"/>
            <w:bottom w:val="none" w:sz="0" w:space="0" w:color="auto"/>
            <w:right w:val="none" w:sz="0" w:space="0" w:color="auto"/>
          </w:divBdr>
          <w:divsChild>
            <w:div w:id="1467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1204">
      <w:bodyDiv w:val="1"/>
      <w:marLeft w:val="0"/>
      <w:marRight w:val="0"/>
      <w:marTop w:val="0"/>
      <w:marBottom w:val="0"/>
      <w:divBdr>
        <w:top w:val="none" w:sz="0" w:space="0" w:color="auto"/>
        <w:left w:val="none" w:sz="0" w:space="0" w:color="auto"/>
        <w:bottom w:val="none" w:sz="0" w:space="0" w:color="auto"/>
        <w:right w:val="none" w:sz="0" w:space="0" w:color="auto"/>
      </w:divBdr>
      <w:divsChild>
        <w:div w:id="3470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009508">
      <w:bodyDiv w:val="1"/>
      <w:marLeft w:val="0"/>
      <w:marRight w:val="0"/>
      <w:marTop w:val="0"/>
      <w:marBottom w:val="0"/>
      <w:divBdr>
        <w:top w:val="none" w:sz="0" w:space="0" w:color="auto"/>
        <w:left w:val="none" w:sz="0" w:space="0" w:color="auto"/>
        <w:bottom w:val="none" w:sz="0" w:space="0" w:color="auto"/>
        <w:right w:val="none" w:sz="0" w:space="0" w:color="auto"/>
      </w:divBdr>
    </w:div>
    <w:div w:id="1759206015">
      <w:bodyDiv w:val="1"/>
      <w:marLeft w:val="0"/>
      <w:marRight w:val="0"/>
      <w:marTop w:val="0"/>
      <w:marBottom w:val="0"/>
      <w:divBdr>
        <w:top w:val="none" w:sz="0" w:space="0" w:color="auto"/>
        <w:left w:val="none" w:sz="0" w:space="0" w:color="auto"/>
        <w:bottom w:val="none" w:sz="0" w:space="0" w:color="auto"/>
        <w:right w:val="none" w:sz="0" w:space="0" w:color="auto"/>
      </w:divBdr>
    </w:div>
    <w:div w:id="1764643149">
      <w:bodyDiv w:val="1"/>
      <w:marLeft w:val="0"/>
      <w:marRight w:val="0"/>
      <w:marTop w:val="0"/>
      <w:marBottom w:val="0"/>
      <w:divBdr>
        <w:top w:val="none" w:sz="0" w:space="0" w:color="auto"/>
        <w:left w:val="none" w:sz="0" w:space="0" w:color="auto"/>
        <w:bottom w:val="none" w:sz="0" w:space="0" w:color="auto"/>
        <w:right w:val="none" w:sz="0" w:space="0" w:color="auto"/>
      </w:divBdr>
    </w:div>
    <w:div w:id="1764911692">
      <w:bodyDiv w:val="1"/>
      <w:marLeft w:val="0"/>
      <w:marRight w:val="0"/>
      <w:marTop w:val="0"/>
      <w:marBottom w:val="0"/>
      <w:divBdr>
        <w:top w:val="none" w:sz="0" w:space="0" w:color="auto"/>
        <w:left w:val="none" w:sz="0" w:space="0" w:color="auto"/>
        <w:bottom w:val="none" w:sz="0" w:space="0" w:color="auto"/>
        <w:right w:val="none" w:sz="0" w:space="0" w:color="auto"/>
      </w:divBdr>
    </w:div>
    <w:div w:id="1765346776">
      <w:bodyDiv w:val="1"/>
      <w:marLeft w:val="0"/>
      <w:marRight w:val="0"/>
      <w:marTop w:val="0"/>
      <w:marBottom w:val="0"/>
      <w:divBdr>
        <w:top w:val="none" w:sz="0" w:space="0" w:color="auto"/>
        <w:left w:val="none" w:sz="0" w:space="0" w:color="auto"/>
        <w:bottom w:val="none" w:sz="0" w:space="0" w:color="auto"/>
        <w:right w:val="none" w:sz="0" w:space="0" w:color="auto"/>
      </w:divBdr>
    </w:div>
    <w:div w:id="1770346810">
      <w:bodyDiv w:val="1"/>
      <w:marLeft w:val="0"/>
      <w:marRight w:val="0"/>
      <w:marTop w:val="0"/>
      <w:marBottom w:val="0"/>
      <w:divBdr>
        <w:top w:val="none" w:sz="0" w:space="0" w:color="auto"/>
        <w:left w:val="none" w:sz="0" w:space="0" w:color="auto"/>
        <w:bottom w:val="none" w:sz="0" w:space="0" w:color="auto"/>
        <w:right w:val="none" w:sz="0" w:space="0" w:color="auto"/>
      </w:divBdr>
    </w:div>
    <w:div w:id="1794320884">
      <w:bodyDiv w:val="1"/>
      <w:marLeft w:val="0"/>
      <w:marRight w:val="0"/>
      <w:marTop w:val="0"/>
      <w:marBottom w:val="0"/>
      <w:divBdr>
        <w:top w:val="none" w:sz="0" w:space="0" w:color="auto"/>
        <w:left w:val="none" w:sz="0" w:space="0" w:color="auto"/>
        <w:bottom w:val="none" w:sz="0" w:space="0" w:color="auto"/>
        <w:right w:val="none" w:sz="0" w:space="0" w:color="auto"/>
      </w:divBdr>
      <w:divsChild>
        <w:div w:id="80323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686898">
      <w:bodyDiv w:val="1"/>
      <w:marLeft w:val="0"/>
      <w:marRight w:val="0"/>
      <w:marTop w:val="0"/>
      <w:marBottom w:val="0"/>
      <w:divBdr>
        <w:top w:val="none" w:sz="0" w:space="0" w:color="auto"/>
        <w:left w:val="none" w:sz="0" w:space="0" w:color="auto"/>
        <w:bottom w:val="none" w:sz="0" w:space="0" w:color="auto"/>
        <w:right w:val="none" w:sz="0" w:space="0" w:color="auto"/>
      </w:divBdr>
    </w:div>
    <w:div w:id="1799835851">
      <w:bodyDiv w:val="1"/>
      <w:marLeft w:val="0"/>
      <w:marRight w:val="0"/>
      <w:marTop w:val="0"/>
      <w:marBottom w:val="0"/>
      <w:divBdr>
        <w:top w:val="none" w:sz="0" w:space="0" w:color="auto"/>
        <w:left w:val="none" w:sz="0" w:space="0" w:color="auto"/>
        <w:bottom w:val="none" w:sz="0" w:space="0" w:color="auto"/>
        <w:right w:val="none" w:sz="0" w:space="0" w:color="auto"/>
      </w:divBdr>
    </w:div>
    <w:div w:id="1806580751">
      <w:bodyDiv w:val="1"/>
      <w:marLeft w:val="0"/>
      <w:marRight w:val="0"/>
      <w:marTop w:val="0"/>
      <w:marBottom w:val="0"/>
      <w:divBdr>
        <w:top w:val="none" w:sz="0" w:space="0" w:color="auto"/>
        <w:left w:val="none" w:sz="0" w:space="0" w:color="auto"/>
        <w:bottom w:val="none" w:sz="0" w:space="0" w:color="auto"/>
        <w:right w:val="none" w:sz="0" w:space="0" w:color="auto"/>
      </w:divBdr>
    </w:div>
    <w:div w:id="1808476798">
      <w:bodyDiv w:val="1"/>
      <w:marLeft w:val="0"/>
      <w:marRight w:val="0"/>
      <w:marTop w:val="0"/>
      <w:marBottom w:val="0"/>
      <w:divBdr>
        <w:top w:val="none" w:sz="0" w:space="0" w:color="auto"/>
        <w:left w:val="none" w:sz="0" w:space="0" w:color="auto"/>
        <w:bottom w:val="none" w:sz="0" w:space="0" w:color="auto"/>
        <w:right w:val="none" w:sz="0" w:space="0" w:color="auto"/>
      </w:divBdr>
      <w:divsChild>
        <w:div w:id="1031958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971314">
      <w:bodyDiv w:val="1"/>
      <w:marLeft w:val="0"/>
      <w:marRight w:val="0"/>
      <w:marTop w:val="0"/>
      <w:marBottom w:val="0"/>
      <w:divBdr>
        <w:top w:val="none" w:sz="0" w:space="0" w:color="auto"/>
        <w:left w:val="none" w:sz="0" w:space="0" w:color="auto"/>
        <w:bottom w:val="none" w:sz="0" w:space="0" w:color="auto"/>
        <w:right w:val="none" w:sz="0" w:space="0" w:color="auto"/>
      </w:divBdr>
    </w:div>
    <w:div w:id="1833445289">
      <w:bodyDiv w:val="1"/>
      <w:marLeft w:val="0"/>
      <w:marRight w:val="0"/>
      <w:marTop w:val="0"/>
      <w:marBottom w:val="0"/>
      <w:divBdr>
        <w:top w:val="none" w:sz="0" w:space="0" w:color="auto"/>
        <w:left w:val="none" w:sz="0" w:space="0" w:color="auto"/>
        <w:bottom w:val="none" w:sz="0" w:space="0" w:color="auto"/>
        <w:right w:val="none" w:sz="0" w:space="0" w:color="auto"/>
      </w:divBdr>
    </w:div>
    <w:div w:id="1834490264">
      <w:bodyDiv w:val="1"/>
      <w:marLeft w:val="0"/>
      <w:marRight w:val="0"/>
      <w:marTop w:val="0"/>
      <w:marBottom w:val="0"/>
      <w:divBdr>
        <w:top w:val="none" w:sz="0" w:space="0" w:color="auto"/>
        <w:left w:val="none" w:sz="0" w:space="0" w:color="auto"/>
        <w:bottom w:val="none" w:sz="0" w:space="0" w:color="auto"/>
        <w:right w:val="none" w:sz="0" w:space="0" w:color="auto"/>
      </w:divBdr>
      <w:divsChild>
        <w:div w:id="108550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925868">
      <w:bodyDiv w:val="1"/>
      <w:marLeft w:val="0"/>
      <w:marRight w:val="0"/>
      <w:marTop w:val="0"/>
      <w:marBottom w:val="0"/>
      <w:divBdr>
        <w:top w:val="none" w:sz="0" w:space="0" w:color="auto"/>
        <w:left w:val="none" w:sz="0" w:space="0" w:color="auto"/>
        <w:bottom w:val="none" w:sz="0" w:space="0" w:color="auto"/>
        <w:right w:val="none" w:sz="0" w:space="0" w:color="auto"/>
      </w:divBdr>
    </w:div>
    <w:div w:id="1846281089">
      <w:bodyDiv w:val="1"/>
      <w:marLeft w:val="0"/>
      <w:marRight w:val="0"/>
      <w:marTop w:val="0"/>
      <w:marBottom w:val="0"/>
      <w:divBdr>
        <w:top w:val="none" w:sz="0" w:space="0" w:color="auto"/>
        <w:left w:val="none" w:sz="0" w:space="0" w:color="auto"/>
        <w:bottom w:val="none" w:sz="0" w:space="0" w:color="auto"/>
        <w:right w:val="none" w:sz="0" w:space="0" w:color="auto"/>
      </w:divBdr>
    </w:div>
    <w:div w:id="1866092568">
      <w:bodyDiv w:val="1"/>
      <w:marLeft w:val="0"/>
      <w:marRight w:val="0"/>
      <w:marTop w:val="0"/>
      <w:marBottom w:val="0"/>
      <w:divBdr>
        <w:top w:val="none" w:sz="0" w:space="0" w:color="auto"/>
        <w:left w:val="none" w:sz="0" w:space="0" w:color="auto"/>
        <w:bottom w:val="none" w:sz="0" w:space="0" w:color="auto"/>
        <w:right w:val="none" w:sz="0" w:space="0" w:color="auto"/>
      </w:divBdr>
    </w:div>
    <w:div w:id="1870483308">
      <w:bodyDiv w:val="1"/>
      <w:marLeft w:val="0"/>
      <w:marRight w:val="0"/>
      <w:marTop w:val="0"/>
      <w:marBottom w:val="0"/>
      <w:divBdr>
        <w:top w:val="none" w:sz="0" w:space="0" w:color="auto"/>
        <w:left w:val="none" w:sz="0" w:space="0" w:color="auto"/>
        <w:bottom w:val="none" w:sz="0" w:space="0" w:color="auto"/>
        <w:right w:val="none" w:sz="0" w:space="0" w:color="auto"/>
      </w:divBdr>
    </w:div>
    <w:div w:id="1870754287">
      <w:bodyDiv w:val="1"/>
      <w:marLeft w:val="0"/>
      <w:marRight w:val="0"/>
      <w:marTop w:val="0"/>
      <w:marBottom w:val="0"/>
      <w:divBdr>
        <w:top w:val="none" w:sz="0" w:space="0" w:color="auto"/>
        <w:left w:val="none" w:sz="0" w:space="0" w:color="auto"/>
        <w:bottom w:val="none" w:sz="0" w:space="0" w:color="auto"/>
        <w:right w:val="none" w:sz="0" w:space="0" w:color="auto"/>
      </w:divBdr>
    </w:div>
    <w:div w:id="1875264011">
      <w:bodyDiv w:val="1"/>
      <w:marLeft w:val="0"/>
      <w:marRight w:val="0"/>
      <w:marTop w:val="0"/>
      <w:marBottom w:val="0"/>
      <w:divBdr>
        <w:top w:val="none" w:sz="0" w:space="0" w:color="auto"/>
        <w:left w:val="none" w:sz="0" w:space="0" w:color="auto"/>
        <w:bottom w:val="none" w:sz="0" w:space="0" w:color="auto"/>
        <w:right w:val="none" w:sz="0" w:space="0" w:color="auto"/>
      </w:divBdr>
    </w:div>
    <w:div w:id="1926643830">
      <w:bodyDiv w:val="1"/>
      <w:marLeft w:val="0"/>
      <w:marRight w:val="0"/>
      <w:marTop w:val="0"/>
      <w:marBottom w:val="0"/>
      <w:divBdr>
        <w:top w:val="none" w:sz="0" w:space="0" w:color="auto"/>
        <w:left w:val="none" w:sz="0" w:space="0" w:color="auto"/>
        <w:bottom w:val="none" w:sz="0" w:space="0" w:color="auto"/>
        <w:right w:val="none" w:sz="0" w:space="0" w:color="auto"/>
      </w:divBdr>
    </w:div>
    <w:div w:id="1935165362">
      <w:bodyDiv w:val="1"/>
      <w:marLeft w:val="0"/>
      <w:marRight w:val="0"/>
      <w:marTop w:val="0"/>
      <w:marBottom w:val="0"/>
      <w:divBdr>
        <w:top w:val="none" w:sz="0" w:space="0" w:color="auto"/>
        <w:left w:val="none" w:sz="0" w:space="0" w:color="auto"/>
        <w:bottom w:val="none" w:sz="0" w:space="0" w:color="auto"/>
        <w:right w:val="none" w:sz="0" w:space="0" w:color="auto"/>
      </w:divBdr>
    </w:div>
    <w:div w:id="1942838443">
      <w:bodyDiv w:val="1"/>
      <w:marLeft w:val="0"/>
      <w:marRight w:val="0"/>
      <w:marTop w:val="0"/>
      <w:marBottom w:val="0"/>
      <w:divBdr>
        <w:top w:val="none" w:sz="0" w:space="0" w:color="auto"/>
        <w:left w:val="none" w:sz="0" w:space="0" w:color="auto"/>
        <w:bottom w:val="none" w:sz="0" w:space="0" w:color="auto"/>
        <w:right w:val="none" w:sz="0" w:space="0" w:color="auto"/>
      </w:divBdr>
    </w:div>
    <w:div w:id="1950119294">
      <w:bodyDiv w:val="1"/>
      <w:marLeft w:val="0"/>
      <w:marRight w:val="0"/>
      <w:marTop w:val="0"/>
      <w:marBottom w:val="0"/>
      <w:divBdr>
        <w:top w:val="none" w:sz="0" w:space="0" w:color="auto"/>
        <w:left w:val="none" w:sz="0" w:space="0" w:color="auto"/>
        <w:bottom w:val="none" w:sz="0" w:space="0" w:color="auto"/>
        <w:right w:val="none" w:sz="0" w:space="0" w:color="auto"/>
      </w:divBdr>
    </w:div>
    <w:div w:id="2000379651">
      <w:bodyDiv w:val="1"/>
      <w:marLeft w:val="0"/>
      <w:marRight w:val="0"/>
      <w:marTop w:val="0"/>
      <w:marBottom w:val="0"/>
      <w:divBdr>
        <w:top w:val="none" w:sz="0" w:space="0" w:color="auto"/>
        <w:left w:val="none" w:sz="0" w:space="0" w:color="auto"/>
        <w:bottom w:val="none" w:sz="0" w:space="0" w:color="auto"/>
        <w:right w:val="none" w:sz="0" w:space="0" w:color="auto"/>
      </w:divBdr>
    </w:div>
    <w:div w:id="2002538629">
      <w:bodyDiv w:val="1"/>
      <w:marLeft w:val="0"/>
      <w:marRight w:val="0"/>
      <w:marTop w:val="0"/>
      <w:marBottom w:val="0"/>
      <w:divBdr>
        <w:top w:val="none" w:sz="0" w:space="0" w:color="auto"/>
        <w:left w:val="none" w:sz="0" w:space="0" w:color="auto"/>
        <w:bottom w:val="none" w:sz="0" w:space="0" w:color="auto"/>
        <w:right w:val="none" w:sz="0" w:space="0" w:color="auto"/>
      </w:divBdr>
    </w:div>
    <w:div w:id="2007201579">
      <w:bodyDiv w:val="1"/>
      <w:marLeft w:val="0"/>
      <w:marRight w:val="0"/>
      <w:marTop w:val="0"/>
      <w:marBottom w:val="0"/>
      <w:divBdr>
        <w:top w:val="none" w:sz="0" w:space="0" w:color="auto"/>
        <w:left w:val="none" w:sz="0" w:space="0" w:color="auto"/>
        <w:bottom w:val="none" w:sz="0" w:space="0" w:color="auto"/>
        <w:right w:val="none" w:sz="0" w:space="0" w:color="auto"/>
      </w:divBdr>
    </w:div>
    <w:div w:id="2012103184">
      <w:bodyDiv w:val="1"/>
      <w:marLeft w:val="0"/>
      <w:marRight w:val="0"/>
      <w:marTop w:val="0"/>
      <w:marBottom w:val="0"/>
      <w:divBdr>
        <w:top w:val="none" w:sz="0" w:space="0" w:color="auto"/>
        <w:left w:val="none" w:sz="0" w:space="0" w:color="auto"/>
        <w:bottom w:val="none" w:sz="0" w:space="0" w:color="auto"/>
        <w:right w:val="none" w:sz="0" w:space="0" w:color="auto"/>
      </w:divBdr>
      <w:divsChild>
        <w:div w:id="103469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197456">
      <w:bodyDiv w:val="1"/>
      <w:marLeft w:val="0"/>
      <w:marRight w:val="0"/>
      <w:marTop w:val="0"/>
      <w:marBottom w:val="0"/>
      <w:divBdr>
        <w:top w:val="none" w:sz="0" w:space="0" w:color="auto"/>
        <w:left w:val="none" w:sz="0" w:space="0" w:color="auto"/>
        <w:bottom w:val="none" w:sz="0" w:space="0" w:color="auto"/>
        <w:right w:val="none" w:sz="0" w:space="0" w:color="auto"/>
      </w:divBdr>
    </w:div>
    <w:div w:id="2086565959">
      <w:bodyDiv w:val="1"/>
      <w:marLeft w:val="0"/>
      <w:marRight w:val="0"/>
      <w:marTop w:val="0"/>
      <w:marBottom w:val="0"/>
      <w:divBdr>
        <w:top w:val="none" w:sz="0" w:space="0" w:color="auto"/>
        <w:left w:val="none" w:sz="0" w:space="0" w:color="auto"/>
        <w:bottom w:val="none" w:sz="0" w:space="0" w:color="auto"/>
        <w:right w:val="none" w:sz="0" w:space="0" w:color="auto"/>
      </w:divBdr>
    </w:div>
    <w:div w:id="2089841071">
      <w:bodyDiv w:val="1"/>
      <w:marLeft w:val="0"/>
      <w:marRight w:val="0"/>
      <w:marTop w:val="0"/>
      <w:marBottom w:val="0"/>
      <w:divBdr>
        <w:top w:val="none" w:sz="0" w:space="0" w:color="auto"/>
        <w:left w:val="none" w:sz="0" w:space="0" w:color="auto"/>
        <w:bottom w:val="none" w:sz="0" w:space="0" w:color="auto"/>
        <w:right w:val="none" w:sz="0" w:space="0" w:color="auto"/>
      </w:divBdr>
    </w:div>
    <w:div w:id="2113740333">
      <w:bodyDiv w:val="1"/>
      <w:marLeft w:val="0"/>
      <w:marRight w:val="0"/>
      <w:marTop w:val="0"/>
      <w:marBottom w:val="0"/>
      <w:divBdr>
        <w:top w:val="none" w:sz="0" w:space="0" w:color="auto"/>
        <w:left w:val="none" w:sz="0" w:space="0" w:color="auto"/>
        <w:bottom w:val="none" w:sz="0" w:space="0" w:color="auto"/>
        <w:right w:val="none" w:sz="0" w:space="0" w:color="auto"/>
      </w:divBdr>
    </w:div>
    <w:div w:id="2129083532">
      <w:bodyDiv w:val="1"/>
      <w:marLeft w:val="0"/>
      <w:marRight w:val="0"/>
      <w:marTop w:val="0"/>
      <w:marBottom w:val="0"/>
      <w:divBdr>
        <w:top w:val="none" w:sz="0" w:space="0" w:color="auto"/>
        <w:left w:val="none" w:sz="0" w:space="0" w:color="auto"/>
        <w:bottom w:val="none" w:sz="0" w:space="0" w:color="auto"/>
        <w:right w:val="none" w:sz="0" w:space="0" w:color="auto"/>
      </w:divBdr>
    </w:div>
    <w:div w:id="2131195076">
      <w:bodyDiv w:val="1"/>
      <w:marLeft w:val="0"/>
      <w:marRight w:val="0"/>
      <w:marTop w:val="0"/>
      <w:marBottom w:val="0"/>
      <w:divBdr>
        <w:top w:val="none" w:sz="0" w:space="0" w:color="auto"/>
        <w:left w:val="none" w:sz="0" w:space="0" w:color="auto"/>
        <w:bottom w:val="none" w:sz="0" w:space="0" w:color="auto"/>
        <w:right w:val="none" w:sz="0" w:space="0" w:color="auto"/>
      </w:divBdr>
    </w:div>
    <w:div w:id="2135979150">
      <w:bodyDiv w:val="1"/>
      <w:marLeft w:val="0"/>
      <w:marRight w:val="0"/>
      <w:marTop w:val="0"/>
      <w:marBottom w:val="0"/>
      <w:divBdr>
        <w:top w:val="none" w:sz="0" w:space="0" w:color="auto"/>
        <w:left w:val="none" w:sz="0" w:space="0" w:color="auto"/>
        <w:bottom w:val="none" w:sz="0" w:space="0" w:color="auto"/>
        <w:right w:val="none" w:sz="0" w:space="0" w:color="auto"/>
      </w:divBdr>
    </w:div>
    <w:div w:id="2143688043">
      <w:bodyDiv w:val="1"/>
      <w:marLeft w:val="0"/>
      <w:marRight w:val="0"/>
      <w:marTop w:val="0"/>
      <w:marBottom w:val="0"/>
      <w:divBdr>
        <w:top w:val="none" w:sz="0" w:space="0" w:color="auto"/>
        <w:left w:val="none" w:sz="0" w:space="0" w:color="auto"/>
        <w:bottom w:val="none" w:sz="0" w:space="0" w:color="auto"/>
        <w:right w:val="none" w:sz="0" w:space="0" w:color="auto"/>
      </w:divBdr>
    </w:div>
    <w:div w:id="214650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 Id="rIdQaImg1" Type="http://schemas.openxmlformats.org/officeDocument/2006/relationships/image" Target="media/qa_chart1.png"/><Relationship Id="rIdQaImg2" Type="http://schemas.openxmlformats.org/officeDocument/2006/relationships/image" Target="media/qa_chart2.png"/><Relationship Id="rIdQaImg3" Type="http://schemas.openxmlformats.org/officeDocument/2006/relationships/image" Target="media/qa_chart3.png"/><Relationship Id="rIdQaImg4" Type="http://schemas.openxmlformats.org/officeDocument/2006/relationships/image" Target="media/qa_chart4.png"/><Relationship Id="rIdQaImg5" Type="http://schemas.openxmlformats.org/officeDocument/2006/relationships/image" Target="media/qa_chart5.png"/><Relationship Id="rIdQaImg6" Type="http://schemas.openxmlformats.org/officeDocument/2006/relationships/image" Target="media/qa_chart6.png"/><Relationship Id="rIdQaImg7" Type="http://schemas.openxmlformats.org/officeDocument/2006/relationships/image" Target="media/qa_chart7.png"/></Relationships>
</file>

<file path=word/_rels/footer1.xml.rels><?xml version="1.0" encoding="UTF-8" standalone="yes"?>
<Relationships xmlns="http://schemas.openxmlformats.org/package/2006/relationships"><Relationship Id="rId2" Type="http://schemas.openxmlformats.org/officeDocument/2006/relationships/hyperlink" Target="http://www.cyberartspro.com" TargetMode="External"/><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hyperlink" Target="http://www.cyberartspro.com"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0C64F6E86045FAA7B5DF2636BF8871"/>
        <w:category>
          <w:name w:val="General"/>
          <w:gallery w:val="placeholder"/>
        </w:category>
        <w:types>
          <w:type w:val="bbPlcHdr"/>
        </w:types>
        <w:behaviors>
          <w:behavior w:val="content"/>
        </w:behaviors>
        <w:guid w:val="{CBEEBF21-F30B-4B8A-8F84-5354608B7FFD}"/>
      </w:docPartPr>
      <w:docPartBody>
        <w:p w:rsidR="00000000" w:rsidRDefault="006D4EA6" w:rsidP="006D4EA6">
          <w:pPr>
            <w:pStyle w:val="6E0C64F6E86045FAA7B5DF2636BF887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A6"/>
    <w:rsid w:val="006D4EA6"/>
    <w:rsid w:val="00784C37"/>
    <w:rsid w:val="00F127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EA6"/>
    <w:rPr>
      <w:rFonts w:cs="Times New Roman"/>
      <w:sz w:val="3276"/>
      <w:szCs w:val="3276"/>
    </w:rPr>
  </w:style>
  <w:style w:type="character" w:default="1" w:styleId="DefaultParagraphFont">
    <w:name w:val="Default Paragraph Font"/>
    <w:uiPriority w:val="1"/>
    <w:semiHidden/>
    <w:unhideWhenUsed/>
    <w:rsid w:val="006D4E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0C64F6E86045FAA7B5DF2636BF8871">
    <w:name w:val="6E0C64F6E86045FAA7B5DF2636BF8871"/>
    <w:rsid w:val="006D4E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415DE-3EAD-43D5-A49A-09D3BA701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Template_v2.dotx</Template>
  <TotalTime>7</TotalTime>
  <Pages>33</Pages>
  <Words>13648</Words>
  <Characters>77797</Characters>
  <Application>Microsoft Office Word</Application>
  <DocSecurity>0</DocSecurity>
  <Lines>648</Lines>
  <Paragraphs>182</Paragraphs>
  <ScaleCrop>false</ScaleCrop>
  <Company/>
  <LinksUpToDate>false</LinksUpToDate>
  <CharactersWithSpaces>91263</CharactersWithSpaces>
  <SharedDoc>false</SharedDoc>
  <HLinks>
    <vt:vector size="270" baseType="variant">
      <vt:variant>
        <vt:i4>1310783</vt:i4>
      </vt:variant>
      <vt:variant>
        <vt:i4>266</vt:i4>
      </vt:variant>
      <vt:variant>
        <vt:i4>0</vt:i4>
      </vt:variant>
      <vt:variant>
        <vt:i4>5</vt:i4>
      </vt:variant>
      <vt:variant>
        <vt:lpwstr/>
      </vt:variant>
      <vt:variant>
        <vt:lpwstr>_Toc197891039</vt:lpwstr>
      </vt:variant>
      <vt:variant>
        <vt:i4>1310783</vt:i4>
      </vt:variant>
      <vt:variant>
        <vt:i4>260</vt:i4>
      </vt:variant>
      <vt:variant>
        <vt:i4>0</vt:i4>
      </vt:variant>
      <vt:variant>
        <vt:i4>5</vt:i4>
      </vt:variant>
      <vt:variant>
        <vt:lpwstr/>
      </vt:variant>
      <vt:variant>
        <vt:lpwstr>_Toc197891038</vt:lpwstr>
      </vt:variant>
      <vt:variant>
        <vt:i4>1310783</vt:i4>
      </vt:variant>
      <vt:variant>
        <vt:i4>254</vt:i4>
      </vt:variant>
      <vt:variant>
        <vt:i4>0</vt:i4>
      </vt:variant>
      <vt:variant>
        <vt:i4>5</vt:i4>
      </vt:variant>
      <vt:variant>
        <vt:lpwstr/>
      </vt:variant>
      <vt:variant>
        <vt:lpwstr>_Toc197891037</vt:lpwstr>
      </vt:variant>
      <vt:variant>
        <vt:i4>1310783</vt:i4>
      </vt:variant>
      <vt:variant>
        <vt:i4>248</vt:i4>
      </vt:variant>
      <vt:variant>
        <vt:i4>0</vt:i4>
      </vt:variant>
      <vt:variant>
        <vt:i4>5</vt:i4>
      </vt:variant>
      <vt:variant>
        <vt:lpwstr/>
      </vt:variant>
      <vt:variant>
        <vt:lpwstr>_Toc197891036</vt:lpwstr>
      </vt:variant>
      <vt:variant>
        <vt:i4>1310783</vt:i4>
      </vt:variant>
      <vt:variant>
        <vt:i4>242</vt:i4>
      </vt:variant>
      <vt:variant>
        <vt:i4>0</vt:i4>
      </vt:variant>
      <vt:variant>
        <vt:i4>5</vt:i4>
      </vt:variant>
      <vt:variant>
        <vt:lpwstr/>
      </vt:variant>
      <vt:variant>
        <vt:lpwstr>_Toc197891035</vt:lpwstr>
      </vt:variant>
      <vt:variant>
        <vt:i4>1310783</vt:i4>
      </vt:variant>
      <vt:variant>
        <vt:i4>236</vt:i4>
      </vt:variant>
      <vt:variant>
        <vt:i4>0</vt:i4>
      </vt:variant>
      <vt:variant>
        <vt:i4>5</vt:i4>
      </vt:variant>
      <vt:variant>
        <vt:lpwstr/>
      </vt:variant>
      <vt:variant>
        <vt:lpwstr>_Toc197891034</vt:lpwstr>
      </vt:variant>
      <vt:variant>
        <vt:i4>1310783</vt:i4>
      </vt:variant>
      <vt:variant>
        <vt:i4>230</vt:i4>
      </vt:variant>
      <vt:variant>
        <vt:i4>0</vt:i4>
      </vt:variant>
      <vt:variant>
        <vt:i4>5</vt:i4>
      </vt:variant>
      <vt:variant>
        <vt:lpwstr/>
      </vt:variant>
      <vt:variant>
        <vt:lpwstr>_Toc197891033</vt:lpwstr>
      </vt:variant>
      <vt:variant>
        <vt:i4>1310783</vt:i4>
      </vt:variant>
      <vt:variant>
        <vt:i4>224</vt:i4>
      </vt:variant>
      <vt:variant>
        <vt:i4>0</vt:i4>
      </vt:variant>
      <vt:variant>
        <vt:i4>5</vt:i4>
      </vt:variant>
      <vt:variant>
        <vt:lpwstr/>
      </vt:variant>
      <vt:variant>
        <vt:lpwstr>_Toc197891032</vt:lpwstr>
      </vt:variant>
      <vt:variant>
        <vt:i4>1310783</vt:i4>
      </vt:variant>
      <vt:variant>
        <vt:i4>218</vt:i4>
      </vt:variant>
      <vt:variant>
        <vt:i4>0</vt:i4>
      </vt:variant>
      <vt:variant>
        <vt:i4>5</vt:i4>
      </vt:variant>
      <vt:variant>
        <vt:lpwstr/>
      </vt:variant>
      <vt:variant>
        <vt:lpwstr>_Toc197891031</vt:lpwstr>
      </vt:variant>
      <vt:variant>
        <vt:i4>1310783</vt:i4>
      </vt:variant>
      <vt:variant>
        <vt:i4>212</vt:i4>
      </vt:variant>
      <vt:variant>
        <vt:i4>0</vt:i4>
      </vt:variant>
      <vt:variant>
        <vt:i4>5</vt:i4>
      </vt:variant>
      <vt:variant>
        <vt:lpwstr/>
      </vt:variant>
      <vt:variant>
        <vt:lpwstr>_Toc197891030</vt:lpwstr>
      </vt:variant>
      <vt:variant>
        <vt:i4>1376319</vt:i4>
      </vt:variant>
      <vt:variant>
        <vt:i4>206</vt:i4>
      </vt:variant>
      <vt:variant>
        <vt:i4>0</vt:i4>
      </vt:variant>
      <vt:variant>
        <vt:i4>5</vt:i4>
      </vt:variant>
      <vt:variant>
        <vt:lpwstr/>
      </vt:variant>
      <vt:variant>
        <vt:lpwstr>_Toc197891029</vt:lpwstr>
      </vt:variant>
      <vt:variant>
        <vt:i4>1376319</vt:i4>
      </vt:variant>
      <vt:variant>
        <vt:i4>200</vt:i4>
      </vt:variant>
      <vt:variant>
        <vt:i4>0</vt:i4>
      </vt:variant>
      <vt:variant>
        <vt:i4>5</vt:i4>
      </vt:variant>
      <vt:variant>
        <vt:lpwstr/>
      </vt:variant>
      <vt:variant>
        <vt:lpwstr>_Toc197891028</vt:lpwstr>
      </vt:variant>
      <vt:variant>
        <vt:i4>1376319</vt:i4>
      </vt:variant>
      <vt:variant>
        <vt:i4>194</vt:i4>
      </vt:variant>
      <vt:variant>
        <vt:i4>0</vt:i4>
      </vt:variant>
      <vt:variant>
        <vt:i4>5</vt:i4>
      </vt:variant>
      <vt:variant>
        <vt:lpwstr/>
      </vt:variant>
      <vt:variant>
        <vt:lpwstr>_Toc197891027</vt:lpwstr>
      </vt:variant>
      <vt:variant>
        <vt:i4>1376319</vt:i4>
      </vt:variant>
      <vt:variant>
        <vt:i4>188</vt:i4>
      </vt:variant>
      <vt:variant>
        <vt:i4>0</vt:i4>
      </vt:variant>
      <vt:variant>
        <vt:i4>5</vt:i4>
      </vt:variant>
      <vt:variant>
        <vt:lpwstr/>
      </vt:variant>
      <vt:variant>
        <vt:lpwstr>_Toc197891026</vt:lpwstr>
      </vt:variant>
      <vt:variant>
        <vt:i4>1376319</vt:i4>
      </vt:variant>
      <vt:variant>
        <vt:i4>182</vt:i4>
      </vt:variant>
      <vt:variant>
        <vt:i4>0</vt:i4>
      </vt:variant>
      <vt:variant>
        <vt:i4>5</vt:i4>
      </vt:variant>
      <vt:variant>
        <vt:lpwstr/>
      </vt:variant>
      <vt:variant>
        <vt:lpwstr>_Toc197891025</vt:lpwstr>
      </vt:variant>
      <vt:variant>
        <vt:i4>1376319</vt:i4>
      </vt:variant>
      <vt:variant>
        <vt:i4>176</vt:i4>
      </vt:variant>
      <vt:variant>
        <vt:i4>0</vt:i4>
      </vt:variant>
      <vt:variant>
        <vt:i4>5</vt:i4>
      </vt:variant>
      <vt:variant>
        <vt:lpwstr/>
      </vt:variant>
      <vt:variant>
        <vt:lpwstr>_Toc197891024</vt:lpwstr>
      </vt:variant>
      <vt:variant>
        <vt:i4>1376319</vt:i4>
      </vt:variant>
      <vt:variant>
        <vt:i4>170</vt:i4>
      </vt:variant>
      <vt:variant>
        <vt:i4>0</vt:i4>
      </vt:variant>
      <vt:variant>
        <vt:i4>5</vt:i4>
      </vt:variant>
      <vt:variant>
        <vt:lpwstr/>
      </vt:variant>
      <vt:variant>
        <vt:lpwstr>_Toc197891023</vt:lpwstr>
      </vt:variant>
      <vt:variant>
        <vt:i4>1376319</vt:i4>
      </vt:variant>
      <vt:variant>
        <vt:i4>164</vt:i4>
      </vt:variant>
      <vt:variant>
        <vt:i4>0</vt:i4>
      </vt:variant>
      <vt:variant>
        <vt:i4>5</vt:i4>
      </vt:variant>
      <vt:variant>
        <vt:lpwstr/>
      </vt:variant>
      <vt:variant>
        <vt:lpwstr>_Toc197891022</vt:lpwstr>
      </vt:variant>
      <vt:variant>
        <vt:i4>1376319</vt:i4>
      </vt:variant>
      <vt:variant>
        <vt:i4>158</vt:i4>
      </vt:variant>
      <vt:variant>
        <vt:i4>0</vt:i4>
      </vt:variant>
      <vt:variant>
        <vt:i4>5</vt:i4>
      </vt:variant>
      <vt:variant>
        <vt:lpwstr/>
      </vt:variant>
      <vt:variant>
        <vt:lpwstr>_Toc197891021</vt:lpwstr>
      </vt:variant>
      <vt:variant>
        <vt:i4>1376319</vt:i4>
      </vt:variant>
      <vt:variant>
        <vt:i4>152</vt:i4>
      </vt:variant>
      <vt:variant>
        <vt:i4>0</vt:i4>
      </vt:variant>
      <vt:variant>
        <vt:i4>5</vt:i4>
      </vt:variant>
      <vt:variant>
        <vt:lpwstr/>
      </vt:variant>
      <vt:variant>
        <vt:lpwstr>_Toc197891020</vt:lpwstr>
      </vt:variant>
      <vt:variant>
        <vt:i4>1441855</vt:i4>
      </vt:variant>
      <vt:variant>
        <vt:i4>146</vt:i4>
      </vt:variant>
      <vt:variant>
        <vt:i4>0</vt:i4>
      </vt:variant>
      <vt:variant>
        <vt:i4>5</vt:i4>
      </vt:variant>
      <vt:variant>
        <vt:lpwstr/>
      </vt:variant>
      <vt:variant>
        <vt:lpwstr>_Toc197891019</vt:lpwstr>
      </vt:variant>
      <vt:variant>
        <vt:i4>1441855</vt:i4>
      </vt:variant>
      <vt:variant>
        <vt:i4>140</vt:i4>
      </vt:variant>
      <vt:variant>
        <vt:i4>0</vt:i4>
      </vt:variant>
      <vt:variant>
        <vt:i4>5</vt:i4>
      </vt:variant>
      <vt:variant>
        <vt:lpwstr/>
      </vt:variant>
      <vt:variant>
        <vt:lpwstr>_Toc197891018</vt:lpwstr>
      </vt:variant>
      <vt:variant>
        <vt:i4>1441855</vt:i4>
      </vt:variant>
      <vt:variant>
        <vt:i4>134</vt:i4>
      </vt:variant>
      <vt:variant>
        <vt:i4>0</vt:i4>
      </vt:variant>
      <vt:variant>
        <vt:i4>5</vt:i4>
      </vt:variant>
      <vt:variant>
        <vt:lpwstr/>
      </vt:variant>
      <vt:variant>
        <vt:lpwstr>_Toc197891017</vt:lpwstr>
      </vt:variant>
      <vt:variant>
        <vt:i4>1441855</vt:i4>
      </vt:variant>
      <vt:variant>
        <vt:i4>128</vt:i4>
      </vt:variant>
      <vt:variant>
        <vt:i4>0</vt:i4>
      </vt:variant>
      <vt:variant>
        <vt:i4>5</vt:i4>
      </vt:variant>
      <vt:variant>
        <vt:lpwstr/>
      </vt:variant>
      <vt:variant>
        <vt:lpwstr>_Toc197891016</vt:lpwstr>
      </vt:variant>
      <vt:variant>
        <vt:i4>1441855</vt:i4>
      </vt:variant>
      <vt:variant>
        <vt:i4>122</vt:i4>
      </vt:variant>
      <vt:variant>
        <vt:i4>0</vt:i4>
      </vt:variant>
      <vt:variant>
        <vt:i4>5</vt:i4>
      </vt:variant>
      <vt:variant>
        <vt:lpwstr/>
      </vt:variant>
      <vt:variant>
        <vt:lpwstr>_Toc197891015</vt:lpwstr>
      </vt:variant>
      <vt:variant>
        <vt:i4>1441855</vt:i4>
      </vt:variant>
      <vt:variant>
        <vt:i4>116</vt:i4>
      </vt:variant>
      <vt:variant>
        <vt:i4>0</vt:i4>
      </vt:variant>
      <vt:variant>
        <vt:i4>5</vt:i4>
      </vt:variant>
      <vt:variant>
        <vt:lpwstr/>
      </vt:variant>
      <vt:variant>
        <vt:lpwstr>_Toc197891014</vt:lpwstr>
      </vt:variant>
      <vt:variant>
        <vt:i4>1441855</vt:i4>
      </vt:variant>
      <vt:variant>
        <vt:i4>110</vt:i4>
      </vt:variant>
      <vt:variant>
        <vt:i4>0</vt:i4>
      </vt:variant>
      <vt:variant>
        <vt:i4>5</vt:i4>
      </vt:variant>
      <vt:variant>
        <vt:lpwstr/>
      </vt:variant>
      <vt:variant>
        <vt:lpwstr>_Toc197891013</vt:lpwstr>
      </vt:variant>
      <vt:variant>
        <vt:i4>1441855</vt:i4>
      </vt:variant>
      <vt:variant>
        <vt:i4>104</vt:i4>
      </vt:variant>
      <vt:variant>
        <vt:i4>0</vt:i4>
      </vt:variant>
      <vt:variant>
        <vt:i4>5</vt:i4>
      </vt:variant>
      <vt:variant>
        <vt:lpwstr/>
      </vt:variant>
      <vt:variant>
        <vt:lpwstr>_Toc197891012</vt:lpwstr>
      </vt:variant>
      <vt:variant>
        <vt:i4>1441855</vt:i4>
      </vt:variant>
      <vt:variant>
        <vt:i4>98</vt:i4>
      </vt:variant>
      <vt:variant>
        <vt:i4>0</vt:i4>
      </vt:variant>
      <vt:variant>
        <vt:i4>5</vt:i4>
      </vt:variant>
      <vt:variant>
        <vt:lpwstr/>
      </vt:variant>
      <vt:variant>
        <vt:lpwstr>_Toc197891011</vt:lpwstr>
      </vt:variant>
      <vt:variant>
        <vt:i4>1441855</vt:i4>
      </vt:variant>
      <vt:variant>
        <vt:i4>92</vt:i4>
      </vt:variant>
      <vt:variant>
        <vt:i4>0</vt:i4>
      </vt:variant>
      <vt:variant>
        <vt:i4>5</vt:i4>
      </vt:variant>
      <vt:variant>
        <vt:lpwstr/>
      </vt:variant>
      <vt:variant>
        <vt:lpwstr>_Toc197891010</vt:lpwstr>
      </vt:variant>
      <vt:variant>
        <vt:i4>1507391</vt:i4>
      </vt:variant>
      <vt:variant>
        <vt:i4>86</vt:i4>
      </vt:variant>
      <vt:variant>
        <vt:i4>0</vt:i4>
      </vt:variant>
      <vt:variant>
        <vt:i4>5</vt:i4>
      </vt:variant>
      <vt:variant>
        <vt:lpwstr/>
      </vt:variant>
      <vt:variant>
        <vt:lpwstr>_Toc197891009</vt:lpwstr>
      </vt:variant>
      <vt:variant>
        <vt:i4>1507391</vt:i4>
      </vt:variant>
      <vt:variant>
        <vt:i4>80</vt:i4>
      </vt:variant>
      <vt:variant>
        <vt:i4>0</vt:i4>
      </vt:variant>
      <vt:variant>
        <vt:i4>5</vt:i4>
      </vt:variant>
      <vt:variant>
        <vt:lpwstr/>
      </vt:variant>
      <vt:variant>
        <vt:lpwstr>_Toc197891008</vt:lpwstr>
      </vt:variant>
      <vt:variant>
        <vt:i4>1507391</vt:i4>
      </vt:variant>
      <vt:variant>
        <vt:i4>74</vt:i4>
      </vt:variant>
      <vt:variant>
        <vt:i4>0</vt:i4>
      </vt:variant>
      <vt:variant>
        <vt:i4>5</vt:i4>
      </vt:variant>
      <vt:variant>
        <vt:lpwstr/>
      </vt:variant>
      <vt:variant>
        <vt:lpwstr>_Toc197891007</vt:lpwstr>
      </vt:variant>
      <vt:variant>
        <vt:i4>1507391</vt:i4>
      </vt:variant>
      <vt:variant>
        <vt:i4>68</vt:i4>
      </vt:variant>
      <vt:variant>
        <vt:i4>0</vt:i4>
      </vt:variant>
      <vt:variant>
        <vt:i4>5</vt:i4>
      </vt:variant>
      <vt:variant>
        <vt:lpwstr/>
      </vt:variant>
      <vt:variant>
        <vt:lpwstr>_Toc197891006</vt:lpwstr>
      </vt:variant>
      <vt:variant>
        <vt:i4>1507391</vt:i4>
      </vt:variant>
      <vt:variant>
        <vt:i4>62</vt:i4>
      </vt:variant>
      <vt:variant>
        <vt:i4>0</vt:i4>
      </vt:variant>
      <vt:variant>
        <vt:i4>5</vt:i4>
      </vt:variant>
      <vt:variant>
        <vt:lpwstr/>
      </vt:variant>
      <vt:variant>
        <vt:lpwstr>_Toc197891005</vt:lpwstr>
      </vt:variant>
      <vt:variant>
        <vt:i4>1507391</vt:i4>
      </vt:variant>
      <vt:variant>
        <vt:i4>56</vt:i4>
      </vt:variant>
      <vt:variant>
        <vt:i4>0</vt:i4>
      </vt:variant>
      <vt:variant>
        <vt:i4>5</vt:i4>
      </vt:variant>
      <vt:variant>
        <vt:lpwstr/>
      </vt:variant>
      <vt:variant>
        <vt:lpwstr>_Toc197891004</vt:lpwstr>
      </vt:variant>
      <vt:variant>
        <vt:i4>1507391</vt:i4>
      </vt:variant>
      <vt:variant>
        <vt:i4>50</vt:i4>
      </vt:variant>
      <vt:variant>
        <vt:i4>0</vt:i4>
      </vt:variant>
      <vt:variant>
        <vt:i4>5</vt:i4>
      </vt:variant>
      <vt:variant>
        <vt:lpwstr/>
      </vt:variant>
      <vt:variant>
        <vt:lpwstr>_Toc197891003</vt:lpwstr>
      </vt:variant>
      <vt:variant>
        <vt:i4>1507391</vt:i4>
      </vt:variant>
      <vt:variant>
        <vt:i4>44</vt:i4>
      </vt:variant>
      <vt:variant>
        <vt:i4>0</vt:i4>
      </vt:variant>
      <vt:variant>
        <vt:i4>5</vt:i4>
      </vt:variant>
      <vt:variant>
        <vt:lpwstr/>
      </vt:variant>
      <vt:variant>
        <vt:lpwstr>_Toc197891002</vt:lpwstr>
      </vt:variant>
      <vt:variant>
        <vt:i4>1507391</vt:i4>
      </vt:variant>
      <vt:variant>
        <vt:i4>38</vt:i4>
      </vt:variant>
      <vt:variant>
        <vt:i4>0</vt:i4>
      </vt:variant>
      <vt:variant>
        <vt:i4>5</vt:i4>
      </vt:variant>
      <vt:variant>
        <vt:lpwstr/>
      </vt:variant>
      <vt:variant>
        <vt:lpwstr>_Toc197891001</vt:lpwstr>
      </vt:variant>
      <vt:variant>
        <vt:i4>1507391</vt:i4>
      </vt:variant>
      <vt:variant>
        <vt:i4>32</vt:i4>
      </vt:variant>
      <vt:variant>
        <vt:i4>0</vt:i4>
      </vt:variant>
      <vt:variant>
        <vt:i4>5</vt:i4>
      </vt:variant>
      <vt:variant>
        <vt:lpwstr/>
      </vt:variant>
      <vt:variant>
        <vt:lpwstr>_Toc197891000</vt:lpwstr>
      </vt:variant>
      <vt:variant>
        <vt:i4>2031670</vt:i4>
      </vt:variant>
      <vt:variant>
        <vt:i4>26</vt:i4>
      </vt:variant>
      <vt:variant>
        <vt:i4>0</vt:i4>
      </vt:variant>
      <vt:variant>
        <vt:i4>5</vt:i4>
      </vt:variant>
      <vt:variant>
        <vt:lpwstr/>
      </vt:variant>
      <vt:variant>
        <vt:lpwstr>_Toc197890999</vt:lpwstr>
      </vt:variant>
      <vt:variant>
        <vt:i4>2031670</vt:i4>
      </vt:variant>
      <vt:variant>
        <vt:i4>20</vt:i4>
      </vt:variant>
      <vt:variant>
        <vt:i4>0</vt:i4>
      </vt:variant>
      <vt:variant>
        <vt:i4>5</vt:i4>
      </vt:variant>
      <vt:variant>
        <vt:lpwstr/>
      </vt:variant>
      <vt:variant>
        <vt:lpwstr>_Toc197890998</vt:lpwstr>
      </vt:variant>
      <vt:variant>
        <vt:i4>2031670</vt:i4>
      </vt:variant>
      <vt:variant>
        <vt:i4>14</vt:i4>
      </vt:variant>
      <vt:variant>
        <vt:i4>0</vt:i4>
      </vt:variant>
      <vt:variant>
        <vt:i4>5</vt:i4>
      </vt:variant>
      <vt:variant>
        <vt:lpwstr/>
      </vt:variant>
      <vt:variant>
        <vt:lpwstr>_Toc197890997</vt:lpwstr>
      </vt:variant>
      <vt:variant>
        <vt:i4>2031670</vt:i4>
      </vt:variant>
      <vt:variant>
        <vt:i4>8</vt:i4>
      </vt:variant>
      <vt:variant>
        <vt:i4>0</vt:i4>
      </vt:variant>
      <vt:variant>
        <vt:i4>5</vt:i4>
      </vt:variant>
      <vt:variant>
        <vt:lpwstr/>
      </vt:variant>
      <vt:variant>
        <vt:lpwstr>_Toc197890996</vt:lpwstr>
      </vt:variant>
      <vt:variant>
        <vt:i4>2031670</vt:i4>
      </vt:variant>
      <vt:variant>
        <vt:i4>2</vt:i4>
      </vt:variant>
      <vt:variant>
        <vt:i4>0</vt:i4>
      </vt:variant>
      <vt:variant>
        <vt:i4>5</vt:i4>
      </vt:variant>
      <vt:variant>
        <vt:lpwstr/>
      </vt:variant>
      <vt:variant>
        <vt:lpwstr>_Toc197890995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Hızlı Siber Güvenlik Olgunluk Değerlendirmesi — Örnek Lojistik A.Ş.</dc:title>
  <dc:subject/>
  <dc:creator>Tayfun Yagci</dc:creator>
  <cp:keywords/>
  <dc:description/>
  <cp:lastModifiedBy>Tayfun Yagci</cp:lastModifiedBy>
  <cp:revision>2</cp:revision>
  <cp:lastPrinted>2025-09-02T13:08:00Z</cp:lastPrinted>
  <dcterms:created xsi:type="dcterms:W3CDTF">2026-09-14T08:08:00Z</dcterms:created>
  <dcterms:modified xsi:type="dcterms:W3CDTF">2026-09-17T06:37:00Z</dcterms:modified>
</cp:coreProperties>
</file>