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A30FB77" w14:textId="3C8891FD" w:rsidR="004207ED" w:rsidRDefault="00D40D38">
      <w:pPr>
        <w:pStyle w:val="Title"/>
      </w:pPr>
      <w:r>
        <w:rPr>
          <w:noProof/>
        </w:rPr>
        <w:drawing>
          <wp:anchor distT="0" distB="0" distL="0" distR="0" simplePos="0" relativeHeight="251659264" behindDoc="1" locked="0" layoutInCell="0" allowOverlap="1" wp14:anchorId="5E557ADD" wp14:editId="2B2A0DC6">
            <wp:simplePos x="0" y="0"/>
            <wp:positionH relativeFrom="page">
              <wp:posOffset>13970</wp:posOffset>
            </wp:positionH>
            <wp:positionV relativeFrom="paragraph">
              <wp:posOffset>-885825</wp:posOffset>
            </wp:positionV>
            <wp:extent cx="7771090" cy="2848708"/>
            <wp:effectExtent l="0" t="0" r="1905" b="8890"/>
            <wp:wrapNone/>
            <wp:docPr id="1" name="Picture 1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01"/>
                    <pic:cNvPicPr>
                      <a:picLocks noChangeAspect="1" noChangeArrowheads="1"/>
                    </pic:cNvPicPr>
                  </pic:nvPicPr>
                  <pic:blipFill>
                    <a:blip r:embed="rId8"/>
                    <a:stretch>
                      <a:fillRect/>
                    </a:stretch>
                  </pic:blipFill>
                  <pic:spPr bwMode="auto">
                    <a:xfrm>
                      <a:off x="0" y="0"/>
                      <a:ext cx="7771090" cy="2848708"/>
                    </a:xfrm>
                    <a:prstGeom prst="rect">
                      <a:avLst/>
                    </a:prstGeom>
                  </pic:spPr>
                </pic:pic>
              </a:graphicData>
            </a:graphic>
            <wp14:sizeRelV relativeFrom="margin">
              <wp14:pctHeight>0</wp14:pctHeight>
            </wp14:sizeRelV>
          </wp:anchor>
        </w:drawing>
      </w:r>
    </w:p>
    <w:p w14:paraId="342BDEBF" w14:textId="77777777" w:rsidR="004207ED" w:rsidRDefault="004207ED">
      <w:pPr>
        <w:pStyle w:val="Title"/>
      </w:pPr>
    </w:p>
    <w:p w14:paraId="120D090D" w14:textId="77777777" w:rsidR="004207ED" w:rsidRDefault="004207ED">
      <w:pPr>
        <w:pStyle w:val="Title"/>
      </w:pPr>
    </w:p>
    <w:p w14:paraId="1920EC06" w14:textId="77777777" w:rsidR="004207ED" w:rsidRDefault="004207ED">
      <w:pPr>
        <w:pStyle w:val="Title"/>
      </w:pPr>
    </w:p>
    <w:p w14:paraId="1F0B73C7" w14:textId="77777777" w:rsidR="004207ED" w:rsidRDefault="004207ED">
      <w:pPr>
        <w:pStyle w:val="Title"/>
      </w:pPr>
    </w:p>
    <w:p w14:paraId="6C091C76" w14:textId="77777777" w:rsidR="00D40D38" w:rsidRDefault="00D40D38">
      <w:pPr>
        <w:pStyle w:val="Title"/>
      </w:pPr>
    </w:p>
    <w:p w14:paraId="703C3EBD" w14:textId="77777777" w:rsidR="00D40D38" w:rsidRDefault="00D40D38">
      <w:pPr>
        <w:pStyle w:val="Title"/>
      </w:pPr>
    </w:p>
    <w:p w14:paraId="7233B8DC" w14:textId="77777777" w:rsidR="00D40D38" w:rsidRDefault="00D40D38">
      <w:pPr>
        <w:pStyle w:val="Title"/>
      </w:pPr>
    </w:p>
    <w:p w14:paraId="6E2AD767" w14:textId="77777777" w:rsidR="00D40D38" w:rsidRDefault="00D40D38">
      <w:pPr>
        <w:pStyle w:val="Title"/>
      </w:pPr>
    </w:p>
    <w:p w14:paraId="15656BB8" w14:textId="4547CA5B" w:rsidR="004207ED" w:rsidRDefault="00000000">
      <w:pPr>
        <w:pStyle w:val="Title"/>
      </w:pPr>
      <w:r>
        <w:t>7545 Sayılı Siber Güvenlik Kanunu;</w:t>
      </w:r>
    </w:p>
    <w:p w14:paraId="6EE21DD3" w14:textId="77777777" w:rsidR="004207ED" w:rsidRDefault="00000000">
      <w:pPr>
        <w:pStyle w:val="Title"/>
      </w:pPr>
      <w:r>
        <w:t>Siber Güvenlik Alanında Yeni Dönem, Yeni Sorumluluklar</w:t>
      </w:r>
    </w:p>
    <w:p w14:paraId="739F1964" w14:textId="69FE1F96" w:rsidR="004207ED" w:rsidRDefault="004207ED">
      <w:pPr>
        <w:jc w:val="center"/>
      </w:pPr>
    </w:p>
    <w:p w14:paraId="399E0757" w14:textId="77777777" w:rsidR="004207ED" w:rsidRDefault="004207ED"/>
    <w:p w14:paraId="7E8C71BD" w14:textId="77777777" w:rsidR="004207ED" w:rsidRDefault="004207ED"/>
    <w:p w14:paraId="6CF45765" w14:textId="77777777" w:rsidR="004207ED" w:rsidRDefault="004207ED"/>
    <w:p w14:paraId="74C9A1B8" w14:textId="77777777" w:rsidR="004207ED" w:rsidRDefault="004207ED"/>
    <w:p w14:paraId="764DFC90" w14:textId="77777777" w:rsidR="004207ED" w:rsidRDefault="004207ED"/>
    <w:p w14:paraId="28DF0FBC" w14:textId="77777777" w:rsidR="004207ED" w:rsidRDefault="004207ED"/>
    <w:p w14:paraId="106B56AC" w14:textId="77777777" w:rsidR="004207ED" w:rsidRDefault="004207ED"/>
    <w:p w14:paraId="7FD71F42" w14:textId="77777777" w:rsidR="004207ED" w:rsidRDefault="004207ED"/>
    <w:p w14:paraId="767E6538" w14:textId="77777777" w:rsidR="00D40D38" w:rsidRDefault="00D40D38"/>
    <w:p w14:paraId="7AD717AA" w14:textId="77777777" w:rsidR="004207ED" w:rsidRDefault="00000000">
      <w:pPr>
        <w:rPr>
          <w:i/>
          <w:iCs/>
          <w:sz w:val="20"/>
          <w:szCs w:val="20"/>
        </w:rPr>
      </w:pPr>
      <w:r>
        <w:rPr>
          <w:b/>
          <w:bCs/>
          <w:i/>
          <w:iCs/>
          <w:sz w:val="20"/>
          <w:szCs w:val="20"/>
        </w:rPr>
        <w:t>Fikri Mülkiyet Hakkı</w:t>
      </w:r>
    </w:p>
    <w:p w14:paraId="28B3DC28" w14:textId="3028AA43" w:rsidR="004207ED" w:rsidRDefault="00000000">
      <w:pPr>
        <w:rPr>
          <w:i/>
          <w:iCs/>
          <w:sz w:val="20"/>
          <w:szCs w:val="20"/>
        </w:rPr>
      </w:pPr>
      <w:r>
        <w:rPr>
          <w:i/>
          <w:iCs/>
          <w:sz w:val="20"/>
          <w:szCs w:val="20"/>
        </w:rPr>
        <w:t xml:space="preserve">Bu </w:t>
      </w:r>
      <w:proofErr w:type="gramStart"/>
      <w:r>
        <w:rPr>
          <w:i/>
          <w:iCs/>
          <w:sz w:val="20"/>
          <w:szCs w:val="20"/>
        </w:rPr>
        <w:t>doküman</w:t>
      </w:r>
      <w:proofErr w:type="gramEnd"/>
      <w:r>
        <w:rPr>
          <w:i/>
          <w:iCs/>
          <w:sz w:val="20"/>
          <w:szCs w:val="20"/>
        </w:rPr>
        <w:t xml:space="preserve"> ve içeriğinde yer alan tüm metin, grafik, tasarım, çizim, analiz, tablo, görsel ve diğer unsurlar ilgili kanunlar kapsamında korunmakta olup, tüm fikri mülkiyet hakları CyberArts </w:t>
      </w:r>
      <w:r w:rsidR="00BF518F">
        <w:rPr>
          <w:i/>
          <w:iCs/>
          <w:sz w:val="20"/>
          <w:szCs w:val="20"/>
        </w:rPr>
        <w:t>Siber Güvenlik ve Danışmanlık</w:t>
      </w:r>
      <w:r>
        <w:rPr>
          <w:i/>
          <w:iCs/>
          <w:sz w:val="20"/>
          <w:szCs w:val="20"/>
        </w:rPr>
        <w:t xml:space="preserve"> </w:t>
      </w:r>
      <w:proofErr w:type="spellStart"/>
      <w:r>
        <w:rPr>
          <w:i/>
          <w:iCs/>
          <w:sz w:val="20"/>
          <w:szCs w:val="20"/>
        </w:rPr>
        <w:t>A.Ş.’ye</w:t>
      </w:r>
      <w:proofErr w:type="spellEnd"/>
      <w:r>
        <w:rPr>
          <w:i/>
          <w:iCs/>
          <w:sz w:val="20"/>
          <w:szCs w:val="20"/>
        </w:rPr>
        <w:t xml:space="preserve"> aittir. Bu içerikler, eser sahibinin açık yazılı izni olmaksızın kopyalanamaz, çoğaltılamaz, dağıtılamaz, yayınlanamaz, değiştirilemez veya ticari amaçla kullanılamaz.</w:t>
      </w:r>
    </w:p>
    <w:p w14:paraId="1711A6B4" w14:textId="77777777" w:rsidR="004207ED" w:rsidRDefault="00000000">
      <w:pPr>
        <w:rPr>
          <w:i/>
          <w:iCs/>
          <w:sz w:val="20"/>
          <w:szCs w:val="20"/>
        </w:rPr>
      </w:pPr>
      <w:r>
        <w:rPr>
          <w:i/>
          <w:iCs/>
          <w:sz w:val="20"/>
          <w:szCs w:val="20"/>
        </w:rPr>
        <w:t xml:space="preserve">Eğitim veya danışmanlık faaliyeti kapsamında paylaşılan bilgi ve dokümanlar yalnızca alıcı kurum/kişinin iç kullanımıyla sınırlıdır. Herhangi bir üçüncü kişi ile paylaşılması, kaynak gösterilse dahi çoğaltılması ya da dijital </w:t>
      </w:r>
      <w:r>
        <w:rPr>
          <w:i/>
          <w:iCs/>
          <w:sz w:val="20"/>
          <w:szCs w:val="20"/>
        </w:rPr>
        <w:lastRenderedPageBreak/>
        <w:t>ortamlarda yeniden yayımlanması açıkça yasaktır. Bu hükümlere aykırılık halinde eser sahibi her türlü hukuki ve cezai yola başvurma hakkını saklı tutar.</w:t>
      </w:r>
    </w:p>
    <w:p w14:paraId="1B34F566" w14:textId="77777777" w:rsidR="004207ED" w:rsidRDefault="004207ED"/>
    <w:sdt>
      <w:sdtPr>
        <w:rPr>
          <w:b w:val="0"/>
          <w:bCs w:val="0"/>
          <w:sz w:val="22"/>
          <w:szCs w:val="22"/>
          <w14:ligatures w14:val="standardContextual"/>
        </w:rPr>
        <w:id w:val="-1948689514"/>
        <w:docPartObj>
          <w:docPartGallery w:val="Table of Contents"/>
          <w:docPartUnique/>
        </w:docPartObj>
      </w:sdtPr>
      <w:sdtContent>
        <w:p w14:paraId="59B711C3" w14:textId="77777777" w:rsidR="004207ED" w:rsidRDefault="00000000">
          <w:pPr>
            <w:pStyle w:val="TOCHeading"/>
          </w:pPr>
          <w:r>
            <w:t>İçindekiler</w:t>
          </w:r>
        </w:p>
        <w:p w14:paraId="5F313929" w14:textId="77777777" w:rsidR="004207ED" w:rsidRDefault="00000000">
          <w:pPr>
            <w:pStyle w:val="TOC1"/>
            <w:tabs>
              <w:tab w:val="left" w:pos="480"/>
              <w:tab w:val="right" w:leader="dot" w:pos="9396"/>
            </w:tabs>
            <w:rPr>
              <w:rFonts w:eastAsiaTheme="minorEastAsia"/>
              <w:kern w:val="2"/>
              <w:sz w:val="24"/>
              <w:szCs w:val="24"/>
            </w:rPr>
          </w:pPr>
          <w:r>
            <w:fldChar w:fldCharType="begin"/>
          </w:r>
          <w:r>
            <w:instrText xml:space="preserve"> TOC \o "1-3" \h \z \u </w:instrText>
          </w:r>
          <w:r>
            <w:fldChar w:fldCharType="separate"/>
          </w:r>
          <w:hyperlink w:anchor="_Toc198556975" w:history="1">
            <w:r w:rsidR="004207ED">
              <w:rPr>
                <w:rStyle w:val="Hyperlink"/>
              </w:rPr>
              <w:t>1.</w:t>
            </w:r>
            <w:r w:rsidR="004207ED">
              <w:rPr>
                <w:rFonts w:eastAsiaTheme="minorEastAsia"/>
                <w:kern w:val="2"/>
                <w:sz w:val="24"/>
                <w:szCs w:val="24"/>
              </w:rPr>
              <w:tab/>
            </w:r>
            <w:r w:rsidR="004207ED">
              <w:rPr>
                <w:rStyle w:val="Hyperlink"/>
              </w:rPr>
              <w:t>KANUNUN AMACI (MADDE 1)</w:t>
            </w:r>
            <w:r w:rsidR="004207ED">
              <w:rPr>
                <w:webHidden/>
              </w:rPr>
              <w:tab/>
            </w:r>
            <w:r w:rsidR="004207ED">
              <w:rPr>
                <w:webHidden/>
              </w:rPr>
              <w:fldChar w:fldCharType="begin"/>
            </w:r>
            <w:r w:rsidR="004207ED">
              <w:rPr>
                <w:webHidden/>
              </w:rPr>
              <w:instrText xml:space="preserve"> PAGEREF _Toc198556975 \h </w:instrText>
            </w:r>
            <w:r w:rsidR="004207ED">
              <w:rPr>
                <w:webHidden/>
              </w:rPr>
            </w:r>
            <w:r w:rsidR="004207ED">
              <w:rPr>
                <w:webHidden/>
              </w:rPr>
              <w:fldChar w:fldCharType="separate"/>
            </w:r>
            <w:r w:rsidR="004207ED">
              <w:rPr>
                <w:webHidden/>
              </w:rPr>
              <w:t>1</w:t>
            </w:r>
            <w:r w:rsidR="004207ED">
              <w:rPr>
                <w:webHidden/>
              </w:rPr>
              <w:fldChar w:fldCharType="end"/>
            </w:r>
          </w:hyperlink>
        </w:p>
        <w:p w14:paraId="7E6AB321" w14:textId="77777777" w:rsidR="004207ED" w:rsidRDefault="004207ED">
          <w:pPr>
            <w:pStyle w:val="TOC2"/>
            <w:tabs>
              <w:tab w:val="left" w:pos="960"/>
              <w:tab w:val="right" w:leader="dot" w:pos="9396"/>
            </w:tabs>
            <w:rPr>
              <w:rFonts w:eastAsiaTheme="minorEastAsia"/>
              <w:kern w:val="2"/>
              <w:sz w:val="24"/>
              <w:szCs w:val="24"/>
            </w:rPr>
          </w:pPr>
          <w:hyperlink w:anchor="_Toc198556976" w:history="1">
            <w:r>
              <w:rPr>
                <w:rStyle w:val="Hyperlink"/>
              </w:rPr>
              <w:t>1.1.</w:t>
            </w:r>
            <w:r>
              <w:rPr>
                <w:rFonts w:eastAsiaTheme="minorEastAsia"/>
                <w:kern w:val="2"/>
                <w:sz w:val="24"/>
                <w:szCs w:val="24"/>
              </w:rPr>
              <w:tab/>
            </w:r>
            <w:r>
              <w:rPr>
                <w:rStyle w:val="Hyperlink"/>
              </w:rPr>
              <w:t>Siber Uzaydaki Milli Gücün Korunması</w:t>
            </w:r>
            <w:r>
              <w:rPr>
                <w:webHidden/>
              </w:rPr>
              <w:tab/>
            </w:r>
            <w:r>
              <w:rPr>
                <w:webHidden/>
              </w:rPr>
              <w:fldChar w:fldCharType="begin"/>
            </w:r>
            <w:r>
              <w:rPr>
                <w:webHidden/>
              </w:rPr>
              <w:instrText xml:space="preserve"> PAGEREF _Toc198556976 \h </w:instrText>
            </w:r>
            <w:r>
              <w:rPr>
                <w:webHidden/>
              </w:rPr>
            </w:r>
            <w:r>
              <w:rPr>
                <w:webHidden/>
              </w:rPr>
              <w:fldChar w:fldCharType="separate"/>
            </w:r>
            <w:r>
              <w:rPr>
                <w:webHidden/>
              </w:rPr>
              <w:t>1</w:t>
            </w:r>
            <w:r>
              <w:rPr>
                <w:webHidden/>
              </w:rPr>
              <w:fldChar w:fldCharType="end"/>
            </w:r>
          </w:hyperlink>
        </w:p>
        <w:p w14:paraId="5E670600" w14:textId="77777777" w:rsidR="004207ED" w:rsidRDefault="004207ED">
          <w:pPr>
            <w:pStyle w:val="TOC2"/>
            <w:tabs>
              <w:tab w:val="left" w:pos="960"/>
              <w:tab w:val="right" w:leader="dot" w:pos="9396"/>
            </w:tabs>
            <w:rPr>
              <w:rFonts w:eastAsiaTheme="minorEastAsia"/>
              <w:kern w:val="2"/>
              <w:sz w:val="24"/>
              <w:szCs w:val="24"/>
            </w:rPr>
          </w:pPr>
          <w:hyperlink w:anchor="_Toc198556977" w:history="1">
            <w:r>
              <w:rPr>
                <w:rStyle w:val="Hyperlink"/>
              </w:rPr>
              <w:t>1.2.</w:t>
            </w:r>
            <w:r>
              <w:rPr>
                <w:rFonts w:eastAsiaTheme="minorEastAsia"/>
                <w:kern w:val="2"/>
                <w:sz w:val="24"/>
                <w:szCs w:val="24"/>
              </w:rPr>
              <w:tab/>
            </w:r>
            <w:r>
              <w:rPr>
                <w:rStyle w:val="Hyperlink"/>
              </w:rPr>
              <w:t>Siber Olayların Etkilerini Azaltmaya Yönelik Esasların Belirlenmesi</w:t>
            </w:r>
            <w:r>
              <w:rPr>
                <w:webHidden/>
              </w:rPr>
              <w:tab/>
            </w:r>
            <w:r>
              <w:rPr>
                <w:webHidden/>
              </w:rPr>
              <w:fldChar w:fldCharType="begin"/>
            </w:r>
            <w:r>
              <w:rPr>
                <w:webHidden/>
              </w:rPr>
              <w:instrText xml:space="preserve"> PAGEREF _Toc198556977 \h </w:instrText>
            </w:r>
            <w:r>
              <w:rPr>
                <w:webHidden/>
              </w:rPr>
            </w:r>
            <w:r>
              <w:rPr>
                <w:webHidden/>
              </w:rPr>
              <w:fldChar w:fldCharType="separate"/>
            </w:r>
            <w:r>
              <w:rPr>
                <w:webHidden/>
              </w:rPr>
              <w:t>1</w:t>
            </w:r>
            <w:r>
              <w:rPr>
                <w:webHidden/>
              </w:rPr>
              <w:fldChar w:fldCharType="end"/>
            </w:r>
          </w:hyperlink>
        </w:p>
        <w:p w14:paraId="315E2882" w14:textId="77777777" w:rsidR="004207ED" w:rsidRDefault="004207ED">
          <w:pPr>
            <w:pStyle w:val="TOC2"/>
            <w:tabs>
              <w:tab w:val="left" w:pos="960"/>
              <w:tab w:val="right" w:leader="dot" w:pos="9396"/>
            </w:tabs>
            <w:rPr>
              <w:rFonts w:eastAsiaTheme="minorEastAsia"/>
              <w:kern w:val="2"/>
              <w:sz w:val="24"/>
              <w:szCs w:val="24"/>
            </w:rPr>
          </w:pPr>
          <w:hyperlink w:anchor="_Toc198556978" w:history="1">
            <w:r>
              <w:rPr>
                <w:rStyle w:val="Hyperlink"/>
              </w:rPr>
              <w:t>1.3.</w:t>
            </w:r>
            <w:r>
              <w:rPr>
                <w:rFonts w:eastAsiaTheme="minorEastAsia"/>
                <w:kern w:val="2"/>
                <w:sz w:val="24"/>
                <w:szCs w:val="24"/>
              </w:rPr>
              <w:tab/>
            </w:r>
            <w:r>
              <w:rPr>
                <w:rStyle w:val="Hyperlink"/>
              </w:rPr>
              <w:t>Tüm Kesimlerin Siber Saldırılara Karşı Korunması</w:t>
            </w:r>
            <w:r>
              <w:rPr>
                <w:webHidden/>
              </w:rPr>
              <w:tab/>
            </w:r>
            <w:r>
              <w:rPr>
                <w:webHidden/>
              </w:rPr>
              <w:fldChar w:fldCharType="begin"/>
            </w:r>
            <w:r>
              <w:rPr>
                <w:webHidden/>
              </w:rPr>
              <w:instrText xml:space="preserve"> PAGEREF _Toc198556978 \h </w:instrText>
            </w:r>
            <w:r>
              <w:rPr>
                <w:webHidden/>
              </w:rPr>
            </w:r>
            <w:r>
              <w:rPr>
                <w:webHidden/>
              </w:rPr>
              <w:fldChar w:fldCharType="separate"/>
            </w:r>
            <w:r>
              <w:rPr>
                <w:webHidden/>
              </w:rPr>
              <w:t>1</w:t>
            </w:r>
            <w:r>
              <w:rPr>
                <w:webHidden/>
              </w:rPr>
              <w:fldChar w:fldCharType="end"/>
            </w:r>
          </w:hyperlink>
        </w:p>
        <w:p w14:paraId="0444DC65" w14:textId="77777777" w:rsidR="004207ED" w:rsidRDefault="004207ED">
          <w:pPr>
            <w:pStyle w:val="TOC2"/>
            <w:tabs>
              <w:tab w:val="left" w:pos="960"/>
              <w:tab w:val="right" w:leader="dot" w:pos="9396"/>
            </w:tabs>
            <w:rPr>
              <w:rFonts w:eastAsiaTheme="minorEastAsia"/>
              <w:kern w:val="2"/>
              <w:sz w:val="24"/>
              <w:szCs w:val="24"/>
            </w:rPr>
          </w:pPr>
          <w:hyperlink w:anchor="_Toc198556979" w:history="1">
            <w:r>
              <w:rPr>
                <w:rStyle w:val="Hyperlink"/>
              </w:rPr>
              <w:t>1.4.</w:t>
            </w:r>
            <w:r>
              <w:rPr>
                <w:rFonts w:eastAsiaTheme="minorEastAsia"/>
                <w:kern w:val="2"/>
                <w:sz w:val="24"/>
                <w:szCs w:val="24"/>
              </w:rPr>
              <w:tab/>
            </w:r>
            <w:r>
              <w:rPr>
                <w:rStyle w:val="Hyperlink"/>
              </w:rPr>
              <w:t>Strateji ve Politikaların Belirlenmesi</w:t>
            </w:r>
            <w:r>
              <w:rPr>
                <w:webHidden/>
              </w:rPr>
              <w:tab/>
            </w:r>
            <w:r>
              <w:rPr>
                <w:webHidden/>
              </w:rPr>
              <w:fldChar w:fldCharType="begin"/>
            </w:r>
            <w:r>
              <w:rPr>
                <w:webHidden/>
              </w:rPr>
              <w:instrText xml:space="preserve"> PAGEREF _Toc198556979 \h </w:instrText>
            </w:r>
            <w:r>
              <w:rPr>
                <w:webHidden/>
              </w:rPr>
            </w:r>
            <w:r>
              <w:rPr>
                <w:webHidden/>
              </w:rPr>
              <w:fldChar w:fldCharType="separate"/>
            </w:r>
            <w:r>
              <w:rPr>
                <w:webHidden/>
              </w:rPr>
              <w:t>1</w:t>
            </w:r>
            <w:r>
              <w:rPr>
                <w:webHidden/>
              </w:rPr>
              <w:fldChar w:fldCharType="end"/>
            </w:r>
          </w:hyperlink>
        </w:p>
        <w:p w14:paraId="60C7C803" w14:textId="77777777" w:rsidR="004207ED" w:rsidRDefault="004207ED">
          <w:pPr>
            <w:pStyle w:val="TOC2"/>
            <w:tabs>
              <w:tab w:val="left" w:pos="960"/>
              <w:tab w:val="right" w:leader="dot" w:pos="9396"/>
            </w:tabs>
            <w:rPr>
              <w:rFonts w:eastAsiaTheme="minorEastAsia"/>
              <w:kern w:val="2"/>
              <w:sz w:val="24"/>
              <w:szCs w:val="24"/>
            </w:rPr>
          </w:pPr>
          <w:hyperlink w:anchor="_Toc198556980" w:history="1">
            <w:r>
              <w:rPr>
                <w:rStyle w:val="Hyperlink"/>
              </w:rPr>
              <w:t>1.5.</w:t>
            </w:r>
            <w:r>
              <w:rPr>
                <w:rFonts w:eastAsiaTheme="minorEastAsia"/>
                <w:kern w:val="2"/>
                <w:sz w:val="24"/>
                <w:szCs w:val="24"/>
              </w:rPr>
              <w:tab/>
            </w:r>
            <w:r>
              <w:rPr>
                <w:rStyle w:val="Hyperlink"/>
              </w:rPr>
              <w:t>Siber Güvenlik Kurulunun Kurulması</w:t>
            </w:r>
            <w:r>
              <w:rPr>
                <w:webHidden/>
              </w:rPr>
              <w:tab/>
            </w:r>
            <w:r>
              <w:rPr>
                <w:webHidden/>
              </w:rPr>
              <w:fldChar w:fldCharType="begin"/>
            </w:r>
            <w:r>
              <w:rPr>
                <w:webHidden/>
              </w:rPr>
              <w:instrText xml:space="preserve"> PAGEREF _Toc198556980 \h </w:instrText>
            </w:r>
            <w:r>
              <w:rPr>
                <w:webHidden/>
              </w:rPr>
            </w:r>
            <w:r>
              <w:rPr>
                <w:webHidden/>
              </w:rPr>
              <w:fldChar w:fldCharType="separate"/>
            </w:r>
            <w:r>
              <w:rPr>
                <w:webHidden/>
              </w:rPr>
              <w:t>1</w:t>
            </w:r>
            <w:r>
              <w:rPr>
                <w:webHidden/>
              </w:rPr>
              <w:fldChar w:fldCharType="end"/>
            </w:r>
          </w:hyperlink>
        </w:p>
        <w:p w14:paraId="6B50F334" w14:textId="77777777" w:rsidR="004207ED" w:rsidRDefault="004207ED">
          <w:pPr>
            <w:pStyle w:val="TOC1"/>
            <w:tabs>
              <w:tab w:val="left" w:pos="480"/>
              <w:tab w:val="right" w:leader="dot" w:pos="9396"/>
            </w:tabs>
            <w:rPr>
              <w:rFonts w:eastAsiaTheme="minorEastAsia"/>
              <w:kern w:val="2"/>
              <w:sz w:val="24"/>
              <w:szCs w:val="24"/>
            </w:rPr>
          </w:pPr>
          <w:hyperlink w:anchor="_Toc198556981" w:history="1">
            <w:r>
              <w:rPr>
                <w:rStyle w:val="Hyperlink"/>
              </w:rPr>
              <w:t>2.</w:t>
            </w:r>
            <w:r>
              <w:rPr>
                <w:rFonts w:eastAsiaTheme="minorEastAsia"/>
                <w:kern w:val="2"/>
                <w:sz w:val="24"/>
                <w:szCs w:val="24"/>
              </w:rPr>
              <w:tab/>
            </w:r>
            <w:r>
              <w:rPr>
                <w:rStyle w:val="Hyperlink"/>
              </w:rPr>
              <w:t>KANUN KİMLERİ KAPSAMAKTADIR (MADDE 2)</w:t>
            </w:r>
            <w:r>
              <w:rPr>
                <w:webHidden/>
              </w:rPr>
              <w:tab/>
            </w:r>
            <w:r>
              <w:rPr>
                <w:webHidden/>
              </w:rPr>
              <w:fldChar w:fldCharType="begin"/>
            </w:r>
            <w:r>
              <w:rPr>
                <w:webHidden/>
              </w:rPr>
              <w:instrText xml:space="preserve"> PAGEREF _Toc198556981 \h </w:instrText>
            </w:r>
            <w:r>
              <w:rPr>
                <w:webHidden/>
              </w:rPr>
            </w:r>
            <w:r>
              <w:rPr>
                <w:webHidden/>
              </w:rPr>
              <w:fldChar w:fldCharType="separate"/>
            </w:r>
            <w:r>
              <w:rPr>
                <w:webHidden/>
              </w:rPr>
              <w:t>1</w:t>
            </w:r>
            <w:r>
              <w:rPr>
                <w:webHidden/>
              </w:rPr>
              <w:fldChar w:fldCharType="end"/>
            </w:r>
          </w:hyperlink>
        </w:p>
        <w:p w14:paraId="1B8F031C" w14:textId="77777777" w:rsidR="004207ED" w:rsidRDefault="004207ED">
          <w:pPr>
            <w:pStyle w:val="TOC2"/>
            <w:tabs>
              <w:tab w:val="left" w:pos="960"/>
              <w:tab w:val="right" w:leader="dot" w:pos="9396"/>
            </w:tabs>
            <w:rPr>
              <w:rFonts w:eastAsiaTheme="minorEastAsia"/>
              <w:kern w:val="2"/>
              <w:sz w:val="24"/>
              <w:szCs w:val="24"/>
            </w:rPr>
          </w:pPr>
          <w:hyperlink w:anchor="_Toc198556982" w:history="1">
            <w:r>
              <w:rPr>
                <w:rStyle w:val="Hyperlink"/>
              </w:rPr>
              <w:t>2.1.</w:t>
            </w:r>
            <w:r>
              <w:rPr>
                <w:rFonts w:eastAsiaTheme="minorEastAsia"/>
                <w:kern w:val="2"/>
                <w:sz w:val="24"/>
                <w:szCs w:val="24"/>
              </w:rPr>
              <w:tab/>
            </w:r>
            <w:r>
              <w:rPr>
                <w:rStyle w:val="Hyperlink"/>
              </w:rPr>
              <w:t>Siber Uzay</w:t>
            </w:r>
            <w:r>
              <w:rPr>
                <w:webHidden/>
              </w:rPr>
              <w:tab/>
            </w:r>
            <w:r>
              <w:rPr>
                <w:webHidden/>
              </w:rPr>
              <w:fldChar w:fldCharType="begin"/>
            </w:r>
            <w:r>
              <w:rPr>
                <w:webHidden/>
              </w:rPr>
              <w:instrText xml:space="preserve"> PAGEREF _Toc198556982 \h </w:instrText>
            </w:r>
            <w:r>
              <w:rPr>
                <w:webHidden/>
              </w:rPr>
            </w:r>
            <w:r>
              <w:rPr>
                <w:webHidden/>
              </w:rPr>
              <w:fldChar w:fldCharType="separate"/>
            </w:r>
            <w:r>
              <w:rPr>
                <w:webHidden/>
              </w:rPr>
              <w:t>1</w:t>
            </w:r>
            <w:r>
              <w:rPr>
                <w:webHidden/>
              </w:rPr>
              <w:fldChar w:fldCharType="end"/>
            </w:r>
          </w:hyperlink>
        </w:p>
        <w:p w14:paraId="58770E54" w14:textId="77777777" w:rsidR="004207ED" w:rsidRDefault="004207ED">
          <w:pPr>
            <w:pStyle w:val="TOC1"/>
            <w:tabs>
              <w:tab w:val="left" w:pos="480"/>
              <w:tab w:val="right" w:leader="dot" w:pos="9396"/>
            </w:tabs>
            <w:rPr>
              <w:rFonts w:eastAsiaTheme="minorEastAsia"/>
              <w:kern w:val="2"/>
              <w:sz w:val="24"/>
              <w:szCs w:val="24"/>
            </w:rPr>
          </w:pPr>
          <w:hyperlink w:anchor="_Toc198556983" w:history="1">
            <w:r>
              <w:rPr>
                <w:rStyle w:val="Hyperlink"/>
              </w:rPr>
              <w:t>3.</w:t>
            </w:r>
            <w:r>
              <w:rPr>
                <w:rFonts w:eastAsiaTheme="minorEastAsia"/>
                <w:kern w:val="2"/>
                <w:sz w:val="24"/>
                <w:szCs w:val="24"/>
              </w:rPr>
              <w:tab/>
            </w:r>
            <w:r>
              <w:rPr>
                <w:rStyle w:val="Hyperlink"/>
              </w:rPr>
              <w:t>TEMEL İLKELER (MADDE 4)</w:t>
            </w:r>
            <w:r>
              <w:rPr>
                <w:webHidden/>
              </w:rPr>
              <w:tab/>
            </w:r>
            <w:r>
              <w:rPr>
                <w:webHidden/>
              </w:rPr>
              <w:fldChar w:fldCharType="begin"/>
            </w:r>
            <w:r>
              <w:rPr>
                <w:webHidden/>
              </w:rPr>
              <w:instrText xml:space="preserve"> PAGEREF _Toc198556983 \h </w:instrText>
            </w:r>
            <w:r>
              <w:rPr>
                <w:webHidden/>
              </w:rPr>
            </w:r>
            <w:r>
              <w:rPr>
                <w:webHidden/>
              </w:rPr>
              <w:fldChar w:fldCharType="separate"/>
            </w:r>
            <w:r>
              <w:rPr>
                <w:webHidden/>
              </w:rPr>
              <w:t>1</w:t>
            </w:r>
            <w:r>
              <w:rPr>
                <w:webHidden/>
              </w:rPr>
              <w:fldChar w:fldCharType="end"/>
            </w:r>
          </w:hyperlink>
        </w:p>
        <w:p w14:paraId="6A6D9F74" w14:textId="77777777" w:rsidR="004207ED" w:rsidRDefault="004207ED">
          <w:pPr>
            <w:pStyle w:val="TOC1"/>
            <w:tabs>
              <w:tab w:val="left" w:pos="480"/>
              <w:tab w:val="right" w:leader="dot" w:pos="9396"/>
            </w:tabs>
            <w:rPr>
              <w:rFonts w:eastAsiaTheme="minorEastAsia"/>
              <w:kern w:val="2"/>
              <w:sz w:val="24"/>
              <w:szCs w:val="24"/>
            </w:rPr>
          </w:pPr>
          <w:hyperlink w:anchor="_Toc198556984" w:history="1">
            <w:r>
              <w:rPr>
                <w:rStyle w:val="Hyperlink"/>
              </w:rPr>
              <w:t>4.</w:t>
            </w:r>
            <w:r>
              <w:rPr>
                <w:rFonts w:eastAsiaTheme="minorEastAsia"/>
                <w:kern w:val="2"/>
                <w:sz w:val="24"/>
                <w:szCs w:val="24"/>
              </w:rPr>
              <w:tab/>
            </w:r>
            <w:r>
              <w:rPr>
                <w:rStyle w:val="Hyperlink"/>
              </w:rPr>
              <w:t>SİBER GÜVENLİK BAŞKANLIĞI'NIN KURULMASI VE GÖREVLERİ (MADDE 5)</w:t>
            </w:r>
            <w:r>
              <w:rPr>
                <w:webHidden/>
              </w:rPr>
              <w:tab/>
            </w:r>
            <w:r>
              <w:rPr>
                <w:webHidden/>
              </w:rPr>
              <w:fldChar w:fldCharType="begin"/>
            </w:r>
            <w:r>
              <w:rPr>
                <w:webHidden/>
              </w:rPr>
              <w:instrText xml:space="preserve"> PAGEREF _Toc198556984 \h </w:instrText>
            </w:r>
            <w:r>
              <w:rPr>
                <w:webHidden/>
              </w:rPr>
            </w:r>
            <w:r>
              <w:rPr>
                <w:webHidden/>
              </w:rPr>
              <w:fldChar w:fldCharType="separate"/>
            </w:r>
            <w:r>
              <w:rPr>
                <w:webHidden/>
              </w:rPr>
              <w:t>1</w:t>
            </w:r>
            <w:r>
              <w:rPr>
                <w:webHidden/>
              </w:rPr>
              <w:fldChar w:fldCharType="end"/>
            </w:r>
          </w:hyperlink>
        </w:p>
        <w:p w14:paraId="0A8B1769" w14:textId="77777777" w:rsidR="004207ED" w:rsidRDefault="004207ED">
          <w:pPr>
            <w:pStyle w:val="TOC1"/>
            <w:tabs>
              <w:tab w:val="left" w:pos="480"/>
              <w:tab w:val="right" w:leader="dot" w:pos="9396"/>
            </w:tabs>
            <w:rPr>
              <w:rFonts w:eastAsiaTheme="minorEastAsia"/>
              <w:kern w:val="2"/>
              <w:sz w:val="24"/>
              <w:szCs w:val="24"/>
            </w:rPr>
          </w:pPr>
          <w:hyperlink w:anchor="_Toc198556985" w:history="1">
            <w:r>
              <w:rPr>
                <w:rStyle w:val="Hyperlink"/>
              </w:rPr>
              <w:t>5.</w:t>
            </w:r>
            <w:r>
              <w:rPr>
                <w:rFonts w:eastAsiaTheme="minorEastAsia"/>
                <w:kern w:val="2"/>
                <w:sz w:val="24"/>
                <w:szCs w:val="24"/>
              </w:rPr>
              <w:tab/>
            </w:r>
            <w:r>
              <w:rPr>
                <w:rStyle w:val="Hyperlink"/>
              </w:rPr>
              <w:t>BAŞKANLIĞIN YETKİLERİ (MADDE 6)</w:t>
            </w:r>
            <w:r>
              <w:rPr>
                <w:webHidden/>
              </w:rPr>
              <w:tab/>
            </w:r>
            <w:r>
              <w:rPr>
                <w:webHidden/>
              </w:rPr>
              <w:fldChar w:fldCharType="begin"/>
            </w:r>
            <w:r>
              <w:rPr>
                <w:webHidden/>
              </w:rPr>
              <w:instrText xml:space="preserve"> PAGEREF _Toc198556985 \h </w:instrText>
            </w:r>
            <w:r>
              <w:rPr>
                <w:webHidden/>
              </w:rPr>
            </w:r>
            <w:r>
              <w:rPr>
                <w:webHidden/>
              </w:rPr>
              <w:fldChar w:fldCharType="separate"/>
            </w:r>
            <w:r>
              <w:rPr>
                <w:webHidden/>
              </w:rPr>
              <w:t>1</w:t>
            </w:r>
            <w:r>
              <w:rPr>
                <w:webHidden/>
              </w:rPr>
              <w:fldChar w:fldCharType="end"/>
            </w:r>
          </w:hyperlink>
        </w:p>
        <w:p w14:paraId="150DCAB3" w14:textId="77777777" w:rsidR="004207ED" w:rsidRDefault="004207ED">
          <w:pPr>
            <w:pStyle w:val="TOC1"/>
            <w:tabs>
              <w:tab w:val="left" w:pos="480"/>
              <w:tab w:val="right" w:leader="dot" w:pos="9396"/>
            </w:tabs>
            <w:rPr>
              <w:rFonts w:eastAsiaTheme="minorEastAsia"/>
              <w:kern w:val="2"/>
              <w:sz w:val="24"/>
              <w:szCs w:val="24"/>
            </w:rPr>
          </w:pPr>
          <w:hyperlink w:anchor="_Toc198556986" w:history="1">
            <w:r>
              <w:rPr>
                <w:rStyle w:val="Hyperlink"/>
              </w:rPr>
              <w:t>6.</w:t>
            </w:r>
            <w:r>
              <w:rPr>
                <w:rFonts w:eastAsiaTheme="minorEastAsia"/>
                <w:kern w:val="2"/>
                <w:sz w:val="24"/>
                <w:szCs w:val="24"/>
              </w:rPr>
              <w:tab/>
            </w:r>
            <w:r>
              <w:rPr>
                <w:rStyle w:val="Hyperlink"/>
              </w:rPr>
              <w:t>KURUMSAL VE BİREYSEL SORUMLULUKLAR (MADDE 7)</w:t>
            </w:r>
            <w:r>
              <w:rPr>
                <w:webHidden/>
              </w:rPr>
              <w:tab/>
            </w:r>
            <w:r>
              <w:rPr>
                <w:webHidden/>
              </w:rPr>
              <w:fldChar w:fldCharType="begin"/>
            </w:r>
            <w:r>
              <w:rPr>
                <w:webHidden/>
              </w:rPr>
              <w:instrText xml:space="preserve"> PAGEREF _Toc198556986 \h </w:instrText>
            </w:r>
            <w:r>
              <w:rPr>
                <w:webHidden/>
              </w:rPr>
            </w:r>
            <w:r>
              <w:rPr>
                <w:webHidden/>
              </w:rPr>
              <w:fldChar w:fldCharType="separate"/>
            </w:r>
            <w:r>
              <w:rPr>
                <w:webHidden/>
              </w:rPr>
              <w:t>1</w:t>
            </w:r>
            <w:r>
              <w:rPr>
                <w:webHidden/>
              </w:rPr>
              <w:fldChar w:fldCharType="end"/>
            </w:r>
          </w:hyperlink>
        </w:p>
        <w:p w14:paraId="4D25E74E" w14:textId="77777777" w:rsidR="004207ED" w:rsidRDefault="004207ED">
          <w:pPr>
            <w:pStyle w:val="TOC1"/>
            <w:tabs>
              <w:tab w:val="left" w:pos="480"/>
              <w:tab w:val="right" w:leader="dot" w:pos="9396"/>
            </w:tabs>
            <w:rPr>
              <w:rFonts w:eastAsiaTheme="minorEastAsia"/>
              <w:kern w:val="2"/>
              <w:sz w:val="24"/>
              <w:szCs w:val="24"/>
            </w:rPr>
          </w:pPr>
          <w:hyperlink w:anchor="_Toc198556987" w:history="1">
            <w:r>
              <w:rPr>
                <w:rStyle w:val="Hyperlink"/>
              </w:rPr>
              <w:t>7.</w:t>
            </w:r>
            <w:r>
              <w:rPr>
                <w:rFonts w:eastAsiaTheme="minorEastAsia"/>
                <w:kern w:val="2"/>
                <w:sz w:val="24"/>
                <w:szCs w:val="24"/>
              </w:rPr>
              <w:tab/>
            </w:r>
            <w:r>
              <w:rPr>
                <w:rStyle w:val="Hyperlink"/>
              </w:rPr>
              <w:t>BAŞKANLIK TARAFINDAN DENETİM (MADDE 8)</w:t>
            </w:r>
            <w:r>
              <w:rPr>
                <w:webHidden/>
              </w:rPr>
              <w:tab/>
            </w:r>
            <w:r>
              <w:rPr>
                <w:webHidden/>
              </w:rPr>
              <w:fldChar w:fldCharType="begin"/>
            </w:r>
            <w:r>
              <w:rPr>
                <w:webHidden/>
              </w:rPr>
              <w:instrText xml:space="preserve"> PAGEREF _Toc198556987 \h </w:instrText>
            </w:r>
            <w:r>
              <w:rPr>
                <w:webHidden/>
              </w:rPr>
            </w:r>
            <w:r>
              <w:rPr>
                <w:webHidden/>
              </w:rPr>
              <w:fldChar w:fldCharType="separate"/>
            </w:r>
            <w:r>
              <w:rPr>
                <w:webHidden/>
              </w:rPr>
              <w:t>1</w:t>
            </w:r>
            <w:r>
              <w:rPr>
                <w:webHidden/>
              </w:rPr>
              <w:fldChar w:fldCharType="end"/>
            </w:r>
          </w:hyperlink>
        </w:p>
        <w:p w14:paraId="4227709B" w14:textId="77777777" w:rsidR="004207ED" w:rsidRDefault="004207ED">
          <w:pPr>
            <w:pStyle w:val="TOC1"/>
            <w:tabs>
              <w:tab w:val="left" w:pos="480"/>
              <w:tab w:val="right" w:leader="dot" w:pos="9396"/>
            </w:tabs>
            <w:rPr>
              <w:rFonts w:eastAsiaTheme="minorEastAsia"/>
              <w:kern w:val="2"/>
              <w:sz w:val="24"/>
              <w:szCs w:val="24"/>
            </w:rPr>
          </w:pPr>
          <w:hyperlink w:anchor="_Toc198556988" w:history="1">
            <w:r>
              <w:rPr>
                <w:rStyle w:val="Hyperlink"/>
              </w:rPr>
              <w:t>8.</w:t>
            </w:r>
            <w:r>
              <w:rPr>
                <w:rFonts w:eastAsiaTheme="minorEastAsia"/>
                <w:kern w:val="2"/>
                <w:sz w:val="24"/>
                <w:szCs w:val="24"/>
              </w:rPr>
              <w:tab/>
            </w:r>
            <w:r>
              <w:rPr>
                <w:rStyle w:val="Hyperlink"/>
              </w:rPr>
              <w:t>SİBER GÜVENLİK KURULU’NUN OLUŞTURULMASI (MADDE 9)</w:t>
            </w:r>
            <w:r>
              <w:rPr>
                <w:webHidden/>
              </w:rPr>
              <w:tab/>
            </w:r>
            <w:r>
              <w:rPr>
                <w:webHidden/>
              </w:rPr>
              <w:fldChar w:fldCharType="begin"/>
            </w:r>
            <w:r>
              <w:rPr>
                <w:webHidden/>
              </w:rPr>
              <w:instrText xml:space="preserve"> PAGEREF _Toc198556988 \h </w:instrText>
            </w:r>
            <w:r>
              <w:rPr>
                <w:webHidden/>
              </w:rPr>
            </w:r>
            <w:r>
              <w:rPr>
                <w:webHidden/>
              </w:rPr>
              <w:fldChar w:fldCharType="separate"/>
            </w:r>
            <w:r>
              <w:rPr>
                <w:webHidden/>
              </w:rPr>
              <w:t>1</w:t>
            </w:r>
            <w:r>
              <w:rPr>
                <w:webHidden/>
              </w:rPr>
              <w:fldChar w:fldCharType="end"/>
            </w:r>
          </w:hyperlink>
        </w:p>
        <w:p w14:paraId="7E17B8E8" w14:textId="77777777" w:rsidR="004207ED" w:rsidRDefault="004207ED">
          <w:pPr>
            <w:pStyle w:val="TOC1"/>
            <w:tabs>
              <w:tab w:val="left" w:pos="480"/>
              <w:tab w:val="right" w:leader="dot" w:pos="9396"/>
            </w:tabs>
            <w:rPr>
              <w:rFonts w:eastAsiaTheme="minorEastAsia"/>
              <w:kern w:val="2"/>
              <w:sz w:val="24"/>
              <w:szCs w:val="24"/>
            </w:rPr>
          </w:pPr>
          <w:hyperlink w:anchor="_Toc198556989" w:history="1">
            <w:r>
              <w:rPr>
                <w:rStyle w:val="Hyperlink"/>
              </w:rPr>
              <w:t>9.</w:t>
            </w:r>
            <w:r>
              <w:rPr>
                <w:rFonts w:eastAsiaTheme="minorEastAsia"/>
                <w:kern w:val="2"/>
                <w:sz w:val="24"/>
                <w:szCs w:val="24"/>
              </w:rPr>
              <w:tab/>
            </w:r>
            <w:r>
              <w:rPr>
                <w:rStyle w:val="Hyperlink"/>
              </w:rPr>
              <w:t>ÜÇÜNCÜ VE DÖRDÜNCÜ BÖLÜMLER (MADDE 10-15)</w:t>
            </w:r>
            <w:r>
              <w:rPr>
                <w:webHidden/>
              </w:rPr>
              <w:tab/>
            </w:r>
            <w:r>
              <w:rPr>
                <w:webHidden/>
              </w:rPr>
              <w:fldChar w:fldCharType="begin"/>
            </w:r>
            <w:r>
              <w:rPr>
                <w:webHidden/>
              </w:rPr>
              <w:instrText xml:space="preserve"> PAGEREF _Toc198556989 \h </w:instrText>
            </w:r>
            <w:r>
              <w:rPr>
                <w:webHidden/>
              </w:rPr>
            </w:r>
            <w:r>
              <w:rPr>
                <w:webHidden/>
              </w:rPr>
              <w:fldChar w:fldCharType="separate"/>
            </w:r>
            <w:r>
              <w:rPr>
                <w:webHidden/>
              </w:rPr>
              <w:t>1</w:t>
            </w:r>
            <w:r>
              <w:rPr>
                <w:webHidden/>
              </w:rPr>
              <w:fldChar w:fldCharType="end"/>
            </w:r>
          </w:hyperlink>
        </w:p>
        <w:p w14:paraId="6F1D8ADF" w14:textId="77777777" w:rsidR="004207ED" w:rsidRDefault="004207ED">
          <w:pPr>
            <w:pStyle w:val="TOC1"/>
            <w:tabs>
              <w:tab w:val="left" w:pos="720"/>
              <w:tab w:val="right" w:leader="dot" w:pos="9396"/>
            </w:tabs>
            <w:rPr>
              <w:rFonts w:eastAsiaTheme="minorEastAsia"/>
              <w:kern w:val="2"/>
              <w:sz w:val="24"/>
              <w:szCs w:val="24"/>
            </w:rPr>
          </w:pPr>
          <w:hyperlink w:anchor="_Toc198556990" w:history="1">
            <w:r>
              <w:rPr>
                <w:rStyle w:val="Hyperlink"/>
              </w:rPr>
              <w:t>10.</w:t>
            </w:r>
            <w:r>
              <w:rPr>
                <w:rFonts w:eastAsiaTheme="minorEastAsia"/>
                <w:kern w:val="2"/>
                <w:sz w:val="24"/>
                <w:szCs w:val="24"/>
              </w:rPr>
              <w:tab/>
            </w:r>
            <w:r>
              <w:rPr>
                <w:rStyle w:val="Hyperlink"/>
              </w:rPr>
              <w:t>CEZAİ HÜKÜMLER VE İDARİ PARA CEZALARI (MADDE 16-17)</w:t>
            </w:r>
            <w:r>
              <w:rPr>
                <w:webHidden/>
              </w:rPr>
              <w:tab/>
            </w:r>
            <w:r>
              <w:rPr>
                <w:webHidden/>
              </w:rPr>
              <w:fldChar w:fldCharType="begin"/>
            </w:r>
            <w:r>
              <w:rPr>
                <w:webHidden/>
              </w:rPr>
              <w:instrText xml:space="preserve"> PAGEREF _Toc198556990 \h </w:instrText>
            </w:r>
            <w:r>
              <w:rPr>
                <w:webHidden/>
              </w:rPr>
            </w:r>
            <w:r>
              <w:rPr>
                <w:webHidden/>
              </w:rPr>
              <w:fldChar w:fldCharType="separate"/>
            </w:r>
            <w:r>
              <w:rPr>
                <w:webHidden/>
              </w:rPr>
              <w:t>1</w:t>
            </w:r>
            <w:r>
              <w:rPr>
                <w:webHidden/>
              </w:rPr>
              <w:fldChar w:fldCharType="end"/>
            </w:r>
          </w:hyperlink>
        </w:p>
        <w:p w14:paraId="5B65911C" w14:textId="77777777" w:rsidR="004207ED" w:rsidRDefault="004207ED">
          <w:pPr>
            <w:pStyle w:val="TOC2"/>
            <w:tabs>
              <w:tab w:val="left" w:pos="960"/>
              <w:tab w:val="right" w:leader="dot" w:pos="9396"/>
            </w:tabs>
            <w:rPr>
              <w:rFonts w:eastAsiaTheme="minorEastAsia"/>
              <w:kern w:val="2"/>
              <w:sz w:val="24"/>
              <w:szCs w:val="24"/>
            </w:rPr>
          </w:pPr>
          <w:hyperlink w:anchor="_Toc198556991" w:history="1">
            <w:r>
              <w:rPr>
                <w:rStyle w:val="Hyperlink"/>
              </w:rPr>
              <w:t>10.1.</w:t>
            </w:r>
            <w:r>
              <w:rPr>
                <w:rFonts w:eastAsiaTheme="minorEastAsia"/>
                <w:kern w:val="2"/>
                <w:sz w:val="24"/>
                <w:szCs w:val="24"/>
              </w:rPr>
              <w:tab/>
            </w:r>
            <w:r>
              <w:rPr>
                <w:rStyle w:val="Hyperlink"/>
              </w:rPr>
              <w:t>Cezai Hükümler (Madde 16)</w:t>
            </w:r>
            <w:r>
              <w:rPr>
                <w:webHidden/>
              </w:rPr>
              <w:tab/>
            </w:r>
            <w:r>
              <w:rPr>
                <w:webHidden/>
              </w:rPr>
              <w:fldChar w:fldCharType="begin"/>
            </w:r>
            <w:r>
              <w:rPr>
                <w:webHidden/>
              </w:rPr>
              <w:instrText xml:space="preserve"> PAGEREF _Toc198556991 \h </w:instrText>
            </w:r>
            <w:r>
              <w:rPr>
                <w:webHidden/>
              </w:rPr>
            </w:r>
            <w:r>
              <w:rPr>
                <w:webHidden/>
              </w:rPr>
              <w:fldChar w:fldCharType="separate"/>
            </w:r>
            <w:r>
              <w:rPr>
                <w:webHidden/>
              </w:rPr>
              <w:t>1</w:t>
            </w:r>
            <w:r>
              <w:rPr>
                <w:webHidden/>
              </w:rPr>
              <w:fldChar w:fldCharType="end"/>
            </w:r>
          </w:hyperlink>
        </w:p>
        <w:p w14:paraId="627CC200" w14:textId="77777777" w:rsidR="004207ED" w:rsidRDefault="004207ED">
          <w:pPr>
            <w:pStyle w:val="TOC2"/>
            <w:tabs>
              <w:tab w:val="left" w:pos="960"/>
              <w:tab w:val="right" w:leader="dot" w:pos="9396"/>
            </w:tabs>
            <w:rPr>
              <w:rFonts w:eastAsiaTheme="minorEastAsia"/>
              <w:kern w:val="2"/>
              <w:sz w:val="24"/>
              <w:szCs w:val="24"/>
            </w:rPr>
          </w:pPr>
          <w:hyperlink w:anchor="_Toc198556992" w:history="1">
            <w:r>
              <w:rPr>
                <w:rStyle w:val="Hyperlink"/>
              </w:rPr>
              <w:t>10.2.</w:t>
            </w:r>
            <w:r>
              <w:rPr>
                <w:rFonts w:eastAsiaTheme="minorEastAsia"/>
                <w:kern w:val="2"/>
                <w:sz w:val="24"/>
                <w:szCs w:val="24"/>
              </w:rPr>
              <w:tab/>
            </w:r>
            <w:r>
              <w:rPr>
                <w:rStyle w:val="Hyperlink"/>
              </w:rPr>
              <w:t>İdari Para Cezalarının Uygulanması (Madde 17)</w:t>
            </w:r>
            <w:r>
              <w:rPr>
                <w:webHidden/>
              </w:rPr>
              <w:tab/>
            </w:r>
            <w:r>
              <w:rPr>
                <w:webHidden/>
              </w:rPr>
              <w:fldChar w:fldCharType="begin"/>
            </w:r>
            <w:r>
              <w:rPr>
                <w:webHidden/>
              </w:rPr>
              <w:instrText xml:space="preserve"> PAGEREF _Toc198556992 \h </w:instrText>
            </w:r>
            <w:r>
              <w:rPr>
                <w:webHidden/>
              </w:rPr>
            </w:r>
            <w:r>
              <w:rPr>
                <w:webHidden/>
              </w:rPr>
              <w:fldChar w:fldCharType="separate"/>
            </w:r>
            <w:r>
              <w:rPr>
                <w:webHidden/>
              </w:rPr>
              <w:t>1</w:t>
            </w:r>
            <w:r>
              <w:rPr>
                <w:webHidden/>
              </w:rPr>
              <w:fldChar w:fldCharType="end"/>
            </w:r>
          </w:hyperlink>
        </w:p>
        <w:p w14:paraId="672B6A3E" w14:textId="77777777" w:rsidR="004207ED" w:rsidRDefault="004207ED">
          <w:pPr>
            <w:pStyle w:val="TOC3"/>
            <w:tabs>
              <w:tab w:val="left" w:pos="1440"/>
              <w:tab w:val="right" w:leader="dot" w:pos="9396"/>
            </w:tabs>
            <w:rPr>
              <w:rFonts w:eastAsiaTheme="minorEastAsia"/>
              <w:kern w:val="2"/>
              <w:sz w:val="24"/>
              <w:szCs w:val="24"/>
            </w:rPr>
          </w:pPr>
          <w:hyperlink w:anchor="_Toc198556993" w:history="1">
            <w:r>
              <w:rPr>
                <w:rStyle w:val="Hyperlink"/>
              </w:rPr>
              <w:t>10.2.1.</w:t>
            </w:r>
            <w:r>
              <w:rPr>
                <w:rFonts w:eastAsiaTheme="minorEastAsia"/>
                <w:kern w:val="2"/>
                <w:sz w:val="24"/>
                <w:szCs w:val="24"/>
              </w:rPr>
              <w:tab/>
            </w:r>
            <w:r>
              <w:rPr>
                <w:rStyle w:val="Hyperlink"/>
              </w:rPr>
              <w:t>Savunma Hakkı (17/1)</w:t>
            </w:r>
            <w:r>
              <w:rPr>
                <w:webHidden/>
              </w:rPr>
              <w:tab/>
            </w:r>
            <w:r>
              <w:rPr>
                <w:webHidden/>
              </w:rPr>
              <w:fldChar w:fldCharType="begin"/>
            </w:r>
            <w:r>
              <w:rPr>
                <w:webHidden/>
              </w:rPr>
              <w:instrText xml:space="preserve"> PAGEREF _Toc198556993 \h </w:instrText>
            </w:r>
            <w:r>
              <w:rPr>
                <w:webHidden/>
              </w:rPr>
            </w:r>
            <w:r>
              <w:rPr>
                <w:webHidden/>
              </w:rPr>
              <w:fldChar w:fldCharType="separate"/>
            </w:r>
            <w:r>
              <w:rPr>
                <w:webHidden/>
              </w:rPr>
              <w:t>1</w:t>
            </w:r>
            <w:r>
              <w:rPr>
                <w:webHidden/>
              </w:rPr>
              <w:fldChar w:fldCharType="end"/>
            </w:r>
          </w:hyperlink>
        </w:p>
        <w:p w14:paraId="0797AA1D" w14:textId="77777777" w:rsidR="004207ED" w:rsidRDefault="004207ED">
          <w:pPr>
            <w:pStyle w:val="TOC3"/>
            <w:tabs>
              <w:tab w:val="left" w:pos="1440"/>
              <w:tab w:val="right" w:leader="dot" w:pos="9396"/>
            </w:tabs>
            <w:rPr>
              <w:rFonts w:eastAsiaTheme="minorEastAsia"/>
              <w:kern w:val="2"/>
              <w:sz w:val="24"/>
              <w:szCs w:val="24"/>
            </w:rPr>
          </w:pPr>
          <w:hyperlink w:anchor="_Toc198556994" w:history="1">
            <w:r>
              <w:rPr>
                <w:rStyle w:val="Hyperlink"/>
              </w:rPr>
              <w:t>10.2.2.</w:t>
            </w:r>
            <w:r>
              <w:rPr>
                <w:rFonts w:eastAsiaTheme="minorEastAsia"/>
                <w:kern w:val="2"/>
                <w:sz w:val="24"/>
                <w:szCs w:val="24"/>
              </w:rPr>
              <w:tab/>
            </w:r>
            <w:r>
              <w:rPr>
                <w:rStyle w:val="Hyperlink"/>
              </w:rPr>
              <w:t>Mükerrerlik Durumu ve Ceza Artırımı (17/2)</w:t>
            </w:r>
            <w:r>
              <w:rPr>
                <w:webHidden/>
              </w:rPr>
              <w:tab/>
            </w:r>
            <w:r>
              <w:rPr>
                <w:webHidden/>
              </w:rPr>
              <w:fldChar w:fldCharType="begin"/>
            </w:r>
            <w:r>
              <w:rPr>
                <w:webHidden/>
              </w:rPr>
              <w:instrText xml:space="preserve"> PAGEREF _Toc198556994 \h </w:instrText>
            </w:r>
            <w:r>
              <w:rPr>
                <w:webHidden/>
              </w:rPr>
            </w:r>
            <w:r>
              <w:rPr>
                <w:webHidden/>
              </w:rPr>
              <w:fldChar w:fldCharType="separate"/>
            </w:r>
            <w:r>
              <w:rPr>
                <w:webHidden/>
              </w:rPr>
              <w:t>1</w:t>
            </w:r>
            <w:r>
              <w:rPr>
                <w:webHidden/>
              </w:rPr>
              <w:fldChar w:fldCharType="end"/>
            </w:r>
          </w:hyperlink>
        </w:p>
        <w:p w14:paraId="6065C8FD" w14:textId="77777777" w:rsidR="004207ED" w:rsidRDefault="004207ED">
          <w:pPr>
            <w:pStyle w:val="TOC3"/>
            <w:tabs>
              <w:tab w:val="left" w:pos="1440"/>
              <w:tab w:val="right" w:leader="dot" w:pos="9396"/>
            </w:tabs>
            <w:rPr>
              <w:rFonts w:eastAsiaTheme="minorEastAsia"/>
              <w:kern w:val="2"/>
              <w:sz w:val="24"/>
              <w:szCs w:val="24"/>
            </w:rPr>
          </w:pPr>
          <w:hyperlink w:anchor="_Toc198556995" w:history="1">
            <w:r>
              <w:rPr>
                <w:rStyle w:val="Hyperlink"/>
              </w:rPr>
              <w:t>10.2.3.</w:t>
            </w:r>
            <w:r>
              <w:rPr>
                <w:rFonts w:eastAsiaTheme="minorEastAsia"/>
                <w:kern w:val="2"/>
                <w:sz w:val="24"/>
                <w:szCs w:val="24"/>
              </w:rPr>
              <w:tab/>
            </w:r>
            <w:r>
              <w:rPr>
                <w:rStyle w:val="Hyperlink"/>
              </w:rPr>
              <w:t>Menfaat veya Zarar Durumunda Ceza Hesaplaması (17/2, devamı)</w:t>
            </w:r>
            <w:r>
              <w:rPr>
                <w:webHidden/>
              </w:rPr>
              <w:tab/>
            </w:r>
            <w:r>
              <w:rPr>
                <w:webHidden/>
              </w:rPr>
              <w:fldChar w:fldCharType="begin"/>
            </w:r>
            <w:r>
              <w:rPr>
                <w:webHidden/>
              </w:rPr>
              <w:instrText xml:space="preserve"> PAGEREF _Toc198556995 \h </w:instrText>
            </w:r>
            <w:r>
              <w:rPr>
                <w:webHidden/>
              </w:rPr>
            </w:r>
            <w:r>
              <w:rPr>
                <w:webHidden/>
              </w:rPr>
              <w:fldChar w:fldCharType="separate"/>
            </w:r>
            <w:r>
              <w:rPr>
                <w:webHidden/>
              </w:rPr>
              <w:t>1</w:t>
            </w:r>
            <w:r>
              <w:rPr>
                <w:webHidden/>
              </w:rPr>
              <w:fldChar w:fldCharType="end"/>
            </w:r>
          </w:hyperlink>
        </w:p>
        <w:p w14:paraId="3BDC836D" w14:textId="77777777" w:rsidR="004207ED" w:rsidRDefault="004207ED">
          <w:pPr>
            <w:pStyle w:val="TOC3"/>
            <w:tabs>
              <w:tab w:val="left" w:pos="1440"/>
              <w:tab w:val="right" w:leader="dot" w:pos="9396"/>
            </w:tabs>
            <w:rPr>
              <w:rFonts w:eastAsiaTheme="minorEastAsia"/>
              <w:kern w:val="2"/>
              <w:sz w:val="24"/>
              <w:szCs w:val="24"/>
            </w:rPr>
          </w:pPr>
          <w:hyperlink w:anchor="_Toc198556996" w:history="1">
            <w:r>
              <w:rPr>
                <w:rStyle w:val="Hyperlink"/>
              </w:rPr>
              <w:t>10.2.4.</w:t>
            </w:r>
            <w:r>
              <w:rPr>
                <w:rFonts w:eastAsiaTheme="minorEastAsia"/>
                <w:kern w:val="2"/>
                <w:sz w:val="24"/>
                <w:szCs w:val="24"/>
              </w:rPr>
              <w:tab/>
            </w:r>
            <w:r>
              <w:rPr>
                <w:rStyle w:val="Hyperlink"/>
              </w:rPr>
              <w:t>Tahsilat Usulü ve Süresi (17/3–4)</w:t>
            </w:r>
            <w:r>
              <w:rPr>
                <w:webHidden/>
              </w:rPr>
              <w:tab/>
            </w:r>
            <w:r>
              <w:rPr>
                <w:webHidden/>
              </w:rPr>
              <w:fldChar w:fldCharType="begin"/>
            </w:r>
            <w:r>
              <w:rPr>
                <w:webHidden/>
              </w:rPr>
              <w:instrText xml:space="preserve"> PAGEREF _Toc198556996 \h </w:instrText>
            </w:r>
            <w:r>
              <w:rPr>
                <w:webHidden/>
              </w:rPr>
            </w:r>
            <w:r>
              <w:rPr>
                <w:webHidden/>
              </w:rPr>
              <w:fldChar w:fldCharType="separate"/>
            </w:r>
            <w:r>
              <w:rPr>
                <w:webHidden/>
              </w:rPr>
              <w:t>1</w:t>
            </w:r>
            <w:r>
              <w:rPr>
                <w:webHidden/>
              </w:rPr>
              <w:fldChar w:fldCharType="end"/>
            </w:r>
          </w:hyperlink>
        </w:p>
        <w:p w14:paraId="15AACD8F" w14:textId="77777777" w:rsidR="004207ED" w:rsidRDefault="004207ED">
          <w:pPr>
            <w:pStyle w:val="TOC3"/>
            <w:tabs>
              <w:tab w:val="left" w:pos="1440"/>
              <w:tab w:val="right" w:leader="dot" w:pos="9396"/>
            </w:tabs>
            <w:rPr>
              <w:rFonts w:eastAsiaTheme="minorEastAsia"/>
              <w:kern w:val="2"/>
              <w:sz w:val="24"/>
              <w:szCs w:val="24"/>
            </w:rPr>
          </w:pPr>
          <w:hyperlink w:anchor="_Toc198556997" w:history="1">
            <w:r>
              <w:rPr>
                <w:rStyle w:val="Hyperlink"/>
              </w:rPr>
              <w:t>10.2.5.</w:t>
            </w:r>
            <w:r>
              <w:rPr>
                <w:rFonts w:eastAsiaTheme="minorEastAsia"/>
                <w:kern w:val="2"/>
                <w:sz w:val="24"/>
                <w:szCs w:val="24"/>
              </w:rPr>
              <w:tab/>
            </w:r>
            <w:r>
              <w:rPr>
                <w:rStyle w:val="Hyperlink"/>
              </w:rPr>
              <w:t>Yargı Yolu (17/5)</w:t>
            </w:r>
            <w:r>
              <w:rPr>
                <w:webHidden/>
              </w:rPr>
              <w:tab/>
            </w:r>
            <w:r>
              <w:rPr>
                <w:webHidden/>
              </w:rPr>
              <w:fldChar w:fldCharType="begin"/>
            </w:r>
            <w:r>
              <w:rPr>
                <w:webHidden/>
              </w:rPr>
              <w:instrText xml:space="preserve"> PAGEREF _Toc198556997 \h </w:instrText>
            </w:r>
            <w:r>
              <w:rPr>
                <w:webHidden/>
              </w:rPr>
            </w:r>
            <w:r>
              <w:rPr>
                <w:webHidden/>
              </w:rPr>
              <w:fldChar w:fldCharType="separate"/>
            </w:r>
            <w:r>
              <w:rPr>
                <w:webHidden/>
              </w:rPr>
              <w:t>1</w:t>
            </w:r>
            <w:r>
              <w:rPr>
                <w:webHidden/>
              </w:rPr>
              <w:fldChar w:fldCharType="end"/>
            </w:r>
          </w:hyperlink>
        </w:p>
        <w:p w14:paraId="549C9C13" w14:textId="77777777" w:rsidR="004207ED" w:rsidRDefault="004207ED">
          <w:pPr>
            <w:pStyle w:val="TOC2"/>
            <w:tabs>
              <w:tab w:val="left" w:pos="960"/>
              <w:tab w:val="right" w:leader="dot" w:pos="9396"/>
            </w:tabs>
            <w:rPr>
              <w:rFonts w:eastAsiaTheme="minorEastAsia"/>
              <w:kern w:val="2"/>
              <w:sz w:val="24"/>
              <w:szCs w:val="24"/>
            </w:rPr>
          </w:pPr>
          <w:hyperlink w:anchor="_Toc198556998" w:history="1">
            <w:r>
              <w:rPr>
                <w:rStyle w:val="Hyperlink"/>
              </w:rPr>
              <w:t>10.3.</w:t>
            </w:r>
            <w:r>
              <w:rPr>
                <w:rFonts w:eastAsiaTheme="minorEastAsia"/>
                <w:kern w:val="2"/>
                <w:sz w:val="24"/>
                <w:szCs w:val="24"/>
              </w:rPr>
              <w:tab/>
            </w:r>
            <w:r>
              <w:rPr>
                <w:rStyle w:val="Hyperlink"/>
              </w:rPr>
              <w:t>Hukuk Birimiyle Koordinasyon Gerektiren Başlıca Hususlar</w:t>
            </w:r>
            <w:r>
              <w:rPr>
                <w:webHidden/>
              </w:rPr>
              <w:tab/>
            </w:r>
            <w:r>
              <w:rPr>
                <w:webHidden/>
              </w:rPr>
              <w:fldChar w:fldCharType="begin"/>
            </w:r>
            <w:r>
              <w:rPr>
                <w:webHidden/>
              </w:rPr>
              <w:instrText xml:space="preserve"> PAGEREF _Toc198556998 \h </w:instrText>
            </w:r>
            <w:r>
              <w:rPr>
                <w:webHidden/>
              </w:rPr>
            </w:r>
            <w:r>
              <w:rPr>
                <w:webHidden/>
              </w:rPr>
              <w:fldChar w:fldCharType="separate"/>
            </w:r>
            <w:r>
              <w:rPr>
                <w:webHidden/>
              </w:rPr>
              <w:t>1</w:t>
            </w:r>
            <w:r>
              <w:rPr>
                <w:webHidden/>
              </w:rPr>
              <w:fldChar w:fldCharType="end"/>
            </w:r>
          </w:hyperlink>
        </w:p>
        <w:p w14:paraId="171C566D" w14:textId="77777777" w:rsidR="004207ED" w:rsidRDefault="004207ED">
          <w:pPr>
            <w:pStyle w:val="TOC1"/>
            <w:tabs>
              <w:tab w:val="left" w:pos="720"/>
              <w:tab w:val="right" w:leader="dot" w:pos="9396"/>
            </w:tabs>
            <w:rPr>
              <w:rFonts w:eastAsiaTheme="minorEastAsia"/>
              <w:kern w:val="2"/>
              <w:sz w:val="24"/>
              <w:szCs w:val="24"/>
            </w:rPr>
          </w:pPr>
          <w:hyperlink w:anchor="_Toc198556999" w:history="1">
            <w:r>
              <w:rPr>
                <w:rStyle w:val="Hyperlink"/>
              </w:rPr>
              <w:t>11.</w:t>
            </w:r>
            <w:r>
              <w:rPr>
                <w:rFonts w:eastAsiaTheme="minorEastAsia"/>
                <w:kern w:val="2"/>
                <w:sz w:val="24"/>
                <w:szCs w:val="24"/>
              </w:rPr>
              <w:tab/>
            </w:r>
            <w:r>
              <w:rPr>
                <w:rStyle w:val="Hyperlink"/>
              </w:rPr>
              <w:t>ALTINCI BÖLÜM ÇEŞİTLİ VE SON HÜKÜMLER (MADDE 18-21)</w:t>
            </w:r>
            <w:r>
              <w:rPr>
                <w:webHidden/>
              </w:rPr>
              <w:tab/>
            </w:r>
            <w:r>
              <w:rPr>
                <w:webHidden/>
              </w:rPr>
              <w:fldChar w:fldCharType="begin"/>
            </w:r>
            <w:r>
              <w:rPr>
                <w:webHidden/>
              </w:rPr>
              <w:instrText xml:space="preserve"> PAGEREF _Toc198556999 \h </w:instrText>
            </w:r>
            <w:r>
              <w:rPr>
                <w:webHidden/>
              </w:rPr>
            </w:r>
            <w:r>
              <w:rPr>
                <w:webHidden/>
              </w:rPr>
              <w:fldChar w:fldCharType="separate"/>
            </w:r>
            <w:r>
              <w:rPr>
                <w:webHidden/>
              </w:rPr>
              <w:t>1</w:t>
            </w:r>
            <w:r>
              <w:rPr>
                <w:webHidden/>
              </w:rPr>
              <w:fldChar w:fldCharType="end"/>
            </w:r>
          </w:hyperlink>
        </w:p>
        <w:p w14:paraId="352C5F0D" w14:textId="77777777" w:rsidR="004207ED" w:rsidRDefault="004207ED">
          <w:pPr>
            <w:pStyle w:val="TOC2"/>
            <w:tabs>
              <w:tab w:val="left" w:pos="960"/>
              <w:tab w:val="right" w:leader="dot" w:pos="9396"/>
            </w:tabs>
            <w:rPr>
              <w:rFonts w:eastAsiaTheme="minorEastAsia"/>
              <w:kern w:val="2"/>
              <w:sz w:val="24"/>
              <w:szCs w:val="24"/>
            </w:rPr>
          </w:pPr>
          <w:hyperlink w:anchor="_Toc198557000" w:history="1">
            <w:r>
              <w:rPr>
                <w:rStyle w:val="Hyperlink"/>
              </w:rPr>
              <w:t>11.1.</w:t>
            </w:r>
            <w:r>
              <w:rPr>
                <w:rFonts w:eastAsiaTheme="minorEastAsia"/>
                <w:kern w:val="2"/>
                <w:sz w:val="24"/>
                <w:szCs w:val="24"/>
              </w:rPr>
              <w:tab/>
            </w:r>
            <w:r>
              <w:rPr>
                <w:rStyle w:val="Hyperlink"/>
              </w:rPr>
              <w:t>Siber Güvenlik Ürünleri ve Şirketleri (Madde 18)</w:t>
            </w:r>
            <w:r>
              <w:rPr>
                <w:webHidden/>
              </w:rPr>
              <w:tab/>
            </w:r>
            <w:r>
              <w:rPr>
                <w:webHidden/>
              </w:rPr>
              <w:fldChar w:fldCharType="begin"/>
            </w:r>
            <w:r>
              <w:rPr>
                <w:webHidden/>
              </w:rPr>
              <w:instrText xml:space="preserve"> PAGEREF _Toc198557000 \h </w:instrText>
            </w:r>
            <w:r>
              <w:rPr>
                <w:webHidden/>
              </w:rPr>
            </w:r>
            <w:r>
              <w:rPr>
                <w:webHidden/>
              </w:rPr>
              <w:fldChar w:fldCharType="separate"/>
            </w:r>
            <w:r>
              <w:rPr>
                <w:webHidden/>
              </w:rPr>
              <w:t>1</w:t>
            </w:r>
            <w:r>
              <w:rPr>
                <w:webHidden/>
              </w:rPr>
              <w:fldChar w:fldCharType="end"/>
            </w:r>
          </w:hyperlink>
        </w:p>
        <w:p w14:paraId="02474C32" w14:textId="77777777" w:rsidR="004207ED" w:rsidRDefault="004207ED">
          <w:pPr>
            <w:pStyle w:val="TOC2"/>
            <w:tabs>
              <w:tab w:val="left" w:pos="960"/>
              <w:tab w:val="right" w:leader="dot" w:pos="9396"/>
            </w:tabs>
            <w:rPr>
              <w:rFonts w:eastAsiaTheme="minorEastAsia"/>
              <w:kern w:val="2"/>
              <w:sz w:val="24"/>
              <w:szCs w:val="24"/>
            </w:rPr>
          </w:pPr>
          <w:hyperlink w:anchor="_Toc198557001" w:history="1">
            <w:r>
              <w:rPr>
                <w:rStyle w:val="Hyperlink"/>
              </w:rPr>
              <w:t>11.2.</w:t>
            </w:r>
            <w:r>
              <w:rPr>
                <w:rFonts w:eastAsiaTheme="minorEastAsia"/>
                <w:kern w:val="2"/>
                <w:sz w:val="24"/>
                <w:szCs w:val="24"/>
              </w:rPr>
              <w:tab/>
            </w:r>
            <w:r>
              <w:rPr>
                <w:rStyle w:val="Hyperlink"/>
              </w:rPr>
              <w:t>Değiştirilen ve Yürürlükten Kaldırılan Hükümler (Madde 19)</w:t>
            </w:r>
            <w:r>
              <w:rPr>
                <w:webHidden/>
              </w:rPr>
              <w:tab/>
            </w:r>
            <w:r>
              <w:rPr>
                <w:webHidden/>
              </w:rPr>
              <w:fldChar w:fldCharType="begin"/>
            </w:r>
            <w:r>
              <w:rPr>
                <w:webHidden/>
              </w:rPr>
              <w:instrText xml:space="preserve"> PAGEREF _Toc198557001 \h </w:instrText>
            </w:r>
            <w:r>
              <w:rPr>
                <w:webHidden/>
              </w:rPr>
            </w:r>
            <w:r>
              <w:rPr>
                <w:webHidden/>
              </w:rPr>
              <w:fldChar w:fldCharType="separate"/>
            </w:r>
            <w:r>
              <w:rPr>
                <w:webHidden/>
              </w:rPr>
              <w:t>1</w:t>
            </w:r>
            <w:r>
              <w:rPr>
                <w:webHidden/>
              </w:rPr>
              <w:fldChar w:fldCharType="end"/>
            </w:r>
          </w:hyperlink>
        </w:p>
        <w:p w14:paraId="0442BECF" w14:textId="77777777" w:rsidR="004207ED" w:rsidRDefault="004207ED">
          <w:pPr>
            <w:pStyle w:val="TOC2"/>
            <w:tabs>
              <w:tab w:val="left" w:pos="960"/>
              <w:tab w:val="right" w:leader="dot" w:pos="9396"/>
            </w:tabs>
            <w:rPr>
              <w:rFonts w:eastAsiaTheme="minorEastAsia"/>
              <w:kern w:val="2"/>
              <w:sz w:val="24"/>
              <w:szCs w:val="24"/>
            </w:rPr>
          </w:pPr>
          <w:hyperlink w:anchor="_Toc198557002" w:history="1">
            <w:r>
              <w:rPr>
                <w:rStyle w:val="Hyperlink"/>
              </w:rPr>
              <w:t>11.3.</w:t>
            </w:r>
            <w:r>
              <w:rPr>
                <w:rFonts w:eastAsiaTheme="minorEastAsia"/>
                <w:kern w:val="2"/>
                <w:sz w:val="24"/>
                <w:szCs w:val="24"/>
              </w:rPr>
              <w:tab/>
            </w:r>
            <w:r>
              <w:rPr>
                <w:rStyle w:val="Hyperlink"/>
              </w:rPr>
              <w:t>Geçici Hükümler (Geçici Madde 1)</w:t>
            </w:r>
            <w:r>
              <w:rPr>
                <w:webHidden/>
              </w:rPr>
              <w:tab/>
            </w:r>
            <w:r>
              <w:rPr>
                <w:webHidden/>
              </w:rPr>
              <w:fldChar w:fldCharType="begin"/>
            </w:r>
            <w:r>
              <w:rPr>
                <w:webHidden/>
              </w:rPr>
              <w:instrText xml:space="preserve"> PAGEREF _Toc198557002 \h </w:instrText>
            </w:r>
            <w:r>
              <w:rPr>
                <w:webHidden/>
              </w:rPr>
            </w:r>
            <w:r>
              <w:rPr>
                <w:webHidden/>
              </w:rPr>
              <w:fldChar w:fldCharType="separate"/>
            </w:r>
            <w:r>
              <w:rPr>
                <w:webHidden/>
              </w:rPr>
              <w:t>1</w:t>
            </w:r>
            <w:r>
              <w:rPr>
                <w:webHidden/>
              </w:rPr>
              <w:fldChar w:fldCharType="end"/>
            </w:r>
          </w:hyperlink>
        </w:p>
        <w:p w14:paraId="0F9EB7DD" w14:textId="77777777" w:rsidR="004207ED" w:rsidRDefault="004207ED">
          <w:pPr>
            <w:pStyle w:val="TOC1"/>
            <w:tabs>
              <w:tab w:val="left" w:pos="720"/>
              <w:tab w:val="right" w:leader="dot" w:pos="9396"/>
            </w:tabs>
            <w:rPr>
              <w:rFonts w:eastAsiaTheme="minorEastAsia"/>
              <w:kern w:val="2"/>
              <w:sz w:val="24"/>
              <w:szCs w:val="24"/>
            </w:rPr>
          </w:pPr>
          <w:hyperlink w:anchor="_Toc198557003" w:history="1">
            <w:r>
              <w:rPr>
                <w:rStyle w:val="Hyperlink"/>
              </w:rPr>
              <w:t>12.</w:t>
            </w:r>
            <w:r>
              <w:rPr>
                <w:rFonts w:eastAsiaTheme="minorEastAsia"/>
                <w:kern w:val="2"/>
                <w:sz w:val="24"/>
                <w:szCs w:val="24"/>
              </w:rPr>
              <w:tab/>
            </w:r>
            <w:r>
              <w:rPr>
                <w:rStyle w:val="Hyperlink"/>
              </w:rPr>
              <w:t>FIRSATLAR VE ZORLUKLAR</w:t>
            </w:r>
            <w:r>
              <w:rPr>
                <w:webHidden/>
              </w:rPr>
              <w:tab/>
            </w:r>
            <w:r>
              <w:rPr>
                <w:webHidden/>
              </w:rPr>
              <w:fldChar w:fldCharType="begin"/>
            </w:r>
            <w:r>
              <w:rPr>
                <w:webHidden/>
              </w:rPr>
              <w:instrText xml:space="preserve"> PAGEREF _Toc198557003 \h </w:instrText>
            </w:r>
            <w:r>
              <w:rPr>
                <w:webHidden/>
              </w:rPr>
            </w:r>
            <w:r>
              <w:rPr>
                <w:webHidden/>
              </w:rPr>
              <w:fldChar w:fldCharType="separate"/>
            </w:r>
            <w:r>
              <w:rPr>
                <w:webHidden/>
              </w:rPr>
              <w:t>1</w:t>
            </w:r>
            <w:r>
              <w:rPr>
                <w:webHidden/>
              </w:rPr>
              <w:fldChar w:fldCharType="end"/>
            </w:r>
          </w:hyperlink>
        </w:p>
        <w:p w14:paraId="57004748" w14:textId="77777777" w:rsidR="004207ED" w:rsidRDefault="004207ED">
          <w:pPr>
            <w:pStyle w:val="TOC2"/>
            <w:tabs>
              <w:tab w:val="left" w:pos="960"/>
              <w:tab w:val="right" w:leader="dot" w:pos="9396"/>
            </w:tabs>
            <w:rPr>
              <w:rFonts w:eastAsiaTheme="minorEastAsia"/>
              <w:kern w:val="2"/>
              <w:sz w:val="24"/>
              <w:szCs w:val="24"/>
            </w:rPr>
          </w:pPr>
          <w:hyperlink w:anchor="_Toc198557004" w:history="1">
            <w:r>
              <w:rPr>
                <w:rStyle w:val="Hyperlink"/>
              </w:rPr>
              <w:t>12.1.</w:t>
            </w:r>
            <w:r>
              <w:rPr>
                <w:rFonts w:eastAsiaTheme="minorEastAsia"/>
                <w:kern w:val="2"/>
                <w:sz w:val="24"/>
                <w:szCs w:val="24"/>
              </w:rPr>
              <w:tab/>
            </w:r>
            <w:r>
              <w:rPr>
                <w:rStyle w:val="Hyperlink"/>
              </w:rPr>
              <w:t>FIRSATLAR</w:t>
            </w:r>
            <w:r>
              <w:rPr>
                <w:webHidden/>
              </w:rPr>
              <w:tab/>
            </w:r>
            <w:r>
              <w:rPr>
                <w:webHidden/>
              </w:rPr>
              <w:fldChar w:fldCharType="begin"/>
            </w:r>
            <w:r>
              <w:rPr>
                <w:webHidden/>
              </w:rPr>
              <w:instrText xml:space="preserve"> PAGEREF _Toc198557004 \h </w:instrText>
            </w:r>
            <w:r>
              <w:rPr>
                <w:webHidden/>
              </w:rPr>
            </w:r>
            <w:r>
              <w:rPr>
                <w:webHidden/>
              </w:rPr>
              <w:fldChar w:fldCharType="separate"/>
            </w:r>
            <w:r>
              <w:rPr>
                <w:webHidden/>
              </w:rPr>
              <w:t>1</w:t>
            </w:r>
            <w:r>
              <w:rPr>
                <w:webHidden/>
              </w:rPr>
              <w:fldChar w:fldCharType="end"/>
            </w:r>
          </w:hyperlink>
        </w:p>
        <w:p w14:paraId="40BB73FA" w14:textId="77777777" w:rsidR="004207ED" w:rsidRDefault="004207ED">
          <w:pPr>
            <w:pStyle w:val="TOC3"/>
            <w:tabs>
              <w:tab w:val="left" w:pos="1440"/>
              <w:tab w:val="right" w:leader="dot" w:pos="9396"/>
            </w:tabs>
            <w:rPr>
              <w:rFonts w:eastAsiaTheme="minorEastAsia"/>
              <w:kern w:val="2"/>
              <w:sz w:val="24"/>
              <w:szCs w:val="24"/>
            </w:rPr>
          </w:pPr>
          <w:hyperlink w:anchor="_Toc198557005" w:history="1">
            <w:r>
              <w:rPr>
                <w:rStyle w:val="Hyperlink"/>
              </w:rPr>
              <w:t>12.1.1.</w:t>
            </w:r>
            <w:r>
              <w:rPr>
                <w:rFonts w:eastAsiaTheme="minorEastAsia"/>
                <w:kern w:val="2"/>
                <w:sz w:val="24"/>
                <w:szCs w:val="24"/>
              </w:rPr>
              <w:tab/>
            </w:r>
            <w:r>
              <w:rPr>
                <w:rStyle w:val="Hyperlink"/>
              </w:rPr>
              <w:t>Kurumsal Dayanıklılığın Artması</w:t>
            </w:r>
            <w:r>
              <w:rPr>
                <w:webHidden/>
              </w:rPr>
              <w:tab/>
            </w:r>
            <w:r>
              <w:rPr>
                <w:webHidden/>
              </w:rPr>
              <w:fldChar w:fldCharType="begin"/>
            </w:r>
            <w:r>
              <w:rPr>
                <w:webHidden/>
              </w:rPr>
              <w:instrText xml:space="preserve"> PAGEREF _Toc198557005 \h </w:instrText>
            </w:r>
            <w:r>
              <w:rPr>
                <w:webHidden/>
              </w:rPr>
            </w:r>
            <w:r>
              <w:rPr>
                <w:webHidden/>
              </w:rPr>
              <w:fldChar w:fldCharType="separate"/>
            </w:r>
            <w:r>
              <w:rPr>
                <w:webHidden/>
              </w:rPr>
              <w:t>1</w:t>
            </w:r>
            <w:r>
              <w:rPr>
                <w:webHidden/>
              </w:rPr>
              <w:fldChar w:fldCharType="end"/>
            </w:r>
          </w:hyperlink>
        </w:p>
        <w:p w14:paraId="725D25AB" w14:textId="77777777" w:rsidR="004207ED" w:rsidRDefault="004207ED">
          <w:pPr>
            <w:pStyle w:val="TOC3"/>
            <w:tabs>
              <w:tab w:val="left" w:pos="1440"/>
              <w:tab w:val="right" w:leader="dot" w:pos="9396"/>
            </w:tabs>
            <w:rPr>
              <w:rFonts w:eastAsiaTheme="minorEastAsia"/>
              <w:kern w:val="2"/>
              <w:sz w:val="24"/>
              <w:szCs w:val="24"/>
            </w:rPr>
          </w:pPr>
          <w:hyperlink w:anchor="_Toc198557006" w:history="1">
            <w:r>
              <w:rPr>
                <w:rStyle w:val="Hyperlink"/>
              </w:rPr>
              <w:t>12.1.2.</w:t>
            </w:r>
            <w:r>
              <w:rPr>
                <w:rFonts w:eastAsiaTheme="minorEastAsia"/>
                <w:kern w:val="2"/>
                <w:sz w:val="24"/>
                <w:szCs w:val="24"/>
              </w:rPr>
              <w:tab/>
            </w:r>
            <w:r>
              <w:rPr>
                <w:rStyle w:val="Hyperlink"/>
              </w:rPr>
              <w:t>Yerli ve Millî Ürünlerin Teşvik Edilmesi</w:t>
            </w:r>
            <w:r>
              <w:rPr>
                <w:webHidden/>
              </w:rPr>
              <w:tab/>
            </w:r>
            <w:r>
              <w:rPr>
                <w:webHidden/>
              </w:rPr>
              <w:fldChar w:fldCharType="begin"/>
            </w:r>
            <w:r>
              <w:rPr>
                <w:webHidden/>
              </w:rPr>
              <w:instrText xml:space="preserve"> PAGEREF _Toc198557006 \h </w:instrText>
            </w:r>
            <w:r>
              <w:rPr>
                <w:webHidden/>
              </w:rPr>
            </w:r>
            <w:r>
              <w:rPr>
                <w:webHidden/>
              </w:rPr>
              <w:fldChar w:fldCharType="separate"/>
            </w:r>
            <w:r>
              <w:rPr>
                <w:webHidden/>
              </w:rPr>
              <w:t>1</w:t>
            </w:r>
            <w:r>
              <w:rPr>
                <w:webHidden/>
              </w:rPr>
              <w:fldChar w:fldCharType="end"/>
            </w:r>
          </w:hyperlink>
        </w:p>
        <w:p w14:paraId="7A7B07E1" w14:textId="77777777" w:rsidR="004207ED" w:rsidRDefault="004207ED">
          <w:pPr>
            <w:pStyle w:val="TOC3"/>
            <w:tabs>
              <w:tab w:val="left" w:pos="1440"/>
              <w:tab w:val="right" w:leader="dot" w:pos="9396"/>
            </w:tabs>
            <w:rPr>
              <w:rFonts w:eastAsiaTheme="minorEastAsia"/>
              <w:kern w:val="2"/>
              <w:sz w:val="24"/>
              <w:szCs w:val="24"/>
            </w:rPr>
          </w:pPr>
          <w:hyperlink w:anchor="_Toc198557007" w:history="1">
            <w:r>
              <w:rPr>
                <w:rStyle w:val="Hyperlink"/>
              </w:rPr>
              <w:t>12.1.3.</w:t>
            </w:r>
            <w:r>
              <w:rPr>
                <w:rFonts w:eastAsiaTheme="minorEastAsia"/>
                <w:kern w:val="2"/>
                <w:sz w:val="24"/>
                <w:szCs w:val="24"/>
              </w:rPr>
              <w:tab/>
            </w:r>
            <w:r>
              <w:rPr>
                <w:rStyle w:val="Hyperlink"/>
              </w:rPr>
              <w:t>Yeni Hizmet ve Sertifikasyon Alanları</w:t>
            </w:r>
            <w:r>
              <w:rPr>
                <w:webHidden/>
              </w:rPr>
              <w:tab/>
            </w:r>
            <w:r>
              <w:rPr>
                <w:webHidden/>
              </w:rPr>
              <w:fldChar w:fldCharType="begin"/>
            </w:r>
            <w:r>
              <w:rPr>
                <w:webHidden/>
              </w:rPr>
              <w:instrText xml:space="preserve"> PAGEREF _Toc198557007 \h </w:instrText>
            </w:r>
            <w:r>
              <w:rPr>
                <w:webHidden/>
              </w:rPr>
            </w:r>
            <w:r>
              <w:rPr>
                <w:webHidden/>
              </w:rPr>
              <w:fldChar w:fldCharType="separate"/>
            </w:r>
            <w:r>
              <w:rPr>
                <w:webHidden/>
              </w:rPr>
              <w:t>1</w:t>
            </w:r>
            <w:r>
              <w:rPr>
                <w:webHidden/>
              </w:rPr>
              <w:fldChar w:fldCharType="end"/>
            </w:r>
          </w:hyperlink>
        </w:p>
        <w:p w14:paraId="5CEA3F31" w14:textId="77777777" w:rsidR="004207ED" w:rsidRDefault="004207ED">
          <w:pPr>
            <w:pStyle w:val="TOC3"/>
            <w:tabs>
              <w:tab w:val="left" w:pos="1440"/>
              <w:tab w:val="right" w:leader="dot" w:pos="9396"/>
            </w:tabs>
            <w:rPr>
              <w:rFonts w:eastAsiaTheme="minorEastAsia"/>
              <w:kern w:val="2"/>
              <w:sz w:val="24"/>
              <w:szCs w:val="24"/>
            </w:rPr>
          </w:pPr>
          <w:hyperlink w:anchor="_Toc198557008" w:history="1">
            <w:r>
              <w:rPr>
                <w:rStyle w:val="Hyperlink"/>
              </w:rPr>
              <w:t>12.1.4.</w:t>
            </w:r>
            <w:r>
              <w:rPr>
                <w:rFonts w:eastAsiaTheme="minorEastAsia"/>
                <w:kern w:val="2"/>
                <w:sz w:val="24"/>
                <w:szCs w:val="24"/>
              </w:rPr>
              <w:tab/>
            </w:r>
            <w:r>
              <w:rPr>
                <w:rStyle w:val="Hyperlink"/>
              </w:rPr>
              <w:t>Siber Güvenlik Ekosisteminde Bütünleşik Yapı</w:t>
            </w:r>
            <w:r>
              <w:rPr>
                <w:webHidden/>
              </w:rPr>
              <w:tab/>
            </w:r>
            <w:r>
              <w:rPr>
                <w:webHidden/>
              </w:rPr>
              <w:fldChar w:fldCharType="begin"/>
            </w:r>
            <w:r>
              <w:rPr>
                <w:webHidden/>
              </w:rPr>
              <w:instrText xml:space="preserve"> PAGEREF _Toc198557008 \h </w:instrText>
            </w:r>
            <w:r>
              <w:rPr>
                <w:webHidden/>
              </w:rPr>
            </w:r>
            <w:r>
              <w:rPr>
                <w:webHidden/>
              </w:rPr>
              <w:fldChar w:fldCharType="separate"/>
            </w:r>
            <w:r>
              <w:rPr>
                <w:webHidden/>
              </w:rPr>
              <w:t>1</w:t>
            </w:r>
            <w:r>
              <w:rPr>
                <w:webHidden/>
              </w:rPr>
              <w:fldChar w:fldCharType="end"/>
            </w:r>
          </w:hyperlink>
        </w:p>
        <w:p w14:paraId="21872FC4" w14:textId="77777777" w:rsidR="004207ED" w:rsidRDefault="004207ED">
          <w:pPr>
            <w:pStyle w:val="TOC3"/>
            <w:tabs>
              <w:tab w:val="left" w:pos="1440"/>
              <w:tab w:val="right" w:leader="dot" w:pos="9396"/>
            </w:tabs>
            <w:rPr>
              <w:rFonts w:eastAsiaTheme="minorEastAsia"/>
              <w:kern w:val="2"/>
              <w:sz w:val="24"/>
              <w:szCs w:val="24"/>
            </w:rPr>
          </w:pPr>
          <w:hyperlink w:anchor="_Toc198557009" w:history="1">
            <w:r>
              <w:rPr>
                <w:rStyle w:val="Hyperlink"/>
              </w:rPr>
              <w:t>12.1.5.</w:t>
            </w:r>
            <w:r>
              <w:rPr>
                <w:rFonts w:eastAsiaTheme="minorEastAsia"/>
                <w:kern w:val="2"/>
                <w:sz w:val="24"/>
                <w:szCs w:val="24"/>
              </w:rPr>
              <w:tab/>
            </w:r>
            <w:r>
              <w:rPr>
                <w:rStyle w:val="Hyperlink"/>
              </w:rPr>
              <w:t>Uluslararası Uyum ve Rekabet Avantajı</w:t>
            </w:r>
            <w:r>
              <w:rPr>
                <w:webHidden/>
              </w:rPr>
              <w:tab/>
            </w:r>
            <w:r>
              <w:rPr>
                <w:webHidden/>
              </w:rPr>
              <w:fldChar w:fldCharType="begin"/>
            </w:r>
            <w:r>
              <w:rPr>
                <w:webHidden/>
              </w:rPr>
              <w:instrText xml:space="preserve"> PAGEREF _Toc198557009 \h </w:instrText>
            </w:r>
            <w:r>
              <w:rPr>
                <w:webHidden/>
              </w:rPr>
            </w:r>
            <w:r>
              <w:rPr>
                <w:webHidden/>
              </w:rPr>
              <w:fldChar w:fldCharType="separate"/>
            </w:r>
            <w:r>
              <w:rPr>
                <w:webHidden/>
              </w:rPr>
              <w:t>1</w:t>
            </w:r>
            <w:r>
              <w:rPr>
                <w:webHidden/>
              </w:rPr>
              <w:fldChar w:fldCharType="end"/>
            </w:r>
          </w:hyperlink>
        </w:p>
        <w:p w14:paraId="5A403A6F" w14:textId="77777777" w:rsidR="004207ED" w:rsidRDefault="004207ED">
          <w:pPr>
            <w:pStyle w:val="TOC2"/>
            <w:tabs>
              <w:tab w:val="left" w:pos="960"/>
              <w:tab w:val="right" w:leader="dot" w:pos="9396"/>
            </w:tabs>
            <w:rPr>
              <w:rFonts w:eastAsiaTheme="minorEastAsia"/>
              <w:kern w:val="2"/>
              <w:sz w:val="24"/>
              <w:szCs w:val="24"/>
            </w:rPr>
          </w:pPr>
          <w:hyperlink w:anchor="_Toc198557010" w:history="1">
            <w:r>
              <w:rPr>
                <w:rStyle w:val="Hyperlink"/>
              </w:rPr>
              <w:t>12.2.</w:t>
            </w:r>
            <w:r>
              <w:rPr>
                <w:rFonts w:eastAsiaTheme="minorEastAsia"/>
                <w:kern w:val="2"/>
                <w:sz w:val="24"/>
                <w:szCs w:val="24"/>
              </w:rPr>
              <w:tab/>
            </w:r>
            <w:r>
              <w:rPr>
                <w:rStyle w:val="Hyperlink"/>
              </w:rPr>
              <w:t>ZORLUKLAR</w:t>
            </w:r>
            <w:r>
              <w:rPr>
                <w:webHidden/>
              </w:rPr>
              <w:tab/>
            </w:r>
            <w:r>
              <w:rPr>
                <w:webHidden/>
              </w:rPr>
              <w:fldChar w:fldCharType="begin"/>
            </w:r>
            <w:r>
              <w:rPr>
                <w:webHidden/>
              </w:rPr>
              <w:instrText xml:space="preserve"> PAGEREF _Toc198557010 \h </w:instrText>
            </w:r>
            <w:r>
              <w:rPr>
                <w:webHidden/>
              </w:rPr>
            </w:r>
            <w:r>
              <w:rPr>
                <w:webHidden/>
              </w:rPr>
              <w:fldChar w:fldCharType="separate"/>
            </w:r>
            <w:r>
              <w:rPr>
                <w:webHidden/>
              </w:rPr>
              <w:t>1</w:t>
            </w:r>
            <w:r>
              <w:rPr>
                <w:webHidden/>
              </w:rPr>
              <w:fldChar w:fldCharType="end"/>
            </w:r>
          </w:hyperlink>
        </w:p>
        <w:p w14:paraId="6D0E920F" w14:textId="77777777" w:rsidR="004207ED" w:rsidRDefault="004207ED">
          <w:pPr>
            <w:pStyle w:val="TOC3"/>
            <w:tabs>
              <w:tab w:val="left" w:pos="1440"/>
              <w:tab w:val="right" w:leader="dot" w:pos="9396"/>
            </w:tabs>
            <w:rPr>
              <w:rFonts w:eastAsiaTheme="minorEastAsia"/>
              <w:kern w:val="2"/>
              <w:sz w:val="24"/>
              <w:szCs w:val="24"/>
            </w:rPr>
          </w:pPr>
          <w:hyperlink w:anchor="_Toc198557011" w:history="1">
            <w:r>
              <w:rPr>
                <w:rStyle w:val="Hyperlink"/>
              </w:rPr>
              <w:t>12.2.1.</w:t>
            </w:r>
            <w:r>
              <w:rPr>
                <w:rFonts w:eastAsiaTheme="minorEastAsia"/>
                <w:kern w:val="2"/>
                <w:sz w:val="24"/>
                <w:szCs w:val="24"/>
              </w:rPr>
              <w:tab/>
            </w:r>
            <w:r>
              <w:rPr>
                <w:rStyle w:val="Hyperlink"/>
              </w:rPr>
              <w:t>Uyum Maliyetleri ve Yatırım Yükü</w:t>
            </w:r>
            <w:r>
              <w:rPr>
                <w:webHidden/>
              </w:rPr>
              <w:tab/>
            </w:r>
            <w:r>
              <w:rPr>
                <w:webHidden/>
              </w:rPr>
              <w:fldChar w:fldCharType="begin"/>
            </w:r>
            <w:r>
              <w:rPr>
                <w:webHidden/>
              </w:rPr>
              <w:instrText xml:space="preserve"> PAGEREF _Toc198557011 \h </w:instrText>
            </w:r>
            <w:r>
              <w:rPr>
                <w:webHidden/>
              </w:rPr>
            </w:r>
            <w:r>
              <w:rPr>
                <w:webHidden/>
              </w:rPr>
              <w:fldChar w:fldCharType="separate"/>
            </w:r>
            <w:r>
              <w:rPr>
                <w:webHidden/>
              </w:rPr>
              <w:t>1</w:t>
            </w:r>
            <w:r>
              <w:rPr>
                <w:webHidden/>
              </w:rPr>
              <w:fldChar w:fldCharType="end"/>
            </w:r>
          </w:hyperlink>
        </w:p>
        <w:p w14:paraId="63062C34" w14:textId="77777777" w:rsidR="004207ED" w:rsidRDefault="004207ED">
          <w:pPr>
            <w:pStyle w:val="TOC3"/>
            <w:tabs>
              <w:tab w:val="left" w:pos="1440"/>
              <w:tab w:val="right" w:leader="dot" w:pos="9396"/>
            </w:tabs>
            <w:rPr>
              <w:rFonts w:eastAsiaTheme="minorEastAsia"/>
              <w:kern w:val="2"/>
              <w:sz w:val="24"/>
              <w:szCs w:val="24"/>
            </w:rPr>
          </w:pPr>
          <w:hyperlink w:anchor="_Toc198557012" w:history="1">
            <w:r>
              <w:rPr>
                <w:rStyle w:val="Hyperlink"/>
              </w:rPr>
              <w:t>12.2.2.</w:t>
            </w:r>
            <w:r>
              <w:rPr>
                <w:rFonts w:eastAsiaTheme="minorEastAsia"/>
                <w:kern w:val="2"/>
                <w:sz w:val="24"/>
                <w:szCs w:val="24"/>
              </w:rPr>
              <w:tab/>
            </w:r>
            <w:r>
              <w:rPr>
                <w:rStyle w:val="Hyperlink"/>
              </w:rPr>
              <w:t>İkincil Mevzuat Belirsizliği</w:t>
            </w:r>
            <w:r>
              <w:rPr>
                <w:webHidden/>
              </w:rPr>
              <w:tab/>
            </w:r>
            <w:r>
              <w:rPr>
                <w:webHidden/>
              </w:rPr>
              <w:fldChar w:fldCharType="begin"/>
            </w:r>
            <w:r>
              <w:rPr>
                <w:webHidden/>
              </w:rPr>
              <w:instrText xml:space="preserve"> PAGEREF _Toc198557012 \h </w:instrText>
            </w:r>
            <w:r>
              <w:rPr>
                <w:webHidden/>
              </w:rPr>
            </w:r>
            <w:r>
              <w:rPr>
                <w:webHidden/>
              </w:rPr>
              <w:fldChar w:fldCharType="separate"/>
            </w:r>
            <w:r>
              <w:rPr>
                <w:webHidden/>
              </w:rPr>
              <w:t>1</w:t>
            </w:r>
            <w:r>
              <w:rPr>
                <w:webHidden/>
              </w:rPr>
              <w:fldChar w:fldCharType="end"/>
            </w:r>
          </w:hyperlink>
        </w:p>
        <w:p w14:paraId="7EDAB050" w14:textId="77777777" w:rsidR="004207ED" w:rsidRDefault="004207ED">
          <w:pPr>
            <w:pStyle w:val="TOC3"/>
            <w:tabs>
              <w:tab w:val="left" w:pos="1440"/>
              <w:tab w:val="right" w:leader="dot" w:pos="9396"/>
            </w:tabs>
            <w:rPr>
              <w:rFonts w:eastAsiaTheme="minorEastAsia"/>
              <w:kern w:val="2"/>
              <w:sz w:val="24"/>
              <w:szCs w:val="24"/>
            </w:rPr>
          </w:pPr>
          <w:hyperlink w:anchor="_Toc198557013" w:history="1">
            <w:r>
              <w:rPr>
                <w:rStyle w:val="Hyperlink"/>
              </w:rPr>
              <w:t>12.2.3.</w:t>
            </w:r>
            <w:r>
              <w:rPr>
                <w:rFonts w:eastAsiaTheme="minorEastAsia"/>
                <w:kern w:val="2"/>
                <w:sz w:val="24"/>
                <w:szCs w:val="24"/>
              </w:rPr>
              <w:tab/>
            </w:r>
            <w:r>
              <w:rPr>
                <w:rStyle w:val="Hyperlink"/>
              </w:rPr>
              <w:t>KVKK ve Kişisel Veri Çakışmaları</w:t>
            </w:r>
            <w:r>
              <w:rPr>
                <w:webHidden/>
              </w:rPr>
              <w:tab/>
            </w:r>
            <w:r>
              <w:rPr>
                <w:webHidden/>
              </w:rPr>
              <w:fldChar w:fldCharType="begin"/>
            </w:r>
            <w:r>
              <w:rPr>
                <w:webHidden/>
              </w:rPr>
              <w:instrText xml:space="preserve"> PAGEREF _Toc198557013 \h </w:instrText>
            </w:r>
            <w:r>
              <w:rPr>
                <w:webHidden/>
              </w:rPr>
            </w:r>
            <w:r>
              <w:rPr>
                <w:webHidden/>
              </w:rPr>
              <w:fldChar w:fldCharType="separate"/>
            </w:r>
            <w:r>
              <w:rPr>
                <w:webHidden/>
              </w:rPr>
              <w:t>1</w:t>
            </w:r>
            <w:r>
              <w:rPr>
                <w:webHidden/>
              </w:rPr>
              <w:fldChar w:fldCharType="end"/>
            </w:r>
          </w:hyperlink>
        </w:p>
        <w:p w14:paraId="26AADCB5" w14:textId="77777777" w:rsidR="004207ED" w:rsidRDefault="004207ED">
          <w:pPr>
            <w:pStyle w:val="TOC3"/>
            <w:tabs>
              <w:tab w:val="left" w:pos="1440"/>
              <w:tab w:val="right" w:leader="dot" w:pos="9396"/>
            </w:tabs>
            <w:rPr>
              <w:rFonts w:eastAsiaTheme="minorEastAsia"/>
              <w:kern w:val="2"/>
              <w:sz w:val="24"/>
              <w:szCs w:val="24"/>
            </w:rPr>
          </w:pPr>
          <w:hyperlink w:anchor="_Toc198557014" w:history="1">
            <w:r>
              <w:rPr>
                <w:rStyle w:val="Hyperlink"/>
              </w:rPr>
              <w:t>12.2.4.</w:t>
            </w:r>
            <w:r>
              <w:rPr>
                <w:rFonts w:eastAsiaTheme="minorEastAsia"/>
                <w:kern w:val="2"/>
                <w:sz w:val="24"/>
                <w:szCs w:val="24"/>
              </w:rPr>
              <w:tab/>
            </w:r>
            <w:r>
              <w:rPr>
                <w:rStyle w:val="Hyperlink"/>
              </w:rPr>
              <w:t>Tedarik Zinciri Kısıtları</w:t>
            </w:r>
            <w:r>
              <w:rPr>
                <w:webHidden/>
              </w:rPr>
              <w:tab/>
            </w:r>
            <w:r>
              <w:rPr>
                <w:webHidden/>
              </w:rPr>
              <w:fldChar w:fldCharType="begin"/>
            </w:r>
            <w:r>
              <w:rPr>
                <w:webHidden/>
              </w:rPr>
              <w:instrText xml:space="preserve"> PAGEREF _Toc198557014 \h </w:instrText>
            </w:r>
            <w:r>
              <w:rPr>
                <w:webHidden/>
              </w:rPr>
            </w:r>
            <w:r>
              <w:rPr>
                <w:webHidden/>
              </w:rPr>
              <w:fldChar w:fldCharType="separate"/>
            </w:r>
            <w:r>
              <w:rPr>
                <w:webHidden/>
              </w:rPr>
              <w:t>1</w:t>
            </w:r>
            <w:r>
              <w:rPr>
                <w:webHidden/>
              </w:rPr>
              <w:fldChar w:fldCharType="end"/>
            </w:r>
          </w:hyperlink>
        </w:p>
        <w:p w14:paraId="03E1D81C" w14:textId="77777777" w:rsidR="004207ED" w:rsidRDefault="004207ED">
          <w:pPr>
            <w:pStyle w:val="TOC3"/>
            <w:tabs>
              <w:tab w:val="left" w:pos="1440"/>
              <w:tab w:val="right" w:leader="dot" w:pos="9396"/>
            </w:tabs>
            <w:rPr>
              <w:rFonts w:eastAsiaTheme="minorEastAsia"/>
              <w:kern w:val="2"/>
              <w:sz w:val="24"/>
              <w:szCs w:val="24"/>
            </w:rPr>
          </w:pPr>
          <w:hyperlink w:anchor="_Toc198557015" w:history="1">
            <w:r>
              <w:rPr>
                <w:rStyle w:val="Hyperlink"/>
              </w:rPr>
              <w:t>12.2.5.</w:t>
            </w:r>
            <w:r>
              <w:rPr>
                <w:rFonts w:eastAsiaTheme="minorEastAsia"/>
                <w:kern w:val="2"/>
                <w:sz w:val="24"/>
                <w:szCs w:val="24"/>
              </w:rPr>
              <w:tab/>
            </w:r>
            <w:r>
              <w:rPr>
                <w:rStyle w:val="Hyperlink"/>
              </w:rPr>
              <w:t>Denetim Riski ve Yaptırım Tehdidi</w:t>
            </w:r>
            <w:r>
              <w:rPr>
                <w:webHidden/>
              </w:rPr>
              <w:tab/>
            </w:r>
            <w:r>
              <w:rPr>
                <w:webHidden/>
              </w:rPr>
              <w:fldChar w:fldCharType="begin"/>
            </w:r>
            <w:r>
              <w:rPr>
                <w:webHidden/>
              </w:rPr>
              <w:instrText xml:space="preserve"> PAGEREF _Toc198557015 \h </w:instrText>
            </w:r>
            <w:r>
              <w:rPr>
                <w:webHidden/>
              </w:rPr>
            </w:r>
            <w:r>
              <w:rPr>
                <w:webHidden/>
              </w:rPr>
              <w:fldChar w:fldCharType="separate"/>
            </w:r>
            <w:r>
              <w:rPr>
                <w:webHidden/>
              </w:rPr>
              <w:t>1</w:t>
            </w:r>
            <w:r>
              <w:rPr>
                <w:webHidden/>
              </w:rPr>
              <w:fldChar w:fldCharType="end"/>
            </w:r>
          </w:hyperlink>
        </w:p>
        <w:p w14:paraId="0A2C612C" w14:textId="77777777" w:rsidR="004207ED" w:rsidRDefault="004207ED">
          <w:pPr>
            <w:pStyle w:val="TOC3"/>
            <w:tabs>
              <w:tab w:val="left" w:pos="1440"/>
              <w:tab w:val="right" w:leader="dot" w:pos="9396"/>
            </w:tabs>
            <w:rPr>
              <w:rFonts w:eastAsiaTheme="minorEastAsia"/>
              <w:kern w:val="2"/>
              <w:sz w:val="24"/>
              <w:szCs w:val="24"/>
            </w:rPr>
          </w:pPr>
          <w:hyperlink w:anchor="_Toc198557016" w:history="1">
            <w:r>
              <w:rPr>
                <w:rStyle w:val="Hyperlink"/>
              </w:rPr>
              <w:t>12.2.6.</w:t>
            </w:r>
            <w:r>
              <w:rPr>
                <w:rFonts w:eastAsiaTheme="minorEastAsia"/>
                <w:kern w:val="2"/>
                <w:sz w:val="24"/>
                <w:szCs w:val="24"/>
              </w:rPr>
              <w:tab/>
            </w:r>
            <w:r>
              <w:rPr>
                <w:rStyle w:val="Hyperlink"/>
              </w:rPr>
              <w:t>Nitelikli İnsan Kaynağı Açığı</w:t>
            </w:r>
            <w:r>
              <w:rPr>
                <w:webHidden/>
              </w:rPr>
              <w:tab/>
            </w:r>
            <w:r>
              <w:rPr>
                <w:webHidden/>
              </w:rPr>
              <w:fldChar w:fldCharType="begin"/>
            </w:r>
            <w:r>
              <w:rPr>
                <w:webHidden/>
              </w:rPr>
              <w:instrText xml:space="preserve"> PAGEREF _Toc198557016 \h </w:instrText>
            </w:r>
            <w:r>
              <w:rPr>
                <w:webHidden/>
              </w:rPr>
            </w:r>
            <w:r>
              <w:rPr>
                <w:webHidden/>
              </w:rPr>
              <w:fldChar w:fldCharType="separate"/>
            </w:r>
            <w:r>
              <w:rPr>
                <w:webHidden/>
              </w:rPr>
              <w:t>1</w:t>
            </w:r>
            <w:r>
              <w:rPr>
                <w:webHidden/>
              </w:rPr>
              <w:fldChar w:fldCharType="end"/>
            </w:r>
          </w:hyperlink>
        </w:p>
        <w:p w14:paraId="639894E5" w14:textId="77777777" w:rsidR="004207ED" w:rsidRDefault="004207ED">
          <w:pPr>
            <w:pStyle w:val="TOC1"/>
            <w:tabs>
              <w:tab w:val="left" w:pos="720"/>
              <w:tab w:val="right" w:leader="dot" w:pos="9396"/>
            </w:tabs>
            <w:rPr>
              <w:rFonts w:eastAsiaTheme="minorEastAsia"/>
              <w:kern w:val="2"/>
              <w:sz w:val="24"/>
              <w:szCs w:val="24"/>
            </w:rPr>
          </w:pPr>
          <w:hyperlink w:anchor="_Toc198557017" w:history="1">
            <w:r>
              <w:rPr>
                <w:rStyle w:val="Hyperlink"/>
              </w:rPr>
              <w:t>13.</w:t>
            </w:r>
            <w:r>
              <w:rPr>
                <w:rFonts w:eastAsiaTheme="minorEastAsia"/>
                <w:kern w:val="2"/>
                <w:sz w:val="24"/>
                <w:szCs w:val="24"/>
              </w:rPr>
              <w:tab/>
            </w:r>
            <w:r>
              <w:rPr>
                <w:rStyle w:val="Hyperlink"/>
              </w:rPr>
              <w:t>SİBER GÜVENLİK BAŞKANLIĞI (CUMHURBAŞKANLIĞI KARARNAMESİ-177)</w:t>
            </w:r>
            <w:r>
              <w:rPr>
                <w:webHidden/>
              </w:rPr>
              <w:tab/>
            </w:r>
            <w:r>
              <w:rPr>
                <w:webHidden/>
              </w:rPr>
              <w:fldChar w:fldCharType="begin"/>
            </w:r>
            <w:r>
              <w:rPr>
                <w:webHidden/>
              </w:rPr>
              <w:instrText xml:space="preserve"> PAGEREF _Toc198557017 \h </w:instrText>
            </w:r>
            <w:r>
              <w:rPr>
                <w:webHidden/>
              </w:rPr>
            </w:r>
            <w:r>
              <w:rPr>
                <w:webHidden/>
              </w:rPr>
              <w:fldChar w:fldCharType="separate"/>
            </w:r>
            <w:r>
              <w:rPr>
                <w:webHidden/>
              </w:rPr>
              <w:t>1</w:t>
            </w:r>
            <w:r>
              <w:rPr>
                <w:webHidden/>
              </w:rPr>
              <w:fldChar w:fldCharType="end"/>
            </w:r>
          </w:hyperlink>
        </w:p>
        <w:p w14:paraId="6F951311" w14:textId="77777777" w:rsidR="004207ED" w:rsidRDefault="004207ED">
          <w:pPr>
            <w:pStyle w:val="TOC2"/>
            <w:tabs>
              <w:tab w:val="left" w:pos="960"/>
              <w:tab w:val="right" w:leader="dot" w:pos="9396"/>
            </w:tabs>
            <w:rPr>
              <w:rFonts w:eastAsiaTheme="minorEastAsia"/>
              <w:kern w:val="2"/>
              <w:sz w:val="24"/>
              <w:szCs w:val="24"/>
            </w:rPr>
          </w:pPr>
          <w:hyperlink w:anchor="_Toc198557018" w:history="1">
            <w:r>
              <w:rPr>
                <w:rStyle w:val="Hyperlink"/>
              </w:rPr>
              <w:t>13.1.</w:t>
            </w:r>
            <w:r>
              <w:rPr>
                <w:rFonts w:eastAsiaTheme="minorEastAsia"/>
                <w:kern w:val="2"/>
                <w:sz w:val="24"/>
                <w:szCs w:val="24"/>
              </w:rPr>
              <w:tab/>
            </w:r>
            <w:r>
              <w:rPr>
                <w:rStyle w:val="Hyperlink"/>
              </w:rPr>
              <w:t>Kuruluş Süreci ve Mevzuat Bağlantısı</w:t>
            </w:r>
            <w:r>
              <w:rPr>
                <w:webHidden/>
              </w:rPr>
              <w:tab/>
            </w:r>
            <w:r>
              <w:rPr>
                <w:webHidden/>
              </w:rPr>
              <w:fldChar w:fldCharType="begin"/>
            </w:r>
            <w:r>
              <w:rPr>
                <w:webHidden/>
              </w:rPr>
              <w:instrText xml:space="preserve"> PAGEREF _Toc198557018 \h </w:instrText>
            </w:r>
            <w:r>
              <w:rPr>
                <w:webHidden/>
              </w:rPr>
            </w:r>
            <w:r>
              <w:rPr>
                <w:webHidden/>
              </w:rPr>
              <w:fldChar w:fldCharType="separate"/>
            </w:r>
            <w:r>
              <w:rPr>
                <w:webHidden/>
              </w:rPr>
              <w:t>1</w:t>
            </w:r>
            <w:r>
              <w:rPr>
                <w:webHidden/>
              </w:rPr>
              <w:fldChar w:fldCharType="end"/>
            </w:r>
          </w:hyperlink>
        </w:p>
        <w:p w14:paraId="4509795F" w14:textId="77777777" w:rsidR="004207ED" w:rsidRDefault="004207ED">
          <w:pPr>
            <w:pStyle w:val="TOC2"/>
            <w:tabs>
              <w:tab w:val="left" w:pos="960"/>
              <w:tab w:val="right" w:leader="dot" w:pos="9396"/>
            </w:tabs>
            <w:rPr>
              <w:rFonts w:eastAsiaTheme="minorEastAsia"/>
              <w:kern w:val="2"/>
              <w:sz w:val="24"/>
              <w:szCs w:val="24"/>
            </w:rPr>
          </w:pPr>
          <w:hyperlink w:anchor="_Toc198557019" w:history="1">
            <w:r>
              <w:rPr>
                <w:rStyle w:val="Hyperlink"/>
              </w:rPr>
              <w:t>13.2.</w:t>
            </w:r>
            <w:r>
              <w:rPr>
                <w:rFonts w:eastAsiaTheme="minorEastAsia"/>
                <w:kern w:val="2"/>
                <w:sz w:val="24"/>
                <w:szCs w:val="24"/>
              </w:rPr>
              <w:tab/>
            </w:r>
            <w:r>
              <w:rPr>
                <w:rStyle w:val="Hyperlink"/>
              </w:rPr>
              <w:t>Siber Güvenlik Başkanlığı’nın Statüsü ve Yapısı</w:t>
            </w:r>
            <w:r>
              <w:rPr>
                <w:webHidden/>
              </w:rPr>
              <w:tab/>
            </w:r>
            <w:r>
              <w:rPr>
                <w:webHidden/>
              </w:rPr>
              <w:fldChar w:fldCharType="begin"/>
            </w:r>
            <w:r>
              <w:rPr>
                <w:webHidden/>
              </w:rPr>
              <w:instrText xml:space="preserve"> PAGEREF _Toc198557019 \h </w:instrText>
            </w:r>
            <w:r>
              <w:rPr>
                <w:webHidden/>
              </w:rPr>
            </w:r>
            <w:r>
              <w:rPr>
                <w:webHidden/>
              </w:rPr>
              <w:fldChar w:fldCharType="separate"/>
            </w:r>
            <w:r>
              <w:rPr>
                <w:webHidden/>
              </w:rPr>
              <w:t>1</w:t>
            </w:r>
            <w:r>
              <w:rPr>
                <w:webHidden/>
              </w:rPr>
              <w:fldChar w:fldCharType="end"/>
            </w:r>
          </w:hyperlink>
        </w:p>
        <w:p w14:paraId="178217A4" w14:textId="77777777" w:rsidR="004207ED" w:rsidRDefault="00000000">
          <w:r>
            <w:rPr>
              <w:b/>
              <w:bCs/>
            </w:rPr>
            <w:fldChar w:fldCharType="end"/>
          </w:r>
        </w:p>
      </w:sdtContent>
    </w:sdt>
    <w:p w14:paraId="74D1B828" w14:textId="77777777" w:rsidR="004207ED" w:rsidRDefault="004207ED">
      <w:pPr>
        <w:sectPr w:rsidR="004207ED">
          <w:headerReference w:type="default" r:id="rId9"/>
          <w:footerReference w:type="default" r:id="rId10"/>
          <w:headerReference w:type="first" r:id="rId11"/>
          <w:footerReference w:type="first" r:id="rId12"/>
          <w:pgSz w:w="11906" w:h="16838"/>
          <w:pgMar w:top="1417" w:right="1417" w:bottom="1417" w:left="1417" w:header="720" w:footer="720" w:gutter="0"/>
          <w:cols w:space="720"/>
          <w:titlePg/>
          <w:docGrid w:linePitch="360"/>
        </w:sectPr>
      </w:pPr>
    </w:p>
    <w:p w14:paraId="2C92BE9C" w14:textId="77777777" w:rsidR="004207ED" w:rsidRDefault="00000000">
      <w:r>
        <w:lastRenderedPageBreak/>
        <w:t>Son yıllarda dijitalleşmenin hız kazanmasıyla birlikte siber tehditlerin hem çeşitliliği hem de etkisi artış göstermektedir. Bu durum, ülkeleri siber güvenliği ulusal güvenlik stratejilerinin ayrılmaz bir parçası haline getirmeye zorlamıştır. Kritik altyapıların korunması, kamu kurumlarının siber saldırılara karşı dirençli hale getirilmesi ve bireylerin dijital ortamda güvenliğinin sağlanması, artık yalnızca teknik değil, aynı zamanda hukuki ve stratejik bir mesele haline gelmiştir.</w:t>
      </w:r>
    </w:p>
    <w:p w14:paraId="14A725B1" w14:textId="77777777" w:rsidR="004207ED" w:rsidRDefault="00000000">
      <w:r>
        <w:t>Bu çerçevede, Türkiye’de de siber olayların muhtemel etkilerini en aza indirmek, kamu ve özel sektör kurumlarının siber tehditlere karşı hazırlıklı olmasını sağlamak ve ulusal düzeyde siber güvenlik stratejileri ile politikaların hukuki altyapısını oluşturmak amacıyla kapsamlı bir yasal düzenleme süreci başlatılmıştır. Bu doğrultuda hazırlanan Siber Güvenlik Kanunu Teklifi, 10 Ocak 2025 tarihinde Türkiye Büyük Millet Meclisi’ne sunulmuş; yapılan değerlendirme ve görüşmelerin ardından 12 Mart 2025 tarihinde kabul edilmiştir. 7545 sayılı Siber Güvenlik Kanunu, 19 Mart 2025 tarihli ve 32846 sayılı Resmi Gazete’de yayımlanarak yürürlüğe girmiştir.</w:t>
      </w:r>
    </w:p>
    <w:p w14:paraId="6B5DA18F" w14:textId="77777777" w:rsidR="004207ED" w:rsidRDefault="00000000">
      <w:pPr>
        <w:pStyle w:val="Heading1"/>
      </w:pPr>
      <w:bookmarkStart w:id="0" w:name="_Toc197890995"/>
      <w:bookmarkStart w:id="1" w:name="_Toc198556975"/>
      <w:r>
        <w:t>KANUNUN AMACI (MADDE 1)</w:t>
      </w:r>
      <w:bookmarkEnd w:id="0"/>
      <w:bookmarkEnd w:id="1"/>
    </w:p>
    <w:p w14:paraId="020BD5E0" w14:textId="77777777" w:rsidR="004207ED" w:rsidRDefault="00000000">
      <w:r>
        <w:t>Siber Güvenlik Kanunu’nun amacı, bu maddede açıkça ifade edildiği gibi, Türkiye'nin siber alandaki bütüncül güvenlik yaklaşımını güçlendirmek ve bu kapsamda gerekli kurumsal, stratejik ve hukuki altyapıyı oluşturmaktır. Kanun’un amacını aşağıdaki başlıklar altında açıklayabiliriz;</w:t>
      </w:r>
    </w:p>
    <w:p w14:paraId="1B18ADA5" w14:textId="77777777" w:rsidR="004207ED" w:rsidRDefault="00000000">
      <w:pPr>
        <w:pStyle w:val="Heading2"/>
      </w:pPr>
      <w:bookmarkStart w:id="2" w:name="_Toc197890996"/>
      <w:bookmarkStart w:id="3" w:name="_Toc198556976"/>
      <w:r>
        <w:t>Siber Uzaydaki Milli Gücün Korunması</w:t>
      </w:r>
      <w:bookmarkEnd w:id="2"/>
      <w:bookmarkEnd w:id="3"/>
    </w:p>
    <w:p w14:paraId="1CCA606C" w14:textId="77777777" w:rsidR="004207ED" w:rsidRDefault="00000000">
      <w:r>
        <w:t xml:space="preserve">Kanun maddesinin açıklamasına geçmeden önce siber uzayda millî güç tanımını gözden geçirmek uygun olacaktır. Günümüzde millî güç kavramı, siber uzaydaki yetkinlikleri de içerecek şekilde yeniden tanımlanmakta, kamu  kurumları, kritik altyapılar, savunma sanayii, özel sektör, akademi ve vatandaşların oluşturduğu geniş bir yapıyı kapsamaktadır. Artık dijital altyapılar ve bilgi sistemleri de devletin egemenlik unsurları arasında yer almaktadır. </w:t>
      </w:r>
    </w:p>
    <w:p w14:paraId="1AE1D2AC" w14:textId="77777777" w:rsidR="004207ED" w:rsidRDefault="00000000">
      <w:r>
        <w:t>Siber uzaydaki millî güç unsurları aşağıdaki şekilde sıralanabilir;</w:t>
      </w:r>
    </w:p>
    <w:p w14:paraId="645BD63E" w14:textId="77777777" w:rsidR="004207ED" w:rsidRDefault="00000000">
      <w:pPr>
        <w:pStyle w:val="Bullet"/>
      </w:pPr>
      <w:r>
        <w:t>Kritik altyapıların (enerji, ulaşım, finans, sağlık, haberleşme, su vb.) siber dayanıklılığı.</w:t>
      </w:r>
    </w:p>
    <w:p w14:paraId="3236E67C" w14:textId="77777777" w:rsidR="004207ED" w:rsidRDefault="00000000">
      <w:pPr>
        <w:pStyle w:val="Bullet"/>
      </w:pPr>
      <w:r>
        <w:t>Devletin dijital egemenliği (veri güvenliği, bulut hizmetlerinin kontrolü) .</w:t>
      </w:r>
    </w:p>
    <w:p w14:paraId="7F34F457" w14:textId="77777777" w:rsidR="004207ED" w:rsidRDefault="00000000">
      <w:pPr>
        <w:pStyle w:val="Bullet"/>
      </w:pPr>
      <w:r>
        <w:t>Yerli ve millî (yazılım/donanım) teknoloji geliştirme kapasitesi .</w:t>
      </w:r>
    </w:p>
    <w:p w14:paraId="2D8EB0E2" w14:textId="77777777" w:rsidR="004207ED" w:rsidRDefault="00000000">
      <w:pPr>
        <w:pStyle w:val="Bullet"/>
      </w:pPr>
      <w:r>
        <w:t>Siber ordu ve savunma sistemlerinin varlığı.</w:t>
      </w:r>
    </w:p>
    <w:p w14:paraId="56248A91" w14:textId="77777777" w:rsidR="004207ED" w:rsidRDefault="00000000">
      <w:pPr>
        <w:pStyle w:val="Bullet"/>
      </w:pPr>
      <w:r>
        <w:t>Yetkin insan kaynağı, toplumun dijital okuryazarlığı ve farkındalık düzeyi.</w:t>
      </w:r>
    </w:p>
    <w:p w14:paraId="52E4CCEB" w14:textId="77777777" w:rsidR="004207ED" w:rsidRDefault="00000000">
      <w:pPr>
        <w:pStyle w:val="Bullet"/>
      </w:pPr>
      <w:r>
        <w:t>Siber tehdit istihbarat altyapısı ve siber diplomasi.</w:t>
      </w:r>
    </w:p>
    <w:p w14:paraId="2E9630F5" w14:textId="77777777" w:rsidR="004207ED" w:rsidRDefault="00000000">
      <w:r>
        <w:t xml:space="preserve">Kanun maddesinin açıklamasına geçersek; </w:t>
      </w:r>
    </w:p>
    <w:p w14:paraId="52E0FBD2" w14:textId="77777777" w:rsidR="004207ED" w:rsidRDefault="00000000">
      <w:r>
        <w:rPr>
          <w:b/>
          <w:bCs/>
          <w:i/>
          <w:iCs/>
        </w:rPr>
        <w:t>“…siber uzaydaki millî gücünü meydana getiren bütün unsurlarına karşı içten ve dıştan yöneltilen mevcut ve muhtemel tehditlerin tespit ve bertaraf edilmesi…”</w:t>
      </w:r>
      <w:r>
        <w:t xml:space="preserve"> ifadesiyle Kanun</w:t>
      </w:r>
    </w:p>
    <w:p w14:paraId="1C2998CF" w14:textId="77777777" w:rsidR="004207ED" w:rsidRDefault="00000000">
      <w:r>
        <w:t xml:space="preserve">Türkiye'nin dijital varlıkları, altyapıları ve bilgi sistemlerinin, yalnızca dış tehditlere karşı değil, iç kaynaklı </w:t>
      </w:r>
      <w:r>
        <w:rPr>
          <w:b/>
          <w:bCs/>
        </w:rPr>
        <w:t>risklere karşı da korunmasını</w:t>
      </w:r>
      <w:r>
        <w:t xml:space="preserve">, bu tehditlerin zamanında tespiti ve etkisiz hale getirilmesini sağlayacak bir </w:t>
      </w:r>
      <w:r>
        <w:rPr>
          <w:b/>
          <w:bCs/>
        </w:rPr>
        <w:t>erken uyarı ve müdahale sistemi kurulmasını</w:t>
      </w:r>
      <w:r>
        <w:t xml:space="preserve"> hedeflemektedir.</w:t>
      </w:r>
    </w:p>
    <w:p w14:paraId="02D7F7CC" w14:textId="77777777" w:rsidR="004207ED" w:rsidRDefault="00000000">
      <w:pPr>
        <w:pStyle w:val="Heading2"/>
      </w:pPr>
      <w:bookmarkStart w:id="4" w:name="_Toc197890997"/>
      <w:bookmarkStart w:id="5" w:name="_Toc198556977"/>
      <w:r>
        <w:t>Siber Olayların Etkilerini Azaltmaya Yönelik Esasların Belirlenmesi</w:t>
      </w:r>
      <w:bookmarkEnd w:id="4"/>
      <w:bookmarkEnd w:id="5"/>
    </w:p>
    <w:p w14:paraId="324A023C" w14:textId="77777777" w:rsidR="004207ED" w:rsidRDefault="00000000">
      <w:pPr>
        <w:rPr>
          <w:b/>
          <w:bCs/>
          <w:i/>
          <w:iCs/>
        </w:rPr>
      </w:pPr>
      <w:r>
        <w:rPr>
          <w:b/>
          <w:bCs/>
          <w:i/>
          <w:iCs/>
        </w:rPr>
        <w:t>“…siber olayların muhtemel etkilerini azaltmaya yönelik esasların belirlenmesi…”</w:t>
      </w:r>
    </w:p>
    <w:p w14:paraId="5C448952" w14:textId="77777777" w:rsidR="004207ED" w:rsidRDefault="00000000">
      <w:r>
        <w:t>Bu kısım;</w:t>
      </w:r>
    </w:p>
    <w:p w14:paraId="4C54F13F" w14:textId="77777777" w:rsidR="004207ED" w:rsidRDefault="00000000">
      <w:pPr>
        <w:pStyle w:val="Bullet"/>
      </w:pPr>
      <w:r>
        <w:lastRenderedPageBreak/>
        <w:t>Olası bir siber saldırı durumunda hasarın en aza indirilmesini sağlayacak önleyici ve düzeltici tedbirlerin sistematik olarak tanımlanmasını ifade eder.</w:t>
      </w:r>
    </w:p>
    <w:p w14:paraId="71B7CB49" w14:textId="77777777" w:rsidR="004207ED" w:rsidRDefault="00000000">
      <w:pPr>
        <w:pStyle w:val="Bullet"/>
      </w:pPr>
      <w:r>
        <w:t>Kriz anlarında kurumların nasıl hareket edeceği, olaylara müdahale planları, yedekleme stratejileri ve iş sürekliliği politikaları gibi konular bu kapsamda ele alınmalıdır.</w:t>
      </w:r>
    </w:p>
    <w:p w14:paraId="32FEA1B6" w14:textId="77777777" w:rsidR="004207ED" w:rsidRDefault="00000000">
      <w:pPr>
        <w:pStyle w:val="Heading2"/>
      </w:pPr>
      <w:bookmarkStart w:id="6" w:name="_Toc197890998"/>
      <w:bookmarkStart w:id="7" w:name="_Toc198556978"/>
      <w:r>
        <w:t>Tüm Kesimlerin Siber Saldırılara Karşı Korunması</w:t>
      </w:r>
      <w:bookmarkEnd w:id="6"/>
      <w:bookmarkEnd w:id="7"/>
    </w:p>
    <w:p w14:paraId="6D8E960F" w14:textId="77777777" w:rsidR="004207ED" w:rsidRDefault="00000000">
      <w:pPr>
        <w:rPr>
          <w:b/>
          <w:bCs/>
          <w:i/>
          <w:iCs/>
        </w:rPr>
      </w:pPr>
      <w:r>
        <w:rPr>
          <w:b/>
          <w:bCs/>
          <w:i/>
          <w:iCs/>
        </w:rPr>
        <w:t>“…kamu kurum ve kuruluşları, kamu kurumu niteliğinde meslek kuruluşları, gerçek ve tüzel kişiler ile tüzel kişiliği bulunmayan kuruluşların siber saldırılara karşı korunmasına yönelik gerekli düzenlemelerin yapılması…”</w:t>
      </w:r>
    </w:p>
    <w:p w14:paraId="121FC094" w14:textId="77777777" w:rsidR="004207ED" w:rsidRDefault="00000000">
      <w:pPr>
        <w:pStyle w:val="Bullet"/>
      </w:pPr>
      <w:r>
        <w:t>Kanun, yalnızca devlet kurumlarını değil, özel sektör, sivil toplum ve bireyleri de kapsayan geniş bir koruma çerçevesi oluşturmayı amaçlamaktadır.</w:t>
      </w:r>
    </w:p>
    <w:p w14:paraId="672B9C72" w14:textId="77777777" w:rsidR="004207ED" w:rsidRDefault="00000000">
      <w:pPr>
        <w:pStyle w:val="Bullet"/>
      </w:pPr>
      <w:r>
        <w:t>Böylece hem kritik altyapılar hem de bireysel düzeyde dijital güvenlik güçlendirilmiş olacaktır. Bu kapsayıcılık, tüm dijital ekosistemin güvenliğini artırmayı hedeflemektedir.</w:t>
      </w:r>
    </w:p>
    <w:p w14:paraId="0F1DA17A" w14:textId="77777777" w:rsidR="004207ED" w:rsidRDefault="00000000">
      <w:pPr>
        <w:pStyle w:val="Heading2"/>
      </w:pPr>
      <w:bookmarkStart w:id="8" w:name="_Toc197890999"/>
      <w:bookmarkStart w:id="9" w:name="_Toc198556979"/>
      <w:r>
        <w:t>Strateji ve Politikaların Belirlenmesi</w:t>
      </w:r>
      <w:bookmarkEnd w:id="8"/>
      <w:bookmarkEnd w:id="9"/>
    </w:p>
    <w:p w14:paraId="7EC8738C" w14:textId="77777777" w:rsidR="004207ED" w:rsidRDefault="00000000">
      <w:pPr>
        <w:rPr>
          <w:b/>
          <w:bCs/>
          <w:i/>
          <w:iCs/>
        </w:rPr>
      </w:pPr>
      <w:r>
        <w:rPr>
          <w:b/>
          <w:bCs/>
          <w:i/>
          <w:iCs/>
        </w:rPr>
        <w:t>“…ülkenin siber güvenliğini güçlendirmek için strateji ve politikaların belirlenmesi…”</w:t>
      </w:r>
    </w:p>
    <w:p w14:paraId="6B05C4D5" w14:textId="77777777" w:rsidR="004207ED" w:rsidRDefault="00000000">
      <w:r>
        <w:t xml:space="preserve">Kanun, siber güvenliğe dair sadece teknik önlemleri değil, uzun vadeli ve kapsamlı stratejik planlamayı da ortaya koymayı hedeflemektedir. </w:t>
      </w:r>
    </w:p>
    <w:p w14:paraId="575D0CB3" w14:textId="77777777" w:rsidR="004207ED" w:rsidRDefault="00000000">
      <w:pPr>
        <w:pStyle w:val="Heading2"/>
      </w:pPr>
      <w:bookmarkStart w:id="10" w:name="_Toc197891000"/>
      <w:bookmarkStart w:id="11" w:name="_Toc198556980"/>
      <w:r>
        <w:t>Siber Güvenlik Kurulunun Kurulması</w:t>
      </w:r>
      <w:bookmarkEnd w:id="10"/>
      <w:bookmarkEnd w:id="11"/>
    </w:p>
    <w:p w14:paraId="27BD0978" w14:textId="77777777" w:rsidR="004207ED" w:rsidRDefault="00000000">
      <w:pPr>
        <w:rPr>
          <w:b/>
          <w:bCs/>
          <w:i/>
          <w:iCs/>
        </w:rPr>
      </w:pPr>
      <w:r>
        <w:rPr>
          <w:b/>
          <w:bCs/>
          <w:i/>
          <w:iCs/>
        </w:rPr>
        <w:t>“…Siber Güvenlik Kurulunun kurulmasına ilişkin esasları düzenlemektir.”</w:t>
      </w:r>
    </w:p>
    <w:p w14:paraId="1A20FD4A" w14:textId="77777777" w:rsidR="004207ED" w:rsidRDefault="00000000">
      <w:pPr>
        <w:pStyle w:val="Bullet"/>
      </w:pPr>
      <w:r>
        <w:t xml:space="preserve">Kanun ile kurulacak </w:t>
      </w:r>
      <w:r>
        <w:rPr>
          <w:b/>
          <w:bCs/>
        </w:rPr>
        <w:t>Siber Güvenlik Kurulu</w:t>
      </w:r>
      <w:r>
        <w:t>; politika oluşturma, koordinasyon sağlama ve denetim işleviyle merkezi bir otorite görevi üstlenecektir.</w:t>
      </w:r>
    </w:p>
    <w:p w14:paraId="7EA1B84D" w14:textId="77777777" w:rsidR="004207ED" w:rsidRDefault="00000000">
      <w:pPr>
        <w:pStyle w:val="Bullet"/>
      </w:pPr>
      <w:r>
        <w:t>Bu kurul, siber güvenlik alanında karar alma süreçlerini hızlandırmak, kurumlar arası iş birliğini artırmak ve ulusal kapasiteyi yönlendirmekle sorumludur.</w:t>
      </w:r>
    </w:p>
    <w:p w14:paraId="1D285990" w14:textId="77777777" w:rsidR="004207ED" w:rsidRDefault="00000000">
      <w:pPr>
        <w:pStyle w:val="Bullet"/>
      </w:pPr>
      <w:r>
        <w:t>Kurul aynı zamanda stratejik rehberlik sağlama ve kritik durumlara müdahale etme açısından da önemlidir.</w:t>
      </w:r>
    </w:p>
    <w:p w14:paraId="300098E5" w14:textId="77777777" w:rsidR="004207ED" w:rsidRDefault="00000000">
      <w:pPr>
        <w:pStyle w:val="Heading1"/>
      </w:pPr>
      <w:bookmarkStart w:id="12" w:name="_Toc197891001"/>
      <w:bookmarkStart w:id="13" w:name="_Toc198556981"/>
      <w:r>
        <w:t>KANUN KİMLERİ KAPSAMAKTADIR (MADDE 2)</w:t>
      </w:r>
      <w:bookmarkEnd w:id="12"/>
      <w:bookmarkEnd w:id="13"/>
    </w:p>
    <w:p w14:paraId="21F649C8" w14:textId="77777777" w:rsidR="004207ED" w:rsidRDefault="00000000">
      <w:r>
        <w:t>Siber Güvenlik Kanunu, Türkiye Cumhuriyeti’nin siber uzaydaki millî gücünü oluşturan tüm unsurların siber tehditlere karşı korunmasını hedeflemekte ve bu doğrultuda çok geniş bir kapsamı içermektedir. Kanunun 2. maddesine göre, aşağıdaki kişi ve kuruluşlar doğrudan bu Kanun’un hükümlerine tabidir;</w:t>
      </w:r>
    </w:p>
    <w:p w14:paraId="0079472A" w14:textId="77777777" w:rsidR="004207ED" w:rsidRDefault="00000000">
      <w:pPr>
        <w:pStyle w:val="Bullet"/>
      </w:pPr>
      <w:r>
        <w:rPr>
          <w:b/>
          <w:bCs/>
        </w:rPr>
        <w:t>Kamu Kurum ve Kuruluşları:</w:t>
      </w:r>
      <w:r>
        <w:t xml:space="preserve"> Kanun, bakanlıklar, düzenleyici-denetleyici otoriteler, valilikler, belediyeler ve diğer tüm kamu kurumlarını kapsamaktadır. Bu kurumlar, dijital hizmetlerini siber saldırılara karşı güvenli hale getirmekle ve Kanun^da verilen diğer görevleri icra etmekle yükümlüdür.</w:t>
      </w:r>
    </w:p>
    <w:p w14:paraId="47ABD100" w14:textId="77777777" w:rsidR="004207ED" w:rsidRDefault="00000000">
      <w:pPr>
        <w:pStyle w:val="Bullet"/>
      </w:pPr>
      <w:r>
        <w:rPr>
          <w:b/>
          <w:bCs/>
        </w:rPr>
        <w:t>Kamu Kurumu Niteliğindeki Meslek Kuruluşları:</w:t>
      </w:r>
      <w:r>
        <w:t xml:space="preserve"> Barolar, meslek odaları gibi kamu kurumu niteliğindeki meslek kuruluşları, meslek mensuplarının oluşturduğu, tüzel kişilikleri olan, bir kısım kamu görevlerini yerine getiren, üyeleri üzerinde kamu hukukundan doğan bazı yetkilere sahip olan kişi topluluklar olarak belirtilmektedir. Yapısı ve görevleri yönünden diğer kamu kurumlarından ayrılırlar, kamu tüzel kişileridir ve bu Kanun kapsamında yer almaktadır. </w:t>
      </w:r>
    </w:p>
    <w:p w14:paraId="257DD66D" w14:textId="77777777" w:rsidR="004207ED" w:rsidRDefault="00000000">
      <w:pPr>
        <w:pStyle w:val="Bullet"/>
      </w:pPr>
      <w:r>
        <w:rPr>
          <w:b/>
          <w:bCs/>
        </w:rPr>
        <w:lastRenderedPageBreak/>
        <w:t xml:space="preserve">Gerçek Kişiler: </w:t>
      </w:r>
      <w:r>
        <w:t>Dijital ortamda hizmet sunan, veri toplayan veya işleyen bireyler, yani gerçek kişiler de kanunun kapsamı içindedir. Bu kişiler de faaliyetleri sırasında ortaya çıkan siber riskleri bildirmekle ve gerekli güvenlik önlemlerini almakla yükümlüdür.</w:t>
      </w:r>
    </w:p>
    <w:p w14:paraId="6797E857" w14:textId="77777777" w:rsidR="004207ED" w:rsidRDefault="00000000">
      <w:pPr>
        <w:pStyle w:val="Bullet"/>
      </w:pPr>
      <w:r>
        <w:rPr>
          <w:b/>
          <w:bCs/>
        </w:rPr>
        <w:t xml:space="preserve">Tüzel Kişiler (Özel Şirketler, STK’lar, Vakıflar): </w:t>
      </w:r>
      <w:r>
        <w:t xml:space="preserve">Özel sektör işletmeleri, şirketler, teknoloji firmaları, bankalar ve vakıflar gibi tüzel kişiler de Kanun kapsamındadır. </w:t>
      </w:r>
    </w:p>
    <w:p w14:paraId="49B93C27" w14:textId="77777777" w:rsidR="004207ED" w:rsidRDefault="00000000">
      <w:pPr>
        <w:pStyle w:val="Bullet"/>
      </w:pPr>
      <w:r>
        <w:rPr>
          <w:b/>
          <w:bCs/>
        </w:rPr>
        <w:t xml:space="preserve">Tüzel Kişiliği Bulunmayan Kuruluşlar: </w:t>
      </w:r>
      <w:r>
        <w:t>Çeşitli platformlar ve gönüllü topluluklar gibi tüzel kişiliği olmayan ama dijital ortamda faaliyet gösteren yapılar da bu Kanun kapsamındadır. Bu kuruluşların da veri güvenliği sağlamaları ve siber güvenlik yükümlülüklerine uymaları beklenmektedir.</w:t>
      </w:r>
    </w:p>
    <w:p w14:paraId="6245893F" w14:textId="77777777" w:rsidR="004207ED" w:rsidRDefault="00000000">
      <w:pPr>
        <w:pStyle w:val="Bullet"/>
      </w:pPr>
      <w:r>
        <w:rPr>
          <w:b/>
          <w:bCs/>
        </w:rPr>
        <w:t xml:space="preserve">Kapsam Dışı Tutulan Kurumlar : </w:t>
      </w:r>
      <w:r>
        <w:t>Polis, jandarma, sahil güvenlik, MİT ve Türk Silahlı Kuvvetlerinin özel mevzuat çerçevesinde yürüttüğü faaliyetler kanun kapsamının dışındadır. Bu kurumlar kendi alanlarına özgü yasal düzenlemelere tabidir.</w:t>
      </w:r>
    </w:p>
    <w:p w14:paraId="20AF1100" w14:textId="77777777" w:rsidR="004207ED" w:rsidRDefault="00000000">
      <w:pPr>
        <w:pStyle w:val="Heading2"/>
      </w:pPr>
      <w:bookmarkStart w:id="14" w:name="_Toc197891002"/>
      <w:bookmarkStart w:id="15" w:name="_Toc198556982"/>
      <w:r>
        <w:t>Siber Uzay</w:t>
      </w:r>
      <w:bookmarkEnd w:id="14"/>
      <w:bookmarkEnd w:id="15"/>
    </w:p>
    <w:p w14:paraId="772C020A" w14:textId="77777777" w:rsidR="004207ED" w:rsidRDefault="00000000">
      <w:r>
        <w:t xml:space="preserve">Kanun’nun 3. maddesinin (i) bendi uyarınca, </w:t>
      </w:r>
      <w:r>
        <w:rPr>
          <w:b/>
          <w:bCs/>
          <w:i/>
          <w:iCs/>
        </w:rPr>
        <w:t>“siber uzay</w:t>
      </w:r>
      <w:r>
        <w:rPr>
          <w:i/>
          <w:iCs/>
        </w:rPr>
        <w:t>”</w:t>
      </w:r>
      <w:r>
        <w:t xml:space="preserve"> kavramı aşağıdaki şekilde tanımlanmıştır:</w:t>
      </w:r>
    </w:p>
    <w:p w14:paraId="6E57400D" w14:textId="77777777" w:rsidR="004207ED" w:rsidRDefault="00000000">
      <w:pPr>
        <w:rPr>
          <w:b/>
          <w:bCs/>
        </w:rPr>
      </w:pPr>
      <w:r>
        <w:rPr>
          <w:b/>
          <w:bCs/>
        </w:rPr>
        <w:t>“Siber uzay: Doğrudan ya da dolaylı olarak internete, elektronik haberleşme veya bilgisayar ağlarına bağlı olan tüm bilişim sistemlerini ve bunları birbirine bağlayan ağlardan oluşan ortamı ifade eder.”</w:t>
      </w:r>
    </w:p>
    <w:p w14:paraId="24412DD5" w14:textId="77777777" w:rsidR="004207ED" w:rsidRDefault="00000000">
      <w:r>
        <w:t xml:space="preserve">Bu tanıma göre </w:t>
      </w:r>
      <w:r>
        <w:rPr>
          <w:b/>
          <w:bCs/>
        </w:rPr>
        <w:t xml:space="preserve">siber uzay, </w:t>
      </w:r>
      <w:r>
        <w:t>yalnızca internete doğrudan bağlı sistemlerle sınırlı değildir; dolaylı olarak bağlantılı olan sistemler ve bu sistemleri birbirine bağlayan tüm dijital ağlar da bu kavrama dahildir. Dolayısıyla, hem kullanıcı cihazları hem de arka plandaki iletişim altyapısı (örneğin veri merkezleri, sunucular, yönlendiriciler ve ağ geçitleri) siber uzayın birer parçası sayılmaktadır.</w:t>
      </w:r>
    </w:p>
    <w:p w14:paraId="738808A3" w14:textId="77777777" w:rsidR="004207ED" w:rsidRDefault="00000000">
      <w:r>
        <w:t>Bu tanım, siber saldırıların ve tehditlerin ne denli geniş bir hedef alanına yöneldiğini ortaya koymakta ve Kanun’un teknik olarak hangi alanlarda koruma sağladığını net biçimde belirlemektedir. Siber uzayın bu şekilde kapsamlı tanımlanması, bireylerden kamu kurumlarına, sivil toplum kuruluşlarından özel sektör aktörlerine kadar tüm yapıların ortak bir güvenlik kültürü ve koordinasyon içinde ele alınmasını sağlamaktadır. Bu yönüyle Kanun’un siber güvenlik ekosisteminin tamamında etkili ve kapsayıcı bir düzenleme alanı oluşturmaktadır.</w:t>
      </w:r>
    </w:p>
    <w:p w14:paraId="44C04143" w14:textId="77777777" w:rsidR="004207ED" w:rsidRDefault="00000000">
      <w:pPr>
        <w:pStyle w:val="Heading1"/>
      </w:pPr>
      <w:bookmarkStart w:id="16" w:name="_Toc197891003"/>
      <w:bookmarkStart w:id="17" w:name="_Toc198556983"/>
      <w:r>
        <w:t>TEMEL İLKELER (MADDE 4)</w:t>
      </w:r>
      <w:bookmarkEnd w:id="16"/>
      <w:bookmarkEnd w:id="17"/>
    </w:p>
    <w:p w14:paraId="1E947E7C" w14:textId="77777777" w:rsidR="004207ED" w:rsidRDefault="00000000">
      <w:r>
        <w:t>Kanun’un 4. Maddesinde belirtilen temel ilkeler dikkate alındığında;</w:t>
      </w:r>
    </w:p>
    <w:p w14:paraId="41C5180A" w14:textId="77777777" w:rsidR="004207ED" w:rsidRDefault="00000000">
      <w:r>
        <w:t>Siber güvenlik, yalnızca teknik bir mesele değil, kamu ve özel tüm kurumların, yerli teknolojilerle, sürekli ve hesap verebilir bir şekilde sorumluluk almasını gerektiren bir millî güvenlik önceliğidir.</w:t>
      </w:r>
    </w:p>
    <w:p w14:paraId="41380BED" w14:textId="77777777" w:rsidR="004207ED" w:rsidRDefault="00000000">
      <w:r>
        <w:t>Bu bağlamda, bireyler, kurum ve kuruluşların;</w:t>
      </w:r>
    </w:p>
    <w:p w14:paraId="1E2E6A34" w14:textId="77777777" w:rsidR="004207ED" w:rsidRDefault="00000000">
      <w:pPr>
        <w:pStyle w:val="Bullet"/>
      </w:pPr>
      <w:r>
        <w:t>Kritik altyapı ve sistemlerini güvence altına alması,</w:t>
      </w:r>
    </w:p>
    <w:p w14:paraId="75ACFDF7" w14:textId="77777777" w:rsidR="004207ED" w:rsidRDefault="00000000">
      <w:pPr>
        <w:pStyle w:val="Bullet"/>
      </w:pPr>
      <w:r>
        <w:t>Yerli ve millî güvenlik ürünlerini tercih etmesi,</w:t>
      </w:r>
    </w:p>
    <w:p w14:paraId="0897EBF6" w14:textId="77777777" w:rsidR="004207ED" w:rsidRDefault="00000000">
      <w:pPr>
        <w:pStyle w:val="Bullet"/>
      </w:pPr>
      <w:r>
        <w:t>Siber olaylara karşı önleyici ve müdahale edici yetkinlikler kazanması,</w:t>
      </w:r>
    </w:p>
    <w:p w14:paraId="47440054" w14:textId="77777777" w:rsidR="004207ED" w:rsidRDefault="00000000">
      <w:pPr>
        <w:pStyle w:val="Bullet"/>
      </w:pPr>
      <w:r>
        <w:t xml:space="preserve">Kurumsal farkındalığı artırması ve insan kaynağını bu alanda geliştirmesi ve </w:t>
      </w:r>
    </w:p>
    <w:p w14:paraId="16CD66B1" w14:textId="77777777" w:rsidR="004207ED" w:rsidRDefault="00000000">
      <w:pPr>
        <w:pStyle w:val="Bullet"/>
      </w:pPr>
      <w:r>
        <w:t>Tüm bu faaliyetleri hukuk devleti ilkeleri çerçevesinde yürütmesi yasal bir yükümlülük hâline gelmiştir.</w:t>
      </w:r>
    </w:p>
    <w:p w14:paraId="60E95569" w14:textId="77777777" w:rsidR="004207ED" w:rsidRDefault="00000000">
      <w:r>
        <w:t>Kısaca siber güvenlik, artık bilgi işlem biriminin değil, tüm kurumun ortak, stratejik ve yasal  sorumluluğudur.</w:t>
      </w:r>
    </w:p>
    <w:p w14:paraId="727E976D" w14:textId="77777777" w:rsidR="004207ED" w:rsidRDefault="00000000">
      <w:pPr>
        <w:pStyle w:val="Heading1"/>
      </w:pPr>
      <w:bookmarkStart w:id="18" w:name="_Toc197891004"/>
      <w:bookmarkStart w:id="19" w:name="_Toc198556984"/>
      <w:r>
        <w:lastRenderedPageBreak/>
        <w:t>SİBER GÜVENLİK BAŞKANLIĞI'NIN KURULMASI VE GÖREVLERİ (MADDE 5)</w:t>
      </w:r>
      <w:bookmarkEnd w:id="18"/>
      <w:bookmarkEnd w:id="19"/>
    </w:p>
    <w:p w14:paraId="7D841B38" w14:textId="77777777" w:rsidR="004207ED" w:rsidRDefault="00000000">
      <w:r>
        <w:t xml:space="preserve">Kanun, 8 Ocak 2025 tarihli ve 32776 sayılı Resmî Gazete’de yayımlanarak yürürlüğe giren 177 numaralı Cumhurbaşkanı Kararnamesi ile kurulan </w:t>
      </w:r>
      <w:r>
        <w:rPr>
          <w:b/>
          <w:bCs/>
        </w:rPr>
        <w:t>Siber Güvenlik Başkanlığı</w:t>
      </w:r>
      <w:r>
        <w:t>’nın görev, yetki ve sorumluluklarını yasal zemine oturtmaktadır. Bu kapsamda Başkanlık, ulusal siber güvenlik politikalarının belirlenmesi, koordinasyonu ve uygulanmasından sorumlu merkezi otorite olarak yapılandırılmıştır. Görevlere detaylı olarak bakacak olursak;</w:t>
      </w:r>
    </w:p>
    <w:p w14:paraId="50151F77" w14:textId="77777777" w:rsidR="004207ED" w:rsidRDefault="00000000">
      <w:pPr>
        <w:rPr>
          <w:rStyle w:val="Strong"/>
        </w:rPr>
      </w:pPr>
      <w:r>
        <w:rPr>
          <w:rStyle w:val="Strong"/>
        </w:rPr>
        <w:t>“a) İlgili mevzuatta yer alan görevleri yapmak”</w:t>
      </w:r>
    </w:p>
    <w:p w14:paraId="5564F644" w14:textId="77777777" w:rsidR="004207ED" w:rsidRDefault="00000000">
      <w:r>
        <w:t>Bu madde, Başkanlığın görev tanımını sadece bu Kanun’la sınırlı tutmayıp, diğer tüm ilgili yasal ve idari düzenlemelerle tanımlanmış yetki ve sorumlulukları da kapsadığı anlamına gelir. Yani Başkanlık, sadece Siber Güvenlik Kanunu’na değil,</w:t>
      </w:r>
    </w:p>
    <w:p w14:paraId="1D4866F9" w14:textId="77777777" w:rsidR="004207ED" w:rsidRDefault="00000000">
      <w:pPr>
        <w:pStyle w:val="Bullet"/>
      </w:pPr>
      <w:r>
        <w:t>Cumhurbaşkanı Kararnamesi (177 sayılı),</w:t>
      </w:r>
    </w:p>
    <w:p w14:paraId="7DA310E1" w14:textId="77777777" w:rsidR="004207ED" w:rsidRDefault="00000000">
      <w:pPr>
        <w:pStyle w:val="Bullet"/>
      </w:pPr>
      <w:r>
        <w:t>İkincil düzenlemeler (yönetmelik, tebliğ, genelge),</w:t>
      </w:r>
    </w:p>
    <w:p w14:paraId="73CB914E" w14:textId="77777777" w:rsidR="004207ED" w:rsidRDefault="00000000">
      <w:pPr>
        <w:pStyle w:val="Bullet"/>
      </w:pPr>
      <w:r>
        <w:t>Elektronik haberleşme, kişisel verilerin korunması, kamu bilgi sistemleri gibi siber güvenlikle doğrudan bağlantılı mevzuatlara göre de görev üstlenebilir.</w:t>
      </w:r>
    </w:p>
    <w:p w14:paraId="63924A0E" w14:textId="77777777" w:rsidR="004207ED" w:rsidRDefault="00000000">
      <w:r>
        <w:t xml:space="preserve">Bu görev maddesi ile Başkanlığa sadece kanunda yazan listeyle sınırlı kalmaksızın kurumlar arası koordinasyon kararlarına uyma, yeni yayımlanacak strateji belgeleri veya cumhurbaşkanı direktiflerine göre yeni sorumluluk üstlenme ve mevzuat değişiklikleri doğrultusunda </w:t>
      </w:r>
      <w:r>
        <w:rPr>
          <w:b/>
          <w:bCs/>
        </w:rPr>
        <w:t>esnek görev alabilme</w:t>
      </w:r>
      <w:r>
        <w:t xml:space="preserve"> kabiliyeti de sağlanmaktadır.</w:t>
      </w:r>
    </w:p>
    <w:p w14:paraId="7E2FEA80" w14:textId="77777777" w:rsidR="004207ED" w:rsidRDefault="00000000">
      <w:pPr>
        <w:rPr>
          <w:rStyle w:val="Strong"/>
        </w:rPr>
      </w:pPr>
      <w:r>
        <w:rPr>
          <w:rStyle w:val="Strong"/>
        </w:rPr>
        <w:t>“b) Kritik altyapılar ve bilişim sistemlerinin siber dayanıklılığının artırılmasına, siber saldırılara karşı korunmasına, gerçekleştirilen siber saldırıların tespitine, muhtemel saldırıların önlenmesine ve etkilerinin azaltılmasına veya ortadan kaldırılmasına yönelik faaliyet yürütmek; bu kapsamda zafiyet ve sızma testleri ile varlıklara yönelik risk analizleri yapmak veya yaptırmak, siber tehditlerle mücadele etmek, siber tehdit istihbaratı elde etmek, oluşturmak ve paylaşmak, zararlı yazılım inceleme faaliyetleri yürütmek.”</w:t>
      </w:r>
    </w:p>
    <w:p w14:paraId="0F443487" w14:textId="77777777" w:rsidR="004207ED" w:rsidRDefault="00000000">
      <w:r>
        <w:t xml:space="preserve">Bu görev maddesi, Başkanlığın siber güvenlik ekosistemindeki </w:t>
      </w:r>
      <w:r>
        <w:rPr>
          <w:b/>
          <w:bCs/>
        </w:rPr>
        <w:t>teknik operasyonel kapasitesini ve sorumluluk alanlarını</w:t>
      </w:r>
      <w:r>
        <w:t xml:space="preserve"> tanımlamaktadır. </w:t>
      </w:r>
    </w:p>
    <w:p w14:paraId="469FD49E" w14:textId="77777777" w:rsidR="004207ED" w:rsidRDefault="00000000">
      <w:pPr>
        <w:pStyle w:val="Bullet"/>
      </w:pPr>
      <w:r>
        <w:rPr>
          <w:b/>
          <w:bCs/>
        </w:rPr>
        <w:t xml:space="preserve">Siber dayanıklılığı artırma: </w:t>
      </w:r>
      <w:r>
        <w:t>Kurumların sadece saldırıya uğramasını engellemek değil, saldırı sonrası toparlanma yeteneğini güçlendirmek.</w:t>
      </w:r>
    </w:p>
    <w:p w14:paraId="7CAC865D" w14:textId="77777777" w:rsidR="004207ED" w:rsidRDefault="00000000">
      <w:pPr>
        <w:pStyle w:val="Bullet"/>
      </w:pPr>
      <w:r>
        <w:rPr>
          <w:b/>
          <w:bCs/>
        </w:rPr>
        <w:t xml:space="preserve">Saldırıların tespiti ve önlenmesi: </w:t>
      </w:r>
      <w:r>
        <w:t>Gelişmiş tehdit algılama sistemleri, erken uyarı mekanizmaları kurmak.</w:t>
      </w:r>
    </w:p>
    <w:p w14:paraId="01AB9D3E" w14:textId="77777777" w:rsidR="004207ED" w:rsidRDefault="00000000">
      <w:pPr>
        <w:pStyle w:val="Bullet"/>
      </w:pPr>
      <w:r>
        <w:rPr>
          <w:b/>
          <w:bCs/>
        </w:rPr>
        <w:t xml:space="preserve">Zafiyet ve sızma testleri yapma/yaptırma: </w:t>
      </w:r>
      <w:r>
        <w:t>Sızma testi, güvenlik açıklarının taranması gibi teknik denetimlerin doğrudan Başkanlık ya da yetkilendirilmiş firmalarca yürütülmesi.</w:t>
      </w:r>
    </w:p>
    <w:p w14:paraId="2FBC05F4" w14:textId="77777777" w:rsidR="004207ED" w:rsidRDefault="00000000">
      <w:pPr>
        <w:pStyle w:val="Bullet"/>
      </w:pPr>
      <w:r>
        <w:rPr>
          <w:b/>
          <w:bCs/>
        </w:rPr>
        <w:t xml:space="preserve">Risk analizleri: </w:t>
      </w:r>
      <w:r>
        <w:t>Kurumların bilgi varlıklarının değerine göre risk seviyelerini belirleyip önceliklendirme yapılması.</w:t>
      </w:r>
    </w:p>
    <w:p w14:paraId="5B3D1E7C" w14:textId="77777777" w:rsidR="004207ED" w:rsidRDefault="00000000">
      <w:pPr>
        <w:pStyle w:val="Bullet"/>
      </w:pPr>
      <w:r>
        <w:rPr>
          <w:b/>
          <w:bCs/>
        </w:rPr>
        <w:t xml:space="preserve">Siber tehdit istihbaratı oluşturma ve paylaşma: </w:t>
      </w:r>
      <w:r>
        <w:t>Ulusal düzeyde tehdit istihbaratı üretmek ve kurumlarla paylamak.</w:t>
      </w:r>
    </w:p>
    <w:p w14:paraId="52C75868" w14:textId="77777777" w:rsidR="004207ED" w:rsidRDefault="00000000">
      <w:pPr>
        <w:pStyle w:val="Bullet"/>
      </w:pPr>
      <w:r>
        <w:rPr>
          <w:b/>
          <w:bCs/>
        </w:rPr>
        <w:t xml:space="preserve">Zararlı yazılım incelemesi: </w:t>
      </w:r>
      <w:r>
        <w:t>Yeni türdeki zararlı yazılımların analiz edilerek etkilerinin anlaşılması ve yayılmadan önlenmesi.</w:t>
      </w:r>
    </w:p>
    <w:p w14:paraId="4497740F" w14:textId="77777777" w:rsidR="004207ED" w:rsidRDefault="00000000">
      <w:pPr>
        <w:rPr>
          <w:rStyle w:val="Strong"/>
        </w:rPr>
      </w:pPr>
      <w:r>
        <w:rPr>
          <w:rStyle w:val="Strong"/>
        </w:rPr>
        <w:t>“c) Kritik altyapılar ile ait oldukları kurumları ve konumları belirlemek.”</w:t>
      </w:r>
    </w:p>
    <w:p w14:paraId="014C3AF8" w14:textId="77777777" w:rsidR="004207ED" w:rsidRDefault="00000000">
      <w:r>
        <w:t xml:space="preserve">Bu görev, Siber Güvenlik Başkanlığı’na, Türkiye genelinde hangi kurum veya sistemlerin </w:t>
      </w:r>
      <w:r>
        <w:rPr>
          <w:b/>
          <w:bCs/>
        </w:rPr>
        <w:t>“kritik altyapı”</w:t>
      </w:r>
      <w:r>
        <w:t xml:space="preserve"> olarak değerlendirileceğini belirleme yetkisi vermektedir. Bu, yalnızca teknolojik niteliklerine değil; o altyapının ulusal güvenlik, kamu sağlığı, ekonomik düzen ve toplumsal yaşam üzerindeki etkisine göre yapılacaktır. Başkanlık, kurumları ve bu kurumların sahip olduğu altyapıları “kritik” olarak </w:t>
      </w:r>
      <w:r>
        <w:lastRenderedPageBreak/>
        <w:t xml:space="preserve">sınıflandırması halinde bu kurumlar daha sıkı güvenlik önlemleri almakla yükümlü hale gelecek ve belirli sistemler için özel ve kapsamlı test ve denetim uygulamalarına tabi olacaktır. </w:t>
      </w:r>
    </w:p>
    <w:p w14:paraId="647EF590" w14:textId="77777777" w:rsidR="004207ED" w:rsidRDefault="00000000">
      <w:pPr>
        <w:rPr>
          <w:rStyle w:val="Strong"/>
        </w:rPr>
      </w:pPr>
      <w:r>
        <w:rPr>
          <w:rStyle w:val="Strong"/>
        </w:rPr>
        <w:t>“ç) Kamu kurum ve kuruluşları ile kritik altyapıların veri envanteri dâhil olmak üzere tüm varlıklarının envanterinin tutulmasını ve varlıklara yönelik risk analizinin gerçekleştirilmesini sağlamak, kamu kurum ve kuruluşları ile kritik altyapıların sahip olduğu varlıkların kritikliğine göre güvenlik tedbirlerini almak veya aldırmak.”</w:t>
      </w:r>
    </w:p>
    <w:p w14:paraId="759F7B5D" w14:textId="77777777" w:rsidR="004207ED" w:rsidRDefault="00000000">
      <w:r>
        <w:t xml:space="preserve">Bu görev, Siber Güvenlik Başkanlığı’na </w:t>
      </w:r>
      <w:r>
        <w:rPr>
          <w:b/>
          <w:bCs/>
          <w:i/>
          <w:iCs/>
        </w:rPr>
        <w:t>kamu kurum ve kuruluşları ile kritik altyapıların</w:t>
      </w:r>
      <w:r>
        <w:t xml:space="preserve"> sahip olduğu tüm dijital varlıkların (sistem, donanım, yazılım, veri, erişim altyapısı vb.) envanterini oluşturma veya talep etme yetkisi ile bu varlıklara yönelik risk analizlerini gerçekleştirme veya yaptırma ve varlıkların taşıdığı öneme göre kurumlara özel güvenlik önlemleri belirleme yetkisi vermektedir.</w:t>
      </w:r>
    </w:p>
    <w:p w14:paraId="024C933A" w14:textId="77777777" w:rsidR="004207ED" w:rsidRDefault="00000000">
      <w:r>
        <w:t xml:space="preserve">Buradaki "varlık" tanımı, </w:t>
      </w:r>
      <w:r>
        <w:rPr>
          <w:b/>
          <w:bCs/>
        </w:rPr>
        <w:t>yalnızca fiziksel sistemleri değil</w:t>
      </w:r>
      <w:r>
        <w:t>, işlenen verileri, kullanıcıları, logları, sanal altyapıları ve etki değeri olan dijital işleyişe dair her şeyi kapsamaktadır.</w:t>
      </w:r>
    </w:p>
    <w:p w14:paraId="4EB8D609" w14:textId="77777777" w:rsidR="004207ED" w:rsidRDefault="00000000">
      <w:pPr>
        <w:rPr>
          <w:rStyle w:val="Strong"/>
        </w:rPr>
      </w:pPr>
      <w:r>
        <w:rPr>
          <w:rStyle w:val="Strong"/>
        </w:rPr>
        <w:t>“d) SOME’ler kurmak, kurdurmak ve denetlemek, SOME’lerin olgunluk seviyelerinin belirlenmesi ve artırılması için çalışmalar yapmak, siber güvenlik tatbikatları gerçekleştirerek SOME’lerin siber olay müdahale kabiliyetlerini ölçmek, diğer ülkelerin siber olaylara müdahale ekipleriyle koordinasyon kurmak, her türlü siber müdahale aracının ve millî çözümlerin üretilmesi ve geliştirilmesi amacıyla çalışmalar yapmak, yaptırmak ve bunları teşvik etmek.”</w:t>
      </w:r>
    </w:p>
    <w:p w14:paraId="23F7F96E" w14:textId="77777777" w:rsidR="004207ED" w:rsidRDefault="00000000">
      <w:r>
        <w:t xml:space="preserve">Bu maddeyle Başkanlık, ulusal düzeyde siber olaylara müdahale kapasitesini geliştirmek üzere kapsamlı yetkilerle donatılmıştır. Burada Başkanlık, yalnızca düzenleyici değil aynı zamanda </w:t>
      </w:r>
      <w:r>
        <w:rPr>
          <w:b/>
          <w:bCs/>
        </w:rPr>
        <w:t>doğrudan operasyonel bir aktör</w:t>
      </w:r>
      <w:r>
        <w:t xml:space="preserve"> olarak yer almaktadır.</w:t>
      </w:r>
    </w:p>
    <w:p w14:paraId="7B28B97D" w14:textId="77777777" w:rsidR="004207ED" w:rsidRDefault="00000000">
      <w:pPr>
        <w:pStyle w:val="Bullet"/>
      </w:pPr>
      <w:r>
        <w:t>Başkanlık, kendi çatısı altında merkezi SOME’ler kurabilir, aktarabilir (örneğin: Ulusal Siber Olaylara Müdahale Ekibi – USOM benzeri yeni yapılar).</w:t>
      </w:r>
    </w:p>
    <w:p w14:paraId="6460EA04" w14:textId="77777777" w:rsidR="004207ED" w:rsidRDefault="00000000">
      <w:pPr>
        <w:pStyle w:val="Bullet"/>
      </w:pPr>
      <w:r>
        <w:t>Gerekirse sektör bazlı veya bölgesel özel SOME’ler kurabilir.</w:t>
      </w:r>
    </w:p>
    <w:p w14:paraId="74FE9429" w14:textId="77777777" w:rsidR="004207ED" w:rsidRDefault="00000000">
      <w:pPr>
        <w:pStyle w:val="Bullet"/>
      </w:pPr>
      <w:r>
        <w:t>Kurduğu ekipler üzerinden kurumlar arası koordinasyonu sağlayabilir, doğrudan müdahalede bulunabilir veya olaylara uzaktan destek verebilir.</w:t>
      </w:r>
    </w:p>
    <w:p w14:paraId="6586DAA2" w14:textId="77777777" w:rsidR="004207ED" w:rsidRDefault="00000000">
      <w:pPr>
        <w:pStyle w:val="Bullet"/>
      </w:pPr>
      <w:r>
        <w:t>Kurum içi SOME (Siber Olaylara Müdahale Ekibi) kurulmasını zorunlu hale getirebilir ve bu ekiplerin kurulmasını sağlayabilir,</w:t>
      </w:r>
    </w:p>
    <w:p w14:paraId="017E6EDE" w14:textId="77777777" w:rsidR="004207ED" w:rsidRDefault="00000000">
      <w:pPr>
        <w:pStyle w:val="Bullet"/>
      </w:pPr>
      <w:r>
        <w:t>Kurulmuş olan SOME’lerin teknik kapasitelerinin ölçme, denetleme ve geliştirme faaliyetlerini düzenleyebilir,</w:t>
      </w:r>
    </w:p>
    <w:p w14:paraId="6A6FF158" w14:textId="77777777" w:rsidR="004207ED" w:rsidRDefault="00000000">
      <w:pPr>
        <w:pStyle w:val="Bullet"/>
      </w:pPr>
      <w:r>
        <w:t>Ulusal çapta siber güvenlik tatbikatları düzenleyerek kriz müdahale kabiliyetini test edebilir,</w:t>
      </w:r>
    </w:p>
    <w:p w14:paraId="638AADBC" w14:textId="77777777" w:rsidR="004207ED" w:rsidRDefault="00000000">
      <w:pPr>
        <w:pStyle w:val="Bullet"/>
      </w:pPr>
      <w:r>
        <w:t>Uluslararası SOME’lerle bilgi paylaşımı ve koordinasyonu yürütebilir,</w:t>
      </w:r>
    </w:p>
    <w:p w14:paraId="5A37F8C3" w14:textId="77777777" w:rsidR="004207ED" w:rsidRDefault="00000000">
      <w:pPr>
        <w:pStyle w:val="Bullet"/>
      </w:pPr>
      <w:r>
        <w:t>Yerli ve millî müdahale araçları, analiz yazılımları ve güvenlik çözümlerinin üretimini ve kullanımını teşvik edebilir.</w:t>
      </w:r>
    </w:p>
    <w:p w14:paraId="304F2729" w14:textId="77777777" w:rsidR="004207ED" w:rsidRDefault="00000000">
      <w:pPr>
        <w:rPr>
          <w:rStyle w:val="Strong"/>
        </w:rPr>
      </w:pPr>
      <w:r>
        <w:rPr>
          <w:rStyle w:val="Strong"/>
        </w:rPr>
        <w:t>“e) Siber güvenlik alanında faaliyet gösterenlerin uyması gereken usul ve esasları düzenlemek.”</w:t>
      </w:r>
    </w:p>
    <w:p w14:paraId="679E0CF6" w14:textId="77777777" w:rsidR="004207ED" w:rsidRDefault="00000000">
      <w:r>
        <w:t xml:space="preserve">Bu maddeyle Başkanlık, Türkiye’de siber güvenlik alanında faaliyet gösteren tüm aktörlerin uyması gereken </w:t>
      </w:r>
      <w:r>
        <w:rPr>
          <w:b/>
          <w:bCs/>
        </w:rPr>
        <w:t>usul ve esasları</w:t>
      </w:r>
      <w:r>
        <w:t xml:space="preserve"> belirleme yetkisine sahiptir. Bu usul ve esaslar teknik gereklilikler, uygulama süreçleri, raporlama biçimleri, bildirim süreleri, belgelendirme standartları gibi detayları kapsamaktadır. Bu kurallar, yalnızca kamu değil özel sektör kuruluşları için de </w:t>
      </w:r>
      <w:r>
        <w:rPr>
          <w:b/>
          <w:bCs/>
        </w:rPr>
        <w:t>bağlayıcıdır</w:t>
      </w:r>
      <w:r>
        <w:t>.</w:t>
      </w:r>
    </w:p>
    <w:p w14:paraId="356414A1" w14:textId="77777777" w:rsidR="004207ED" w:rsidRDefault="00000000">
      <w:pPr>
        <w:rPr>
          <w:rStyle w:val="Strong"/>
        </w:rPr>
      </w:pPr>
      <w:r>
        <w:rPr>
          <w:rStyle w:val="Strong"/>
        </w:rPr>
        <w:t>“f) Kamu kurum ve kuruluşları ile kritik kamu hizmetlerinin siber güvenliğini sağlamak amacıyla gerekli altyapıları kurmak, kurdurmak, işletmek, işlettirmek ve kamu kurum ve kuruluşlarına güvenli sistem ve altyapılar üzerinden barındırma hizmeti sunmak veya sunulmasını sağlamak; bu faaliyetlere yönelik uygulama usul ve esaslarını belirlemek.”</w:t>
      </w:r>
    </w:p>
    <w:p w14:paraId="5B784778" w14:textId="77777777" w:rsidR="004207ED" w:rsidRDefault="00000000">
      <w:r>
        <w:t>Bu maddeyle birlikte Başkanlık, kamu kurum ve kuruluşları ile kritik kamu hizmetleri için ;</w:t>
      </w:r>
    </w:p>
    <w:p w14:paraId="305A9E69" w14:textId="77777777" w:rsidR="004207ED" w:rsidRDefault="00000000">
      <w:pPr>
        <w:pStyle w:val="Bullet"/>
      </w:pPr>
      <w:r>
        <w:lastRenderedPageBreak/>
        <w:t>Güvenli veri barındırma (hosting), yedekleme, ağ ve sistem altyapıları kurabilir ya da kurdurabilir.</w:t>
      </w:r>
    </w:p>
    <w:p w14:paraId="1F7BF77D" w14:textId="77777777" w:rsidR="004207ED" w:rsidRDefault="00000000">
      <w:pPr>
        <w:pStyle w:val="Bullet"/>
      </w:pPr>
      <w:r>
        <w:t xml:space="preserve">Kamu kurumlarına ait bilişim sistemlerini barındıracak </w:t>
      </w:r>
      <w:r>
        <w:rPr>
          <w:b/>
          <w:bCs/>
        </w:rPr>
        <w:t>güvenli platformları doğrudan işletme veya sağlatma</w:t>
      </w:r>
      <w:r>
        <w:t xml:space="preserve"> yetkisine sahiptir.</w:t>
      </w:r>
    </w:p>
    <w:p w14:paraId="71D24BFA" w14:textId="77777777" w:rsidR="004207ED" w:rsidRDefault="00000000">
      <w:pPr>
        <w:pStyle w:val="Bullet"/>
      </w:pPr>
      <w:r>
        <w:t>Kritik kamu hizmetlerini yürüten kurumlar için özel sistem altyapıları inşa edebilir.</w:t>
      </w:r>
    </w:p>
    <w:p w14:paraId="2BB9A04C" w14:textId="77777777" w:rsidR="004207ED" w:rsidRDefault="00000000">
      <w:pPr>
        <w:pStyle w:val="Bullet"/>
      </w:pPr>
      <w:r>
        <w:t>Bu sistemlerin nasıl kullanılacağına dair usul ve esasları da belirleyebilir.</w:t>
      </w:r>
    </w:p>
    <w:p w14:paraId="0B473B6F" w14:textId="77777777" w:rsidR="004207ED" w:rsidRDefault="00000000">
      <w:pPr>
        <w:rPr>
          <w:rStyle w:val="Strong"/>
        </w:rPr>
      </w:pPr>
      <w:r>
        <w:rPr>
          <w:rStyle w:val="Strong"/>
        </w:rPr>
        <w:t>“g) Siber güvenlik alanına ilişkin standartları hazırlamak, diğer kişi veya kuruluşlarca hazırlanan standartları tetkik etmek, bunlar hakkında mütalaa vermek, uygun bulduğu takdirde standart olarak kabul etmek, bunları yayımlamak ve uygulanmalarını takip etmek.”</w:t>
      </w:r>
    </w:p>
    <w:p w14:paraId="46BFD12A" w14:textId="77777777" w:rsidR="004207ED" w:rsidRDefault="00000000">
      <w:r>
        <w:t xml:space="preserve">Bu görev maddesi Başkanlığa, siber güvenlik alanında ulusal düzeyde teknik standartları belirleme ve yayma yetkisi verir. Uygulamada bu, tüm kurumların Siber Güvenlik Başkanlığı tarafından yayımlanmış ya da onaylanmış standartlara </w:t>
      </w:r>
      <w:r>
        <w:rPr>
          <w:b/>
          <w:bCs/>
        </w:rPr>
        <w:t xml:space="preserve">uyumlu çalışmak zorunda olduğu </w:t>
      </w:r>
      <w:r>
        <w:t>anlamına gelmektedir. Başkanlık;</w:t>
      </w:r>
    </w:p>
    <w:p w14:paraId="47C808CE" w14:textId="77777777" w:rsidR="004207ED" w:rsidRDefault="00000000">
      <w:pPr>
        <w:pStyle w:val="Bullet"/>
      </w:pPr>
      <w:r>
        <w:t>Kendi standartlarını hazırlayabilir,</w:t>
      </w:r>
    </w:p>
    <w:p w14:paraId="6006AACA" w14:textId="77777777" w:rsidR="004207ED" w:rsidRDefault="00000000">
      <w:pPr>
        <w:pStyle w:val="Bullet"/>
      </w:pPr>
      <w:r>
        <w:t>Diğer kurum ve kuruluşlar (örneğin BTK, TSE, TÜBİTAK veya özel sektör) tarafından hazırlanan standartları inceleyip uygunluk değerlendirmesi yapabilir,</w:t>
      </w:r>
    </w:p>
    <w:p w14:paraId="7AD2ED0F" w14:textId="77777777" w:rsidR="004207ED" w:rsidRDefault="00000000">
      <w:pPr>
        <w:pStyle w:val="Bullet"/>
      </w:pPr>
      <w:r>
        <w:t>Uygun bulursa bunları resmî standart olarak kabul edip duyurabilir,</w:t>
      </w:r>
    </w:p>
    <w:p w14:paraId="08DD44F3" w14:textId="77777777" w:rsidR="004207ED" w:rsidRDefault="00000000">
      <w:pPr>
        <w:pStyle w:val="Bullet"/>
      </w:pPr>
      <w:r>
        <w:t>Kabul edilen bu standartların uygulanmasını izleyebilir.</w:t>
      </w:r>
    </w:p>
    <w:p w14:paraId="2BAAD25B" w14:textId="77777777" w:rsidR="004207ED" w:rsidRDefault="00000000">
      <w:pPr>
        <w:rPr>
          <w:rStyle w:val="Strong"/>
        </w:rPr>
      </w:pPr>
      <w:r>
        <w:rPr>
          <w:rStyle w:val="Strong"/>
        </w:rPr>
        <w:t>“ğ) Siber güvenlik alanına ilişkin yazılım, donanım, ürün, sistem ve hizmetlere yönelik test ve sertifikasyon işlemlerini yürütmek; buna yönelik test altyapıları kurmak, kurdurmak ve işletmek ile siber güvenlik uzmanları ve şirketlerine yönelik sertifikasyon, yetkilendirme ve belgelendirme işlemlerini ilgili kurumlarla koordineli olarak yürütmek.”</w:t>
      </w:r>
    </w:p>
    <w:p w14:paraId="5354A9C0" w14:textId="77777777" w:rsidR="004207ED" w:rsidRDefault="00000000">
      <w:r>
        <w:t>Bu hükümle Siber Güvenlik Başkanlığı;</w:t>
      </w:r>
    </w:p>
    <w:p w14:paraId="72010988" w14:textId="77777777" w:rsidR="004207ED" w:rsidRDefault="00000000">
      <w:pPr>
        <w:pStyle w:val="Bullet"/>
      </w:pPr>
      <w:r>
        <w:t>Piyasadaki siber güvenlik çözümlerinin ve hizmetlerin test ve sertifikasyonunu yapar veya yaptırır,</w:t>
      </w:r>
    </w:p>
    <w:p w14:paraId="2CD79DFE" w14:textId="77777777" w:rsidR="004207ED" w:rsidRDefault="00000000">
      <w:pPr>
        <w:pStyle w:val="Bullet"/>
      </w:pPr>
      <w:r>
        <w:t>Bu işlemler için laboratuvar, analiz merkezi veya platform gibi test altyapılarını kurabilir ya da işletilmesini sağlayabilir,</w:t>
      </w:r>
    </w:p>
    <w:p w14:paraId="66D4EF37" w14:textId="77777777" w:rsidR="004207ED" w:rsidRDefault="00000000">
      <w:pPr>
        <w:pStyle w:val="Bullet"/>
      </w:pPr>
      <w:r>
        <w:t>Güvenlik hizmeti sunan uzman ve şirketlerin yetkilendirilmesini ve belgelendirilmesini düzenler,</w:t>
      </w:r>
    </w:p>
    <w:p w14:paraId="11E9F7EF" w14:textId="77777777" w:rsidR="004207ED" w:rsidRDefault="00000000">
      <w:pPr>
        <w:pStyle w:val="Bullet"/>
      </w:pPr>
      <w:r>
        <w:t>Bu süreçleri ilgili kurumlarla (TÜBİTAK, BTK, TSE vb.) koordinasyon içinde yürütür.</w:t>
      </w:r>
    </w:p>
    <w:p w14:paraId="57D95554" w14:textId="77777777" w:rsidR="004207ED" w:rsidRDefault="00000000">
      <w:pPr>
        <w:rPr>
          <w:rStyle w:val="Strong"/>
        </w:rPr>
      </w:pPr>
      <w:r>
        <w:rPr>
          <w:rStyle w:val="Strong"/>
        </w:rPr>
        <w:t>“h) Siber güvenlik denetimini gerçekleştirmek ve sonucuna göre yaptırım uygulamak.”</w:t>
      </w:r>
    </w:p>
    <w:p w14:paraId="47AB589F" w14:textId="77777777" w:rsidR="004207ED" w:rsidRDefault="00000000">
      <w:r>
        <w:t>Bu maddeyle birlikte Başkanlık;</w:t>
      </w:r>
    </w:p>
    <w:p w14:paraId="1373B530" w14:textId="77777777" w:rsidR="004207ED" w:rsidRDefault="00000000">
      <w:pPr>
        <w:pStyle w:val="Bullet"/>
      </w:pPr>
      <w:r>
        <w:t xml:space="preserve">Kapsama giren tüm kurum ve kuruluşlar (kamu + özel sektör + kritik altyapı işletmecileri) üzerinde </w:t>
      </w:r>
      <w:r>
        <w:rPr>
          <w:b/>
          <w:bCs/>
        </w:rPr>
        <w:t>siber güvenlik denetimi yapma yetkisine sahiptir</w:t>
      </w:r>
      <w:r>
        <w:t>.</w:t>
      </w:r>
    </w:p>
    <w:p w14:paraId="58FABBB7" w14:textId="77777777" w:rsidR="004207ED" w:rsidRDefault="00000000">
      <w:pPr>
        <w:pStyle w:val="Bullet"/>
      </w:pPr>
      <w:r>
        <w:t xml:space="preserve">Yapılan denetimlerin sonucuna göre eksiklik, ihmal veya uyumsuzluk tespit edilirse </w:t>
      </w:r>
      <w:r>
        <w:rPr>
          <w:b/>
          <w:bCs/>
        </w:rPr>
        <w:t>uyarı, yönlendirme, idari para cezası veya faaliyet kısıtlaması gibi yaptırımlar</w:t>
      </w:r>
      <w:r>
        <w:t xml:space="preserve"> uygulayabilir. Bu cezalara ilişkin uygulama esasları da bu Kanun ile belirlenmiştir.</w:t>
      </w:r>
    </w:p>
    <w:p w14:paraId="26004E0C" w14:textId="77777777" w:rsidR="004207ED" w:rsidRDefault="00000000">
      <w:r>
        <w:t xml:space="preserve">Burada dikkat edilmesi gereken husus ifadenin geniş ve sınırlandırılmamış şekilde düzenlenmiş olmasıdır. Madde 8/4 ile birlikte değerlendirildiğinde denetimin yalnızca teknik sistemleri değil, yönetimsel süreçleri ve organizasyonel yapıyı da kapsadığını net biçimde ortaya koymaktadır. Bu, denetimin </w:t>
      </w:r>
      <w:r>
        <w:rPr>
          <w:b/>
          <w:bCs/>
        </w:rPr>
        <w:t>kurumun siber güvenlikle ilgili tüm süreç ve kaynaklarını</w:t>
      </w:r>
      <w:r>
        <w:t xml:space="preserve"> kapsayabileceği anlamına gelir.</w:t>
      </w:r>
    </w:p>
    <w:p w14:paraId="74BEF1C8" w14:textId="77777777" w:rsidR="004207ED" w:rsidRDefault="00000000">
      <w:pPr>
        <w:rPr>
          <w:b/>
          <w:bCs/>
          <w:i/>
          <w:iCs/>
        </w:rPr>
      </w:pPr>
      <w:r>
        <w:rPr>
          <w:b/>
          <w:bCs/>
          <w:i/>
          <w:iCs/>
        </w:rPr>
        <w:t>“ı) Kamu kurum ve kuruluşları ile kritik altyapılarda kullanılacak siber güvenlik ürün ve hizmetleri ile bunları sağlayacak işletmelerin taşıması gereken niteliklere yönelik teknik kriterler belirlemek ve mevzuat düzenlemeleri yapmak, bunların denetimini yapmak ya da yaptırmak, denetimleri yapacak kuruluşların taşımaları gereken nitelikleri belirlemek, bu kuruluşları görevlendirmek, gerektiğinde görevlendirmeyi geçici olarak durdurmak ya da iptal etmek.”</w:t>
      </w:r>
    </w:p>
    <w:p w14:paraId="5C4E742D" w14:textId="77777777" w:rsidR="004207ED" w:rsidRDefault="00000000">
      <w:r>
        <w:lastRenderedPageBreak/>
        <w:t>Bu görev maddesiyle Başkanlık;</w:t>
      </w:r>
    </w:p>
    <w:p w14:paraId="48CBB930" w14:textId="77777777" w:rsidR="004207ED" w:rsidRDefault="00000000">
      <w:pPr>
        <w:pStyle w:val="Bullet"/>
      </w:pPr>
      <w:r>
        <w:t>Kamu ve kritik altyapı kurumlarında hangi ürün ve hizmetlerin kullanılabileceğini belirleme yetkisine sahiptir.</w:t>
      </w:r>
    </w:p>
    <w:p w14:paraId="4A8C5448" w14:textId="77777777" w:rsidR="004207ED" w:rsidRDefault="00000000">
      <w:pPr>
        <w:pStyle w:val="Bullet"/>
      </w:pPr>
      <w:r>
        <w:t xml:space="preserve">Ürün ve hizmet sağlayan firmaların (siber güvenlik şirketleri, danışmanlar, servis sağlayıcılar vb.) </w:t>
      </w:r>
      <w:r>
        <w:rPr>
          <w:b/>
          <w:bCs/>
        </w:rPr>
        <w:t>taşıması gereken teknik yeterlilikleri (asgari güvenlik kriterleri gibi) tanımlar</w:t>
      </w:r>
      <w:r>
        <w:t>.</w:t>
      </w:r>
    </w:p>
    <w:p w14:paraId="048A32F0" w14:textId="77777777" w:rsidR="004207ED" w:rsidRDefault="00000000">
      <w:pPr>
        <w:pStyle w:val="Bullet"/>
      </w:pPr>
      <w:r>
        <w:t xml:space="preserve">Bu firmaları denetleyecek </w:t>
      </w:r>
      <w:r>
        <w:rPr>
          <w:b/>
          <w:bCs/>
        </w:rPr>
        <w:t>bağımsız kuruluşlara ilişkin kriterleri de kendisi belirler</w:t>
      </w:r>
      <w:r>
        <w:t>, yetkilendirme veya görevden alma hakkına sahiptir.</w:t>
      </w:r>
    </w:p>
    <w:p w14:paraId="44D0E06D" w14:textId="77777777" w:rsidR="004207ED" w:rsidRDefault="00000000">
      <w:r>
        <w:t>Başka bir deyişle: “Bu ürün kullanılabilir mi?”, “Bu şirket yetkili mi?”, “Bu firma sizi denetleyebilir mi?” gibi soruların cevabı Başkanlık tarafından belirlenir.</w:t>
      </w:r>
    </w:p>
    <w:p w14:paraId="1C3E9B21" w14:textId="77777777" w:rsidR="004207ED" w:rsidRDefault="00000000">
      <w:r>
        <w:t>Bu maddede belirlenen görevler, Başkanlığı yalnızca bir rehberlik kurumu değil, aktif denetleyen, yönlendiren ve altyapı sağlayan bir icracı otorite olarak konumlandırmaktadır.</w:t>
      </w:r>
    </w:p>
    <w:p w14:paraId="28D1F930" w14:textId="77777777" w:rsidR="004207ED" w:rsidRDefault="00000000">
      <w:r>
        <w:t xml:space="preserve">Siber Güvenlik Kanunu, kurumsal yapılar açısından yalnızca teknik tedbirleri değil, aynı zamanda yönetsel ve hukuki sorumlulukları da derinlemesine tanımlamaktadır. </w:t>
      </w:r>
    </w:p>
    <w:p w14:paraId="1A5162C2" w14:textId="77777777" w:rsidR="004207ED" w:rsidRDefault="00000000">
      <w:r>
        <w:t>Bu kapsamda EK-1 Tablo, kurum içi Bilgi Güvenliği Yöneticilerinin dikkat etmesi gereken konuları, Kanun’un Başkanlık görevlerine dayalı olarak uygulamada nasıl ele alması gerektiğini özetlemektedir. Tablo hem öncelikli risk alanlarını görünür kılmakta hem de mevzuata uyumu sürdürülebilir hâle getirmek için yol gösterici niteliktedir.</w:t>
      </w:r>
    </w:p>
    <w:p w14:paraId="3F46686B" w14:textId="77777777" w:rsidR="004207ED" w:rsidRDefault="00000000">
      <w:pPr>
        <w:pStyle w:val="Heading1"/>
      </w:pPr>
      <w:bookmarkStart w:id="20" w:name="_Toc197891005"/>
      <w:bookmarkStart w:id="21" w:name="_Toc198556985"/>
      <w:r>
        <w:t>BAŞKANLIĞIN YETKİLERİ (MADDE 6)</w:t>
      </w:r>
      <w:bookmarkEnd w:id="20"/>
      <w:bookmarkEnd w:id="21"/>
    </w:p>
    <w:p w14:paraId="0B20B6B4" w14:textId="77777777" w:rsidR="004207ED" w:rsidRDefault="00000000">
      <w:r>
        <w:t xml:space="preserve">Kanun’un 6. maddesiyle, Siber Güvenlik Başkanlığı’na yalnızca görev tanımları değil, aynı zamanda bu görevleri yerine getirmek için geniş bir yetki seti de tanımlanmıştır. Bu yetkiler, Başkanlığı sadece strateji belirleyen bir yapı olmaktan çıkararak, doğrudan müdahale eden, denetleyen, düzenleyen ve yönlendiren bir otorite hâline getirmekte, </w:t>
      </w:r>
      <w:r>
        <w:rPr>
          <w:b/>
          <w:bCs/>
        </w:rPr>
        <w:t>koordinasyonun ötesinde, yaptırım gücü olan icracı bir rol</w:t>
      </w:r>
      <w:r>
        <w:t xml:space="preserve"> kazandırmaktadır. Başkanlık, kurumların siber güvenlik faaliyetlerine doğrudan etki edecek biçimde; bilgi-belge toplama, denetim yapma, tedbir alma, ürün kullanımını sınırlama ve log kayıtlarını analiz etme gibi kritik araçlarla donatılmıştır. </w:t>
      </w:r>
    </w:p>
    <w:p w14:paraId="010DC51A" w14:textId="77777777" w:rsidR="004207ED" w:rsidRDefault="00000000">
      <w:r>
        <w:t>Bu kapsamda, yetkilerin uygulama düzeyinde nasıl karşılık bulacağı ve kurumların hangi alanlarda hazırlıklı olması gerektiği, özellikle kritik altyapı işletmecileri ve bilgi güvenliği yöneticileri açısından yüksek önem taşımaktadır. Aşağıda bu yetkiler açıklanmıştır.</w:t>
      </w:r>
    </w:p>
    <w:p w14:paraId="084F2248" w14:textId="77777777" w:rsidR="004207ED" w:rsidRDefault="00000000">
      <w:pPr>
        <w:rPr>
          <w:rStyle w:val="Strong"/>
        </w:rPr>
      </w:pPr>
      <w:r>
        <w:rPr>
          <w:rStyle w:val="Strong"/>
        </w:rPr>
        <w:t>“a) İlgili mevzuatta yer alan yetkileri kullanmak”</w:t>
      </w:r>
    </w:p>
    <w:p w14:paraId="5EE2E199" w14:textId="77777777" w:rsidR="004207ED" w:rsidRDefault="00000000">
      <w:r>
        <w:t xml:space="preserve">Bu yetki, Başkanlığın yalnızca bu kanunla sınırlı olmadığını, diğer tüm ilgili mevzuattan doğan yetkilerini de kullanabileceğini belirtmektedir. Bilgi güvenliği yöneticileri için bu durum, görev alanına girmese dahi BT sistemlerine yönelik çeşitli talep ve müdahalelerin </w:t>
      </w:r>
      <w:r>
        <w:rPr>
          <w:b/>
          <w:bCs/>
        </w:rPr>
        <w:t>farklı yasal dayanaklarla yapılabileceği</w:t>
      </w:r>
      <w:r>
        <w:t xml:space="preserve"> anlamına gelir. Bu nedenle Hukuk birimiyle yakın çalışılmalı, mevzuat takibi yalnızca bu kanunla sınırlı olmamalı, BTK, KVKK, Elektronik Haberleşme ve Ceza Hukuku gibi alanlardaki düzenlemelerle koordinasyon sağlanmalıdır.</w:t>
      </w:r>
    </w:p>
    <w:p w14:paraId="40F58DD3" w14:textId="77777777" w:rsidR="004207ED" w:rsidRDefault="00000000">
      <w:pPr>
        <w:rPr>
          <w:rStyle w:val="Strong"/>
        </w:rPr>
      </w:pPr>
      <w:r>
        <w:rPr>
          <w:rStyle w:val="Strong"/>
        </w:rPr>
        <w:t>“(b) Bu Kanun kapsamındakilerin siber saldırılara karşı korunması ve bu saldırıların kaynağına karşı caydırıcılık sağlanması için gerekli tedbiri alır veya aldırır. Bu kapsamda bilişim sistemlerine uygun bulunan yazılım ve donanım ürünlerinin kurulum ve entegrasyonunu sağlayabilir, bu ürünler tarafından üretilen veya toplanan veri ve log kayıtlarını Başkanlık yönetiminde bulunan bilişim sistemlerine aktarabilir, siber olayların tespitine yönelik gerekli yöntemi ve aracı kullanabilir.”</w:t>
      </w:r>
    </w:p>
    <w:p w14:paraId="274EB4B7" w14:textId="77777777" w:rsidR="004207ED" w:rsidRDefault="00000000">
      <w:r>
        <w:t xml:space="preserve">Bu yetki Başkanlığa kurum sistemlerine doğrudan müdahale etme, yazılım-donanım kurdurma ve log/veri aktarma yetkisi vermektedir. Uygulamada bu, belirli ürünlerin zorunlu kullanımı ya da logların Başkanlığa gönderilmesi şeklinde ortaya çıkabilir. </w:t>
      </w:r>
      <w:r>
        <w:rPr>
          <w:rStyle w:val="Strong"/>
        </w:rPr>
        <w:t xml:space="preserve">“siber olayların tespitine yönelik gerekli yöntemi ve </w:t>
      </w:r>
      <w:r>
        <w:rPr>
          <w:rStyle w:val="Strong"/>
        </w:rPr>
        <w:lastRenderedPageBreak/>
        <w:t>aracı kullanabilir”</w:t>
      </w:r>
      <w:r>
        <w:t xml:space="preserve"> ifadesi, Siber Güvenlik Başkanlığı’na teknik müdahale araçlarını doğrudan kullanma yetkisi tanımaktadır. Bu kısa ama güçlü ifade, olay tespiti sırasında hangi araçların, hangi tekniklerle ve hangi derinlikte devreye sokulacağının kararını Başkanlığın verebileceğini göstermektedir.</w:t>
      </w:r>
    </w:p>
    <w:p w14:paraId="11779AE3" w14:textId="77777777" w:rsidR="004207ED" w:rsidRDefault="00000000">
      <w:r>
        <w:t xml:space="preserve">Bilgi güvenliği yöneticileri için bu, </w:t>
      </w:r>
      <w:r>
        <w:rPr>
          <w:b/>
          <w:bCs/>
        </w:rPr>
        <w:t>veri mahremiyeti</w:t>
      </w:r>
      <w:r>
        <w:t xml:space="preserve"> ve </w:t>
      </w:r>
      <w:r>
        <w:rPr>
          <w:b/>
          <w:bCs/>
        </w:rPr>
        <w:t>sistem entegrasyonu süreçlerini dikkatle yönetmeyi</w:t>
      </w:r>
      <w:r>
        <w:t xml:space="preserve"> ve </w:t>
      </w:r>
      <w:r>
        <w:rPr>
          <w:b/>
          <w:bCs/>
        </w:rPr>
        <w:t>Başkanlıkla açık iletişim kanalları kurmayı</w:t>
      </w:r>
      <w:r>
        <w:t xml:space="preserve"> gerektirecektir.</w:t>
      </w:r>
    </w:p>
    <w:p w14:paraId="347DB81A" w14:textId="77777777" w:rsidR="004207ED" w:rsidRDefault="00000000">
      <w:pPr>
        <w:rPr>
          <w:rStyle w:val="Strong"/>
        </w:rPr>
      </w:pPr>
      <w:r>
        <w:rPr>
          <w:rStyle w:val="Strong"/>
        </w:rPr>
        <w:t>(c) Bu Kanun kapsamındakilerden siber olaya maruz kalanlara yerinde veya uzaktan siber olay müdahale desteği sağlayabilir, siber uzayda bulunan veya elde ettiği veri, imaj veya log kayıtları üzerinden saldırılara ait izleri takip edebilir, bunları inceleyerek delillendirebilir, suç teşkil ettiği değerlendirilen bulguları adli makamlar ve diğer ilgililer ile paylaşır, yurt içi ve yurt dışındaki paydaşlar ile koordinasyon sağlayabilir.</w:t>
      </w:r>
    </w:p>
    <w:p w14:paraId="560C9BC7" w14:textId="77777777" w:rsidR="004207ED" w:rsidRDefault="00000000">
      <w:r>
        <w:t>Bu yetki, Siber Güvenlik Başkanlığı’na bir kurumda siber olay yaşandığında;</w:t>
      </w:r>
    </w:p>
    <w:p w14:paraId="3CC1156F" w14:textId="77777777" w:rsidR="004207ED" w:rsidRDefault="00000000">
      <w:pPr>
        <w:pStyle w:val="Bullet"/>
      </w:pPr>
      <w:r>
        <w:t xml:space="preserve">Doğrudan müdahale etme, </w:t>
      </w:r>
    </w:p>
    <w:p w14:paraId="56600BA1" w14:textId="77777777" w:rsidR="004207ED" w:rsidRDefault="00000000">
      <w:pPr>
        <w:pStyle w:val="Bullet"/>
      </w:pPr>
      <w:r>
        <w:t xml:space="preserve">Olay yerinden veya uzaktan destek sağlama, </w:t>
      </w:r>
    </w:p>
    <w:p w14:paraId="3DAB0431" w14:textId="77777777" w:rsidR="004207ED" w:rsidRDefault="00000000">
      <w:pPr>
        <w:pStyle w:val="Bullet"/>
      </w:pPr>
      <w:r>
        <w:t xml:space="preserve">Olayla ilgili dijital izleri toplama, analiz etme ve delillendirme, </w:t>
      </w:r>
    </w:p>
    <w:p w14:paraId="64CCAA6F" w14:textId="77777777" w:rsidR="004207ED" w:rsidRDefault="00000000">
      <w:pPr>
        <w:pStyle w:val="Bullet"/>
      </w:pPr>
      <w:r>
        <w:t xml:space="preserve">Gerektiğinde bu bulguları adli makamlara iletme ve </w:t>
      </w:r>
    </w:p>
    <w:p w14:paraId="1AB34DFA" w14:textId="77777777" w:rsidR="004207ED" w:rsidRDefault="00000000">
      <w:pPr>
        <w:pStyle w:val="Bullet"/>
      </w:pPr>
      <w:r>
        <w:t xml:space="preserve">Yurt dışı iş birlikleriyle koordinasyon kurma yetkisi vermektedir. </w:t>
      </w:r>
    </w:p>
    <w:p w14:paraId="6BC327A4" w14:textId="77777777" w:rsidR="004207ED" w:rsidRDefault="00000000">
      <w:r>
        <w:t xml:space="preserve">Uygulamada Başkanlık olay sonrası sistemlere uzaktan bağlanarak ya da yerinde analizle veri (log, imaj, trafik analizi) toplayabilir ve gerekirse kurumun bilgisi dâhilinde yargıya iletebilir. </w:t>
      </w:r>
    </w:p>
    <w:p w14:paraId="38D4A4C8" w14:textId="77777777" w:rsidR="004207ED" w:rsidRDefault="00000000">
      <w:r>
        <w:t xml:space="preserve">Kurum olarak bu süreçte </w:t>
      </w:r>
      <w:r>
        <w:rPr>
          <w:b/>
          <w:bCs/>
        </w:rPr>
        <w:t>delil bütünlüğünü korumak</w:t>
      </w:r>
      <w:r>
        <w:t xml:space="preserve">, </w:t>
      </w:r>
      <w:r>
        <w:rPr>
          <w:b/>
          <w:bCs/>
        </w:rPr>
        <w:t>olay müdahale prosedürlerini belgelemek</w:t>
      </w:r>
      <w:r>
        <w:t xml:space="preserve">, elde edilen </w:t>
      </w:r>
      <w:r>
        <w:rPr>
          <w:b/>
          <w:bCs/>
        </w:rPr>
        <w:t>verilerin mahremiyetini gözeterek aktarımını sağlamak</w:t>
      </w:r>
      <w:r>
        <w:t xml:space="preserve"> ve müdahale süresince </w:t>
      </w:r>
      <w:r>
        <w:rPr>
          <w:b/>
          <w:bCs/>
        </w:rPr>
        <w:t>teknik ekiplerle Başkanlık arasında eşgüdüm kurmak</w:t>
      </w:r>
      <w:r>
        <w:t xml:space="preserve"> kritik önemde olacaktır. Müdahaleye açık, hazır ve kayıtlı bir olay müdahale planı oluşturmak bu madde açısından temel sorumluluk olarak değerlendirilebilir.</w:t>
      </w:r>
    </w:p>
    <w:p w14:paraId="50C25D34" w14:textId="77777777" w:rsidR="004207ED" w:rsidRDefault="00000000">
      <w:pPr>
        <w:rPr>
          <w:rStyle w:val="Strong"/>
        </w:rPr>
      </w:pPr>
      <w:r>
        <w:rPr>
          <w:rStyle w:val="Strong"/>
        </w:rPr>
        <w:t>“(ç) Bu Kanun kapsamındakilerden, yürüttüğü faaliyetlerle sınırlı olmak üzere bilgi, belge, veri ve kayıtları alabilir ve değerlendirmesini yapabilir, bunlara ait arşivlerden, elektronik bilgi işlem merkezlerinden ve iletişim altyapısından yararlanabilir ve bunlarla irtibat kurabilir. Bu kapsamda elde edilen bilgi, belge, veri ve kayıtlar, en fazla iki yıl süreyle çalışmaya konu edilir ve çalışma süresi sonrasında imha edilir. Bu kapsamda talepte bulunulanlar, kendi mevzuatındaki hükümleri gerekçe göstermek suretiyle talebin yerine getirilmesinden kaçınamazlar.”</w:t>
      </w:r>
    </w:p>
    <w:p w14:paraId="4B7E77D8" w14:textId="77777777" w:rsidR="004207ED" w:rsidRDefault="00000000">
      <w:r>
        <w:t xml:space="preserve">Bu yetki, Siber Güvenlik Başkanlığı’na, kurumun yürüttüğü faaliyetlerle ilgili olarak her türlü bilgi, belge, veri ve kaydı talep etme ve bunları analiz etme hakkı vermektedir; ayrıca Başkanlık bu verilere ait arşiv sistemlerinden, bilgi işlem altyapısından ve iletişim kanallarından yararlanabilir. </w:t>
      </w:r>
    </w:p>
    <w:p w14:paraId="4DC87F25" w14:textId="77777777" w:rsidR="004207ED" w:rsidRDefault="00000000">
      <w:r>
        <w:t xml:space="preserve">Uygulamada bu, BT sistemlerinden konfigürasyon dosyaları, sistem günlükleri, altyapı şemaları, güvenlik politika belgeleri gibi içeriklerin Başkanlığa aktarılmasını gerektirebilir. Burada dikkat edilmesi gereken başlıca husus aktarılacak verilerin kişisel veri, ticari sır ve kritik bilgi içeriğine göre sınıflandırılması, veri aktarımının güvenli ve kontrollü biçimde yapılmasıdır. </w:t>
      </w:r>
    </w:p>
    <w:p w14:paraId="1FC29AF1" w14:textId="77777777" w:rsidR="004207ED" w:rsidRDefault="00000000">
      <w:r>
        <w:t xml:space="preserve">Başkanlık tarafından alınan verilerin </w:t>
      </w:r>
      <w:r>
        <w:rPr>
          <w:b/>
          <w:bCs/>
        </w:rPr>
        <w:t>en fazla iki yıl saklanacağını</w:t>
      </w:r>
      <w:r>
        <w:t xml:space="preserve"> bilerek bu süre boyunca herhangi bir yasal uyumsuzluk yaşanmamasını sağlanmalıdır. Ayrıca, “</w:t>
      </w:r>
      <w:r>
        <w:rPr>
          <w:b/>
          <w:bCs/>
        </w:rPr>
        <w:t>mevzuat gerekçesiyle bilgi verilmemesi</w:t>
      </w:r>
      <w:r>
        <w:t>” gibi bir savunma bu maddeye göre mümkün değildir, dolayısıyla kurum içi uyum süreçleri bu hükme göre yapılandırılmalıdır.</w:t>
      </w:r>
    </w:p>
    <w:p w14:paraId="07BEC3A1" w14:textId="77777777" w:rsidR="004207ED" w:rsidRDefault="00000000">
      <w:pPr>
        <w:rPr>
          <w:rStyle w:val="Strong"/>
        </w:rPr>
      </w:pPr>
      <w:r>
        <w:rPr>
          <w:rStyle w:val="Strong"/>
        </w:rPr>
        <w:t>“(d) Bilişim sistemlerindeki log kayıtlarını bünyesinde toplayabilir, saklayabilir, değerlendirebilir. Bunlar hakkında rapor hazırlayarak ilgili kurum ve kuruluşlar ile paylaşabilir.”</w:t>
      </w:r>
    </w:p>
    <w:p w14:paraId="3C63B42E" w14:textId="77777777" w:rsidR="004207ED" w:rsidRDefault="00000000">
      <w:r>
        <w:lastRenderedPageBreak/>
        <w:t xml:space="preserve">Bu yetki, Siber Güvenlik Başkanlığı’na kurumların bilişim sistemlerinden log (kayıt) verilerini toplama, bu verileri kendi sistemlerinde saklama ve analiz etme, sonrasında analiz sonuçlarını ilgili taraflarla rapor olarak paylaşma yetkisi vermektedir. </w:t>
      </w:r>
    </w:p>
    <w:p w14:paraId="5804277E" w14:textId="77777777" w:rsidR="004207ED" w:rsidRDefault="00000000">
      <w:r>
        <w:t>Uygulamada, kurumların güvenlik duvarları, uç nokta sistemleri, SIEM çözümleri ve ağ bileşenlerinden üretilen loglar Başkanlığa aktarılabilir veya yerinde denetimle temin edilebilir. Bu süreçte dikkat edilmesi gereken hususlar şunlardır;</w:t>
      </w:r>
    </w:p>
    <w:p w14:paraId="326C045C" w14:textId="77777777" w:rsidR="004207ED" w:rsidRDefault="00000000">
      <w:pPr>
        <w:pStyle w:val="Bullet"/>
      </w:pPr>
      <w:r>
        <w:t xml:space="preserve">Logların bütünlüğünün ve zaman damgasının korunması, </w:t>
      </w:r>
    </w:p>
    <w:p w14:paraId="74F0135D" w14:textId="77777777" w:rsidR="004207ED" w:rsidRDefault="00000000">
      <w:pPr>
        <w:pStyle w:val="Bullet"/>
      </w:pPr>
      <w:r>
        <w:t xml:space="preserve">Hassas ya da kişisel veri içeren kayıtların KVKK ve mahremiyet kuralları doğrultusunda yönetilmesi, </w:t>
      </w:r>
    </w:p>
    <w:p w14:paraId="3923BDBD" w14:textId="77777777" w:rsidR="004207ED" w:rsidRDefault="00000000">
      <w:pPr>
        <w:pStyle w:val="Bullet"/>
      </w:pPr>
      <w:r>
        <w:t>Hangi kayıtların hangi süreyle ve hangi amaçla paylaşıldığının şeffaf şekilde belgelenmesi,</w:t>
      </w:r>
    </w:p>
    <w:p w14:paraId="2B32C551" w14:textId="77777777" w:rsidR="004207ED" w:rsidRDefault="00000000">
      <w:pPr>
        <w:pStyle w:val="Bullet"/>
      </w:pPr>
      <w:r>
        <w:t xml:space="preserve">Güvenli log transferi, </w:t>
      </w:r>
    </w:p>
    <w:p w14:paraId="55C87D1B" w14:textId="77777777" w:rsidR="004207ED" w:rsidRDefault="00000000">
      <w:pPr>
        <w:pStyle w:val="Bullet"/>
      </w:pPr>
      <w:r>
        <w:t>Yetkilendirme ve erişim kontrolü/denetimi,</w:t>
      </w:r>
    </w:p>
    <w:p w14:paraId="077455FF" w14:textId="77777777" w:rsidR="004207ED" w:rsidRDefault="00000000">
      <w:pPr>
        <w:pStyle w:val="Bullet"/>
      </w:pPr>
      <w:r>
        <w:t>Kayıt saklama politikaları.</w:t>
      </w:r>
    </w:p>
    <w:p w14:paraId="1513BB4E" w14:textId="77777777" w:rsidR="004207ED" w:rsidRDefault="00000000">
      <w:pPr>
        <w:rPr>
          <w:rStyle w:val="Strong"/>
        </w:rPr>
      </w:pPr>
      <w:r>
        <w:rPr>
          <w:rStyle w:val="Strong"/>
        </w:rPr>
        <w:t>“(e) Başkanlık, bakanlıklar ve diğer kamu kurum ve kuruluşları ile koordineli olarak siber güvenlik konularında ihtiyaç halinde personel tefrik edebilir.”</w:t>
      </w:r>
    </w:p>
    <w:p w14:paraId="3105647F" w14:textId="77777777" w:rsidR="004207ED" w:rsidRDefault="00000000">
      <w:r>
        <w:t xml:space="preserve">Bu yetki, Siber Güvenlik Başkanlığı’na </w:t>
      </w:r>
      <w:r>
        <w:rPr>
          <w:b/>
          <w:bCs/>
        </w:rPr>
        <w:t>siber güvenlik alanında kamu personeli görevlendirme</w:t>
      </w:r>
      <w:r>
        <w:t xml:space="preserve"> yetkisi verir; yani ihtiyaç hâlinde, Başkanlık geçici ya da kalıcı olarak uzman personel atayabilir. </w:t>
      </w:r>
    </w:p>
    <w:p w14:paraId="36ED28B7" w14:textId="77777777" w:rsidR="004207ED" w:rsidRDefault="00000000">
      <w:r>
        <w:t>Uygulamada bu, bir siber olay sırasında kuruma destek sağlamak ya da kapasite eksikliklerinde takviye yapmak amacıyla resmî görevlendirmeler yoluyla gerçekleşebilir. Bu durumda dikkat edilmesi gereken hususlar;</w:t>
      </w:r>
    </w:p>
    <w:p w14:paraId="433FC062" w14:textId="77777777" w:rsidR="004207ED" w:rsidRDefault="00000000">
      <w:pPr>
        <w:pStyle w:val="Bullet"/>
      </w:pPr>
      <w:r>
        <w:t>Görevlendirilen personelin kamuya gönderileceği değil, Başkanlığın kamu kurumları ile birlikte hareket ederek personel görevlendirebileceği ifade edilmektedir. Bu nedenle, uygulamada sadece kamu kurumlarında değil özel sektör veya karma yapılarda da Başkanlık tarafından görevlendirme veya geçici uzman desteği sağlanabilir.</w:t>
      </w:r>
    </w:p>
    <w:p w14:paraId="7FC44983" w14:textId="77777777" w:rsidR="004207ED" w:rsidRDefault="00000000">
      <w:pPr>
        <w:pStyle w:val="Bullet"/>
      </w:pPr>
      <w:r>
        <w:t>Görevlendirilen personelin görev tanımının, erişim yetkilerinin ve sorumluluk sınırları net olarak belirlenmeli, varsa gizlilik sözleşmelerinin uygulanması ve iç sistemlerin bu entegrasyona hazırlıklı olması sağlanmalıdır.</w:t>
      </w:r>
    </w:p>
    <w:p w14:paraId="28452598" w14:textId="77777777" w:rsidR="004207ED" w:rsidRDefault="00000000">
      <w:pPr>
        <w:pStyle w:val="Bullet"/>
      </w:pPr>
      <w:r>
        <w:t>Kurum içinde görevlendirilen kişiyle bilgi güvenliği prosedürlerinin ve kriz yönetim planlarının paylaşılması sürecin sağlıklı işlemesi için kritik önemdedir.</w:t>
      </w:r>
    </w:p>
    <w:p w14:paraId="7FC00D8F" w14:textId="77777777" w:rsidR="004207ED" w:rsidRDefault="00000000">
      <w:pPr>
        <w:rPr>
          <w:rStyle w:val="Strong"/>
        </w:rPr>
      </w:pPr>
      <w:r>
        <w:rPr>
          <w:rStyle w:val="Strong"/>
        </w:rPr>
        <w:t>“(f) Görev alanına giren konularda uluslararası kuruluşlar ve ülkelerle ilişkiler yürütebilir, bilgi alışverişinde bulunabilir, ülkemizi temsil edebilir ve koordinasyonu sağlayabilir, uluslararası kuruluşların çalışmalarına katılabilir, alınan kararların uygulanmasını takip edebilir ve gerekli koordinasyonu sağlayabilir.”</w:t>
      </w:r>
    </w:p>
    <w:p w14:paraId="05D522E2" w14:textId="77777777" w:rsidR="004207ED" w:rsidRDefault="00000000">
      <w:r>
        <w:t xml:space="preserve">Bu yetki, Siber Güvenlik Başkanlığı’nı Türkiye'nin uluslararası siber güvenlik temsilcisi olarak konumlandırır; Başkanlık, yurt dışındaki kurumlarla iş birliği yapabilir, küresel karar süreçlerine katılabilir ve bu kararların ulusal düzeyde uygulanmasını takip edebilir. </w:t>
      </w:r>
    </w:p>
    <w:p w14:paraId="5CA7FC5C" w14:textId="77777777" w:rsidR="004207ED" w:rsidRDefault="00000000">
      <w:r>
        <w:t>Uygulamada bu, Avrupa Birliği'nin ENISA rehberleri, ISO/IEC standartları gibi uluslararası düzenlemelerin Başkanlık aracılığıyla kurumlara yansıması anlamına gelmektedir. Bu yetki, kurumların kendi teknik standartlarını, denetim yaklaşımını ve uyum süreçlerini global normlara entegre etme sorumluluğunu beraberinde getirmektedir. Ayrıca, Başkanlık aracılığıyla yurtdışı güvenlik tehditleri, istihbarat akışları veya ortak tatbikatlar gibi faaliyetlere katılım söz konusu olabileceğinden, teknik ekiplerin uluslararası raporlama formatlarına ve protokollere hazır olması gerekebilir.</w:t>
      </w:r>
    </w:p>
    <w:p w14:paraId="33894178" w14:textId="77777777" w:rsidR="004207ED" w:rsidRDefault="00000000">
      <w:pPr>
        <w:rPr>
          <w:rStyle w:val="Strong"/>
        </w:rPr>
      </w:pPr>
      <w:r>
        <w:rPr>
          <w:rStyle w:val="Strong"/>
        </w:rPr>
        <w:t>“(g) Bu Kanun kapsamındaki kurum, kuruluş ve ilgili diğer gerçek ve tüzel kişiler ile tüzel kişiliği bulunmayan kuruluşları sınıflandırabilir, faaliyetlerini icra ederken gerektiğinde sadece belirli bir kısmını kapsayan hükümler oluşturabilir.”</w:t>
      </w:r>
    </w:p>
    <w:p w14:paraId="33A16F96" w14:textId="77777777" w:rsidR="004207ED" w:rsidRDefault="00000000">
      <w:r>
        <w:lastRenderedPageBreak/>
        <w:t xml:space="preserve">Bu yetki, Siber Güvenlik Başkanlığı’na Kanun kapsamına giren tüm yapıların faaliyet türlerine, risk profillerine veya stratejik önemlerine göre </w:t>
      </w:r>
      <w:r>
        <w:rPr>
          <w:b/>
          <w:bCs/>
        </w:rPr>
        <w:t>sınıflandırılabilmesi</w:t>
      </w:r>
      <w:r>
        <w:t xml:space="preserve"> ve bu sınıflara göre farklı seviyelerde düzenlemeler, yükümlülükler veya denetimler uygulanabilmesi imkânını vermektedir.</w:t>
      </w:r>
    </w:p>
    <w:p w14:paraId="5342A2E9" w14:textId="77777777" w:rsidR="004207ED" w:rsidRDefault="00000000">
      <w:r>
        <w:t>Uygulamada bu, örneğin bir telekom operatörünün “kritik altyapı” olarak tanımlanması nedeniyle daha sıkı denetimlere veya özel güvenlik tedbirlerine tabi tutulması anlamına gelirken, küçük bir hizmet sağlayıcı için daha hafif uygulamalar söz konusu olabilir. Burada dikkat edilmesi gereken nokta kurumunun Başkanlık tarafından hangi sınıfa dahil edildiğini net biçimde bilmesi ve bu sınıfa özgü sorumlulukların uygun şekilde iç prosedürlere entegre edilmesidir. Sınıf bazlı yükümlülükler ayrıca sertifikasyon, raporlama, ürün kullanımı ve müdahale prosedürlerinde farklılık yaratabilir; bu nedenle sürekli güncel mevzuat takibi ve resmi sınıf bildirimlerinin izlenmesi önemlidir.</w:t>
      </w:r>
    </w:p>
    <w:p w14:paraId="3E70A12E" w14:textId="77777777" w:rsidR="004207ED" w:rsidRDefault="00000000">
      <w:pPr>
        <w:rPr>
          <w:rStyle w:val="Strong"/>
        </w:rPr>
      </w:pPr>
      <w:r>
        <w:rPr>
          <w:rStyle w:val="Strong"/>
        </w:rPr>
        <w:t>“(ğ) Siber güvenlik denetimi gerçekleştiren bağımsız denetçiler ve bağımsız denetim kuruluşlarını yetkilendirebilir, yetkisini süreli veya süresiz iptal edebilir.”</w:t>
      </w:r>
    </w:p>
    <w:p w14:paraId="01E44811" w14:textId="77777777" w:rsidR="004207ED" w:rsidRDefault="00000000">
      <w:r>
        <w:t xml:space="preserve">Bu yetki, Siber Güvenlik Başkanlığı’na siber güvenlik denetim faaliyetlerinde bulunacak kişi ve kuruluşları yetkilendirme ve gerek gördüğünde bu yetkileri sınırlı süreli ya da süresiz olarak iptal etme hakkı vermektedir. </w:t>
      </w:r>
    </w:p>
    <w:p w14:paraId="2DAD6C4C" w14:textId="77777777" w:rsidR="004207ED" w:rsidRDefault="00000000">
      <w:r>
        <w:t xml:space="preserve">Uygulamada, bir kurumun siber güvenlik denetimini sadece Başkanlık tarafından yetkilendirilmiş denetçiler veya şirketler yapabileceği anlamına gelmektedir. diğer kişilerce yapılan denetimler geçersiz sayılabilir veya resmî rapor niteliği taşımaz. </w:t>
      </w:r>
    </w:p>
    <w:p w14:paraId="71207B52" w14:textId="77777777" w:rsidR="004207ED" w:rsidRDefault="00000000">
      <w:r>
        <w:t>Burada dikkat edilmesi gereken en önemli hususlar, dış denetim hizmeti alınacaksa bu kuruluşların yetkilendirilmiş olup olmadığının kontrol edilmesi, iç denetim süreçlerinin resmî standartlara uygun şekilde yapılandırılması ve geçmişte yetkisi iptal edilen firmalardan kaçınılmasıdır. Ayrıca, yapılacak denetimlerin sonuçlarının Başkanlık tarafından talep edilmesi durumunda hazırlıklı ve uyumlu raporlarla desteklenmesi gerekecektir.</w:t>
      </w:r>
    </w:p>
    <w:p w14:paraId="0627F639" w14:textId="77777777" w:rsidR="004207ED" w:rsidRDefault="00000000">
      <w:pPr>
        <w:rPr>
          <w:rStyle w:val="Strong"/>
        </w:rPr>
      </w:pPr>
      <w:r>
        <w:rPr>
          <w:rStyle w:val="Strong"/>
        </w:rPr>
        <w:t>“(h) Kamu kurum ve kuruluşları ile kritik altyapıların bilişim sistemlerinde kullanılacak ve siber güvenliğe etkisi olan yazılım, donanım, ürün ve hizmetlere dair kriterler ile Başkanlığa yapılacak bildirimlere ilişkin usul ve esasları belirler.”</w:t>
      </w:r>
    </w:p>
    <w:p w14:paraId="461D9EE1" w14:textId="77777777" w:rsidR="004207ED" w:rsidRDefault="00000000">
      <w:r>
        <w:t xml:space="preserve">Bu yetki, Siber Güvenlik Başkanlığı’na, kurumların BT altyapılarında kullandığı ve siber güvenliğe etki eden yazılım, donanım ve hizmetlerin </w:t>
      </w:r>
      <w:r>
        <w:rPr>
          <w:b/>
          <w:bCs/>
        </w:rPr>
        <w:t>asgarî teknik gerekliliklerini</w:t>
      </w:r>
      <w:r>
        <w:t xml:space="preserve"> belirleme ve bu kapsamda yapılması gereken </w:t>
      </w:r>
      <w:r>
        <w:rPr>
          <w:b/>
          <w:bCs/>
        </w:rPr>
        <w:t>bildirim süreçlerinin usul ve esaslarını tanımlama</w:t>
      </w:r>
      <w:r>
        <w:t xml:space="preserve"> yetkisi vermektedir. </w:t>
      </w:r>
    </w:p>
    <w:p w14:paraId="79650416" w14:textId="77777777" w:rsidR="004207ED" w:rsidRDefault="00000000">
      <w:r>
        <w:t xml:space="preserve">Uygulamada bu, kurumların güvenlik duvarı, antivirüs, erişim kontrol çözümleri veya dış kaynaklı hizmetlerin Başkanlıkça belirlenen kriterlere uygun olmasını sağlama ve belirli durumlarda (örneğin ürün değişimi, güvenlik olayı, dış servis kullanımı gibi) Başkanlığa bildirimde bulunma zorunluluğu anlamına gelmektedir. Bu madde kapsamında dikkat edilmesi gereken husus kullanılan tüm BT güvenlik ürünlerinin Başkanlıkça yayımlanan teknik şartnamelere </w:t>
      </w:r>
      <w:r>
        <w:rPr>
          <w:b/>
          <w:bCs/>
        </w:rPr>
        <w:t>uyumlu olup olmadığının düzenli olarak kontrol edilmesi</w:t>
      </w:r>
      <w:r>
        <w:t xml:space="preserve">, </w:t>
      </w:r>
      <w:r>
        <w:rPr>
          <w:b/>
          <w:bCs/>
        </w:rPr>
        <w:t>tedarik süreçlerinde bu kriterlerin önceden göz önünde bulundurulması</w:t>
      </w:r>
      <w:r>
        <w:t xml:space="preserve"> ve gerekiyorsa </w:t>
      </w:r>
      <w:r>
        <w:rPr>
          <w:b/>
          <w:bCs/>
        </w:rPr>
        <w:t>uyumsuz ürünlerin alternatifleriyle değiştirilmesi</w:t>
      </w:r>
      <w:r>
        <w:t xml:space="preserve"> yönünde hazırlık yapılmasıdır. Ayrıca, bildirim yükümlülüğü doğuracak her türlü değişiklikte zamanında ve eksiksiz iletişim kurulması, uyumsuzluk hâlinde idari yaptırımlarla karşılaşmamak için hayati önemdedir.</w:t>
      </w:r>
    </w:p>
    <w:p w14:paraId="335AC4D7" w14:textId="77777777" w:rsidR="004207ED" w:rsidRDefault="00000000">
      <w:pPr>
        <w:rPr>
          <w:rStyle w:val="Strong"/>
        </w:rPr>
      </w:pPr>
      <w:r>
        <w:rPr>
          <w:rStyle w:val="Strong"/>
        </w:rPr>
        <w:t>“(ı) Siber güvenlik yazılım, donanım, ürün ve hizmetlerinin asgari güvenlik kriterlerini belirler. Bunları sağlayacak veya tedarik edecek gerçek ve tüzel kişilere yönelik sertifikasyon, yetkilendirme ve belgelendirme süreçlerini yönetir. Siber güvenlik yazılım, donanım, ürün ve hizmetlerinin belirlenecek standartlara uygun hale getirilmesini talep edebilir, bu talebe uyum sağlamayanların kullanılmasını önleyici tedbirler alabilir.”</w:t>
      </w:r>
    </w:p>
    <w:p w14:paraId="3C3E47E5" w14:textId="77777777" w:rsidR="004207ED" w:rsidRDefault="00000000">
      <w:r>
        <w:t xml:space="preserve">Bu yetki, Siber Güvenlik Başkanlığı’na hem kullanılan güvenlik çözümleri için </w:t>
      </w:r>
      <w:r>
        <w:rPr>
          <w:b/>
          <w:bCs/>
        </w:rPr>
        <w:t>asgari güvenlik standartlarını belirleme</w:t>
      </w:r>
      <w:r>
        <w:t xml:space="preserve"> hem de bu standartlara uymayan ürün ve hizmetlerin </w:t>
      </w:r>
      <w:r>
        <w:rPr>
          <w:b/>
          <w:bCs/>
        </w:rPr>
        <w:t>kullanımını engelleme</w:t>
      </w:r>
      <w:r>
        <w:t xml:space="preserve"> </w:t>
      </w:r>
      <w:r>
        <w:lastRenderedPageBreak/>
        <w:t xml:space="preserve">yetkisi vermektedir. Ayrıca, yazılım ve donanım sağlayıcıları ile hizmet sunucularına yönelik </w:t>
      </w:r>
      <w:r>
        <w:rPr>
          <w:b/>
          <w:bCs/>
        </w:rPr>
        <w:t>sertifikasyon ve belgelendirme süreçlerini yönetme</w:t>
      </w:r>
      <w:r>
        <w:t xml:space="preserve"> sorumluluğunu da içermektedir. </w:t>
      </w:r>
    </w:p>
    <w:p w14:paraId="3C58E339" w14:textId="77777777" w:rsidR="004207ED" w:rsidRDefault="00000000">
      <w:r>
        <w:t xml:space="preserve">Uygulamada, Başkanlık belli ürün grupları (ör. firewall, SIEM, antivirüs) için teknik uyumluluk şartları yayımlayabilir; bu şartlara uymayan veya gerekli belgelere sahip olmayan çözümlerin kullanımını durdurabilir. Bir kurumun bu kapsamda dikkat etmesi gereken temel hususlar; kurumdaki tüm güvenlik bileşenlerinin </w:t>
      </w:r>
      <w:r>
        <w:rPr>
          <w:b/>
          <w:bCs/>
        </w:rPr>
        <w:t>güncel mevzuata ve yayımlanan kriterlere uygunluğunu düzenli olarak denetlemek</w:t>
      </w:r>
      <w:r>
        <w:t xml:space="preserve">, tedarik sürecinde yalnızca </w:t>
      </w:r>
      <w:r>
        <w:rPr>
          <w:b/>
          <w:bCs/>
        </w:rPr>
        <w:t>sertifikalı ve yetkilendirilmiş firmalarla</w:t>
      </w:r>
      <w:r>
        <w:t xml:space="preserve"> çalışmak ve ürünlerin </w:t>
      </w:r>
      <w:r>
        <w:rPr>
          <w:b/>
          <w:bCs/>
        </w:rPr>
        <w:t>önceden sertifikasyon yükümlülüğü olup olmadığını kontrol etmektir</w:t>
      </w:r>
      <w:r>
        <w:t xml:space="preserve">. Ayrıca, Başkanlık tarafından yayımlanan standartlara uyum göstermeyen bir ürünün kullanımının engellenmesi, kritik hizmet kesintilerine yol açabileceğinden, </w:t>
      </w:r>
      <w:r>
        <w:rPr>
          <w:b/>
          <w:bCs/>
        </w:rPr>
        <w:t>alternatif ürün planlaması ve yedekleme stratejileri</w:t>
      </w:r>
      <w:r>
        <w:t xml:space="preserve"> mutlaka hazır bulundurulmalıdır.</w:t>
      </w:r>
    </w:p>
    <w:p w14:paraId="3911E30A" w14:textId="77777777" w:rsidR="004207ED" w:rsidRDefault="00000000">
      <w:r>
        <w:t xml:space="preserve">Bu madde kapsamında 2. ve 3. fıkralar uygulamada Siber Güvenlik Başkanlığı tarafından kurum sistemlerinden alınan log, veri, belge veya görsellerin içinde yer alabilecek kişisel verilerin </w:t>
      </w:r>
      <w:r>
        <w:rPr>
          <w:b/>
          <w:bCs/>
        </w:rPr>
        <w:t>KVKK ile tam uyumlu</w:t>
      </w:r>
      <w:r>
        <w:t xml:space="preserve"> biçimde korunması hususarını ortaya koymaktadır. Bu durum, güvenlik operasyonlarının yalnızca teknik değil </w:t>
      </w:r>
      <w:r>
        <w:rPr>
          <w:b/>
          <w:bCs/>
        </w:rPr>
        <w:t>hukuki boyutlarını da gözeterek</w:t>
      </w:r>
      <w:r>
        <w:t xml:space="preserve"> yönetilmesini, Başkanlıkla paylaşılacak verilerde </w:t>
      </w:r>
      <w:r>
        <w:rPr>
          <w:b/>
          <w:bCs/>
        </w:rPr>
        <w:t>kişisel veri ayrıştırması yapılmasını</w:t>
      </w:r>
      <w:r>
        <w:t xml:space="preserve">, veri imha politikalarının açık biçimde belirlenmesini ve bu işlemlerin kayıt altına alınmasını gerektirmektedir. </w:t>
      </w:r>
    </w:p>
    <w:p w14:paraId="7E3FCE98" w14:textId="77777777" w:rsidR="004207ED" w:rsidRDefault="00000000">
      <w:r>
        <w:t>Ayrıca, bu hükümlerin “</w:t>
      </w:r>
      <w:r>
        <w:rPr>
          <w:b/>
          <w:bCs/>
        </w:rPr>
        <w:t>detaylı” usul ve esasları Cumhurbaşkanlığı tarafından yayımlanacak yönetmelik ile belirleneceğinden</w:t>
      </w:r>
      <w:r>
        <w:t>, ikincil mevzuat yayınlandığında buna uygun revizyonlar yapmak da kritik önem taşımaktadır.</w:t>
      </w:r>
    </w:p>
    <w:p w14:paraId="70E5A6DC" w14:textId="77777777" w:rsidR="004207ED" w:rsidRDefault="00000000">
      <w:r>
        <w:t xml:space="preserve">EK-2’de yer alan Tablo, 6. madde kapsamında Siber Güvenlik Başkanlığı’na tanınan yetkileri, bu yetkilerin yasal anlamlarını, kurumlar üzerindeki pratik etkilerini ve bir bilgi güvenliği yöneticisi perspektifinden dikkat edilmesi gereken noktaları sistematik şekilde ortaya koymaktadır. </w:t>
      </w:r>
    </w:p>
    <w:p w14:paraId="353F39B0" w14:textId="77777777" w:rsidR="004207ED" w:rsidRDefault="00000000">
      <w:pPr>
        <w:pStyle w:val="Heading1"/>
      </w:pPr>
      <w:bookmarkStart w:id="22" w:name="_Toc197891006"/>
      <w:bookmarkStart w:id="23" w:name="_Toc198556986"/>
      <w:r>
        <w:t>KURUMSAL VE BİREYSEL SORUMLULUKLAR (MADDE 7)</w:t>
      </w:r>
      <w:bookmarkEnd w:id="22"/>
      <w:bookmarkEnd w:id="23"/>
    </w:p>
    <w:p w14:paraId="5594E0D7" w14:textId="77777777" w:rsidR="004207ED" w:rsidRDefault="00000000">
      <w:r>
        <w:t xml:space="preserve">Kanun, hem kamu kurumlarının hem de özel sektörün siber güvenlik alanında aktif yükümlülükler üstlenmesini sağlamaktadır. Bu madde Kanun kapsamındaki kurum, kuruluş ve kişilere getirilen doğrudan sorumlulukları ve Siber Güvenlik Başkanlığı ile olan iş birliği yükümlülüklerini tanımlamakta, Başkanlığın görevlerini yerine getirebilmesi için kapsamdaki tüm aktörlerden ne beklediğini yasal zemine oturtmaktadır. </w:t>
      </w:r>
    </w:p>
    <w:p w14:paraId="4B827205" w14:textId="77777777" w:rsidR="004207ED" w:rsidRDefault="00000000">
      <w:r>
        <w:t xml:space="preserve">Birinci fıkra kapsamında tüm aktörlere ilişkin sorumlulukları belirlerken c bendinde </w:t>
      </w:r>
      <w:r>
        <w:rPr>
          <w:b/>
          <w:bCs/>
        </w:rPr>
        <w:t>kamu kurumları ve kuruluşları ile kritik altyapılarda kullanılacak</w:t>
      </w:r>
      <w:r>
        <w:t xml:space="preserve"> siber güvenlik ürün, sistem ve hizmetlerin kimlerden tedarik edileceğini de açıkça ortaya koymuştur.</w:t>
      </w:r>
    </w:p>
    <w:p w14:paraId="665D0274" w14:textId="77777777" w:rsidR="004207ED" w:rsidRDefault="00000000">
      <w:r>
        <w:t xml:space="preserve">İkinci fıkrada, Başkanlık’ın tüm aktörlerle </w:t>
      </w:r>
      <w:r>
        <w:rPr>
          <w:b/>
          <w:bCs/>
        </w:rPr>
        <w:t>eşgüdümlü çalışması gerektiği</w:t>
      </w:r>
      <w:r>
        <w:t xml:space="preserve"> vurgulanmaktadır. Bu da Başkanlığın düzenleyici otorite rolüne rağmen operasyonel düzeyde karşılıklı iletişim ve iş birliğini ön planda tutması gerektiğini ifade etmektedir.</w:t>
      </w:r>
    </w:p>
    <w:p w14:paraId="193417C6" w14:textId="77777777" w:rsidR="004207ED" w:rsidRDefault="00000000">
      <w:r>
        <w:t>Birinci fıkra kapsamında aktörlere yüklenen sorumlulukları detaylandıralım;</w:t>
      </w:r>
    </w:p>
    <w:p w14:paraId="7E80D587" w14:textId="77777777" w:rsidR="004207ED" w:rsidRDefault="00000000">
      <w:pPr>
        <w:rPr>
          <w:rStyle w:val="Strong"/>
        </w:rPr>
      </w:pPr>
      <w:r>
        <w:rPr>
          <w:rStyle w:val="Strong"/>
        </w:rPr>
        <w:t>“a) Başkanlığın görev ve faaliyetleri kapsamında talep ettiği her türlü veri, bilgi, belge, donanım, yazılım ve diğer her türlü katkıyı öncelikle ve zamanında Başkanlığa iletmek.”</w:t>
      </w:r>
    </w:p>
    <w:p w14:paraId="2F8C8AA3" w14:textId="77777777" w:rsidR="004207ED" w:rsidRDefault="00000000">
      <w:r>
        <w:t xml:space="preserve">Bu hüküm, kanun kapsamındaki tüm aktörlere, Siber Güvenlik Başkanlığı'nın görevlerini yerine getirebilmesi amacıyla talep ettiği her türlü bilgi ve kaynağı </w:t>
      </w:r>
      <w:r>
        <w:rPr>
          <w:b/>
          <w:bCs/>
        </w:rPr>
        <w:t>öncelik vererek, gecikmeksizin sağlama yükümlülüğü</w:t>
      </w:r>
      <w:r>
        <w:t xml:space="preserve"> getirmektedir. </w:t>
      </w:r>
      <w:r>
        <w:rPr>
          <w:rStyle w:val="Strong"/>
        </w:rPr>
        <w:t>“Öncelikle ve zamanında”</w:t>
      </w:r>
      <w:r>
        <w:t xml:space="preserve"> ifadesi, bilgi paylaşımının hiyerarşik değil, öncelikli ve acil görüldüğü durumlarda anında gerçekleşmesi gerektiğini vurgulamaktadır.</w:t>
      </w:r>
    </w:p>
    <w:p w14:paraId="3DAF6CF3" w14:textId="77777777" w:rsidR="004207ED" w:rsidRDefault="00000000">
      <w:r>
        <w:lastRenderedPageBreak/>
        <w:t>Kurumlara; sistem topolojileri, iz kayıtları, zafiyet raporları, envanter bilgileri, risk analizleri, yazılım bileşenleri, donanım envanteri gibi bilgilerin iletilmesi yönünde resmi talepler ulaşabilir. Bu taleplerin zamanında ve eksiksiz yanıtlanması gereklidir.</w:t>
      </w:r>
    </w:p>
    <w:p w14:paraId="0DF38909" w14:textId="77777777" w:rsidR="004207ED" w:rsidRDefault="00000000">
      <w:pPr>
        <w:rPr>
          <w:rStyle w:val="Strong"/>
        </w:rPr>
      </w:pPr>
      <w:r>
        <w:rPr>
          <w:rStyle w:val="Strong"/>
        </w:rPr>
        <w:t>“b) Siber güvenliğe yönelik olarak millî güvenlik, kamu düzeni veya kamu hizmetinin gereği gibi yürütülmesi amacıyla mevzuatın öngördüğü tedbirleri almak, hizmet sundukları alanda tespit ettikleri zafiyet veya siber olayları gecikmeksizin Başkanlığa bildirmek.”</w:t>
      </w:r>
    </w:p>
    <w:p w14:paraId="52DCE12E" w14:textId="77777777" w:rsidR="004207ED" w:rsidRDefault="00000000">
      <w:r>
        <w:t>Bu bent, kurumlara iki temel yükümlülük getirmektedir;</w:t>
      </w:r>
    </w:p>
    <w:p w14:paraId="7EB7836A" w14:textId="77777777" w:rsidR="004207ED" w:rsidRDefault="00000000">
      <w:pPr>
        <w:pStyle w:val="Bullet"/>
      </w:pPr>
      <w:r>
        <w:t xml:space="preserve">Mevzuatta belirtilen siber güvenlik </w:t>
      </w:r>
      <w:r>
        <w:rPr>
          <w:b/>
          <w:bCs/>
        </w:rPr>
        <w:t>tedbirlerini almak</w:t>
      </w:r>
      <w:r>
        <w:t xml:space="preserve"> ve</w:t>
      </w:r>
    </w:p>
    <w:p w14:paraId="61397450" w14:textId="77777777" w:rsidR="004207ED" w:rsidRDefault="00000000">
      <w:pPr>
        <w:pStyle w:val="Bullet"/>
      </w:pPr>
      <w:r>
        <w:t xml:space="preserve">Hizmet verdikleri alanda ortaya çıkan </w:t>
      </w:r>
      <w:r>
        <w:rPr>
          <w:b/>
          <w:bCs/>
        </w:rPr>
        <w:t>zafiyetleri</w:t>
      </w:r>
      <w:r>
        <w:t xml:space="preserve"> ya da gerçekleşmiş </w:t>
      </w:r>
      <w:r>
        <w:rPr>
          <w:b/>
          <w:bCs/>
        </w:rPr>
        <w:t>siber olayları</w:t>
      </w:r>
      <w:r>
        <w:t xml:space="preserve"> </w:t>
      </w:r>
      <w:r>
        <w:rPr>
          <w:b/>
          <w:bCs/>
        </w:rPr>
        <w:t>derhal</w:t>
      </w:r>
      <w:r>
        <w:t xml:space="preserve"> Başkanlığa bildirmek.</w:t>
      </w:r>
    </w:p>
    <w:p w14:paraId="7430162C" w14:textId="77777777" w:rsidR="004207ED" w:rsidRDefault="00000000">
      <w:r>
        <w:t xml:space="preserve">Uygulamada bildirim sorumluluğu kurumların </w:t>
      </w:r>
      <w:r>
        <w:rPr>
          <w:b/>
          <w:bCs/>
        </w:rPr>
        <w:t>hizmet sundukları tüm dijital alanlarda</w:t>
      </w:r>
      <w:r>
        <w:t xml:space="preserve"> meydana gelen veya potansiyel olarak meydana gelebilecek siber zafiyetleri ve olayları kapsamaktadır. Hizmet alanı; kurumun sunduğu dijital platformlar, müşteri arayüzleri, dağıtılan donanımlar, mobil uygulamalar, bulut hizmetleri, API’ler gibi kullanıcıya veya üçüncü taraflara erişim sağlayan tüm yapıları içerebilir. Dolayısıyla, kurumlar yalnızca iç altyapılarında değil, dışa açık hizmet bileşenlerinde de güvenlik gözetimi yapmak ve bu alanlarda tespit ettikleri her türlü risk unsurunu gecikmeksizin bildirmekle yükümlüdür. </w:t>
      </w:r>
    </w:p>
    <w:p w14:paraId="73CF9283" w14:textId="77777777" w:rsidR="004207ED" w:rsidRDefault="00000000">
      <w:pPr>
        <w:rPr>
          <w:rStyle w:val="Strong"/>
        </w:rPr>
      </w:pPr>
      <w:r>
        <w:rPr>
          <w:rStyle w:val="Strong"/>
        </w:rPr>
        <w:t>“c) Kamu kurumları ve kuruluşları ile kritik altyapılarda kullanılacak siber güvenlik ürün, sistem ve hizmetleri Başkanlık tarafından yetkilendirilmiş ve belgelendirilmiş siber güvenlik uzmanlarından, üreticilerden veya şirketlerden tedarik etmek.”</w:t>
      </w:r>
    </w:p>
    <w:p w14:paraId="7D34A798" w14:textId="77777777" w:rsidR="004207ED" w:rsidRDefault="00000000">
      <w:r>
        <w:t xml:space="preserve">Bu hüküm, siber güvenlik ürünlerinin ve hizmet sağlayıcılarının belirli bir resmî yeterlilikten geçmiş olması gerektiğini hükme bağlamaktadır. </w:t>
      </w:r>
      <w:r>
        <w:rPr>
          <w:b/>
          <w:bCs/>
        </w:rPr>
        <w:t xml:space="preserve">Kamu kurumları ve kritik altyapıların </w:t>
      </w:r>
      <w:r>
        <w:t xml:space="preserve">yalnızca Siber Güvenlik Başkanlığı tarafından yetkilendirilmiş kişi veya kuruluşlardan güvenlik hizmeti alabileceği açıkça ortaya konulmuştur. </w:t>
      </w:r>
    </w:p>
    <w:p w14:paraId="680E63BC" w14:textId="77777777" w:rsidR="004207ED" w:rsidRDefault="00000000">
      <w:r>
        <w:t>Bununla birlikte Madde 6/ı bendi ile bu hüküm beraber incelendiğinde sadece kamu kurumları ve kritik altyapı işletenlerin değil, tüm aktörlerin Siber Güvenlik Başkanlığı tarafından yetkilendirilmiş kişi veya kuruluşlardan hizmet alma yükümlülüğü olabileceği yönünde yorumlar ortaya çıkabilir. Ancak bu konuda dikkatle ayrım yapılmalıdır.</w:t>
      </w:r>
    </w:p>
    <w:p w14:paraId="0B150455" w14:textId="77777777" w:rsidR="004207ED" w:rsidRDefault="00000000">
      <w:r>
        <w:t>Bu madde açıkça “</w:t>
      </w:r>
      <w:r>
        <w:rPr>
          <w:b/>
          <w:bCs/>
          <w:i/>
          <w:iCs/>
        </w:rPr>
        <w:t>kamu kurumları ve kuruluşları ile kritik altyapılar</w:t>
      </w:r>
      <w:r>
        <w:t xml:space="preserve">” ibaresini kullanmaktadır. Yalnızca bu iki grup için Başkanlık tarafından yetkilendirilmiş kişi veya kuruluşlardan hizmet alınmasını açıkça zorunlu kılar. </w:t>
      </w:r>
    </w:p>
    <w:p w14:paraId="4053ECF9" w14:textId="77777777" w:rsidR="004207ED" w:rsidRDefault="00000000">
      <w:r>
        <w:t>Madde 6/ı ise daha genel bir hüküm getirir:</w:t>
      </w:r>
    </w:p>
    <w:p w14:paraId="6EB6D9DB" w14:textId="77777777" w:rsidR="004207ED" w:rsidRDefault="00000000">
      <w:pPr>
        <w:rPr>
          <w:rStyle w:val="Strong"/>
        </w:rPr>
      </w:pPr>
      <w:r>
        <w:rPr>
          <w:rStyle w:val="Strong"/>
        </w:rPr>
        <w:t>“…siber güvenlik ürün, sistem, yazılım, donanım ve hizmetlerinin… tedarik edecek gerçek ve tüzel kişilere yönelik sertifikasyon, yetkilendirme ve belgelendirme süreçlerini yönetir…”</w:t>
      </w:r>
    </w:p>
    <w:p w14:paraId="77D098BF" w14:textId="77777777" w:rsidR="004207ED" w:rsidRDefault="00000000">
      <w:r>
        <w:t xml:space="preserve">Bu ifade, tüm aktörlere yönelik bir düzenleme altyapısı sunar ancak </w:t>
      </w:r>
      <w:r>
        <w:rPr>
          <w:b/>
          <w:bCs/>
          <w:i/>
          <w:iCs/>
        </w:rPr>
        <w:t>zorunluluk değil</w:t>
      </w:r>
      <w:r>
        <w:t>, Başkanlık’a verilen bir yetki ve düzenleme alanıdır.</w:t>
      </w:r>
    </w:p>
    <w:p w14:paraId="1880D0B3" w14:textId="77777777" w:rsidR="004207ED" w:rsidRDefault="00000000">
      <w:r>
        <w:t>Sonuç olarak ileride genişleme potansiyeli bakımından g</w:t>
      </w:r>
      <w:r>
        <w:rPr>
          <w:i/>
          <w:iCs/>
        </w:rPr>
        <w:t>erçek ve tüzel kişilere dair</w:t>
      </w:r>
      <w:r>
        <w:t xml:space="preserve"> yükümlülükler, Başkanlık tarafından Madde 6/ı dayanak alınarak çıkarılacak </w:t>
      </w:r>
      <w:r>
        <w:rPr>
          <w:b/>
          <w:bCs/>
        </w:rPr>
        <w:t>ikincil düzenlemeler ile netleştirilebilir</w:t>
      </w:r>
      <w:r>
        <w:t>.</w:t>
      </w:r>
    </w:p>
    <w:p w14:paraId="20D31981" w14:textId="77777777" w:rsidR="004207ED" w:rsidRDefault="00000000">
      <w:pPr>
        <w:rPr>
          <w:rStyle w:val="Strong"/>
        </w:rPr>
      </w:pPr>
      <w:r>
        <w:rPr>
          <w:rStyle w:val="Strong"/>
        </w:rPr>
        <w:t>“ç) Sertifikasyon, yetkilendirme ve belgelendirmeye tabi siber güvenlik şirketlerince faaliyete başlamadan önce mevcut düzenlemeler çerçevesinde Başkanlığın onayını almak.”</w:t>
      </w:r>
    </w:p>
    <w:p w14:paraId="5D861F5C" w14:textId="77777777" w:rsidR="004207ED" w:rsidRDefault="00000000">
      <w:pPr>
        <w:rPr>
          <w:i/>
          <w:iCs/>
        </w:rPr>
      </w:pPr>
      <w:r>
        <w:t xml:space="preserve">Bu hüküm, siber güvenlik alanında hizmet vermek isteyen şirketlerin faaliyete geçmeden önce Siber Güvenlik Başkanlığı'ndan onay alma zorunluluğunu getirir. Ancak bu zorunluluk, yalnızca sertifikasyon, </w:t>
      </w:r>
      <w:r>
        <w:lastRenderedPageBreak/>
        <w:t>yetkilendirme veya belgelendirme gibi resmî süreçlere tabi olacak şekilde tanımlanmış şirketler için geçerlidir.</w:t>
      </w:r>
    </w:p>
    <w:p w14:paraId="7D6E00C8" w14:textId="77777777" w:rsidR="004207ED" w:rsidRDefault="00000000">
      <w:r>
        <w:t xml:space="preserve">Siber güvenlik hizmeti veren bir firma (örneğin danışmanlık, test, denetim, ürün geliştirme vb.) </w:t>
      </w:r>
      <w:r>
        <w:rPr>
          <w:b/>
          <w:bCs/>
        </w:rPr>
        <w:t>resmî sertifikasyon ya da yetkilendirme süreçlerine tabi olacaksa</w:t>
      </w:r>
      <w:r>
        <w:t xml:space="preserve">, Başkanlık onayı olmadan faaliyete başlayamaz. Bu ifade, </w:t>
      </w:r>
      <w:r>
        <w:rPr>
          <w:b/>
          <w:bCs/>
        </w:rPr>
        <w:t>her siber güvenlik şirketinin değil</w:t>
      </w:r>
      <w:r>
        <w:t xml:space="preserve">, yalnızca </w:t>
      </w:r>
      <w:r>
        <w:rPr>
          <w:b/>
          <w:bCs/>
        </w:rPr>
        <w:t>Siber Güvenlik Başkanlığı’nın düzenlemeleriyle açıkça belirlenmiş</w:t>
      </w:r>
      <w:r>
        <w:t xml:space="preserve"> alanlarda faaliyet gösteren şirketlerin, </w:t>
      </w:r>
      <w:r>
        <w:rPr>
          <w:b/>
          <w:bCs/>
        </w:rPr>
        <w:t>faaliyete başlamadan önce Başkanlık onayı almasını</w:t>
      </w:r>
      <w:r>
        <w:t xml:space="preserve"> zorunlu kılmaktadır. Yani bu bir </w:t>
      </w:r>
      <w:r>
        <w:rPr>
          <w:b/>
          <w:bCs/>
        </w:rPr>
        <w:t>kapsam sınırlayıcısıdır.</w:t>
      </w:r>
    </w:p>
    <w:p w14:paraId="0020FC3C" w14:textId="77777777" w:rsidR="004207ED" w:rsidRDefault="00000000">
      <w:pPr>
        <w:rPr>
          <w:rStyle w:val="Strong"/>
        </w:rPr>
      </w:pPr>
      <w:r>
        <w:rPr>
          <w:rStyle w:val="Strong"/>
        </w:rPr>
        <w:t>“d) Siber olgunluğun artırılmasına yönelik Başkanlık tarafından geliştirilen politika, strateji, eylem planı ile yayımlanan diğer düzenleyici işlemlerde yer alan hususları yerine getirmek ve gerekli tedbirleri almak.”</w:t>
      </w:r>
    </w:p>
    <w:p w14:paraId="0C793BC7" w14:textId="77777777" w:rsidR="004207ED" w:rsidRDefault="00000000">
      <w:pPr>
        <w:rPr>
          <w:b/>
          <w:bCs/>
        </w:rPr>
      </w:pPr>
      <w:r>
        <w:t xml:space="preserve">Bu hüküm, tüm kanun kapsamındaki kurum ve kuruluşlara, </w:t>
      </w:r>
      <w:r>
        <w:rPr>
          <w:b/>
          <w:bCs/>
        </w:rPr>
        <w:t>Siber Güvenlik Başkanlığı'nın hazırladığı stratejik belgelerdeki ilke ve hedefleri hayata geçirme yükümlülüğü</w:t>
      </w:r>
      <w:r>
        <w:t xml:space="preserve"> getirir. Bu sadece yasal metinlerle sınırlı değil; Başkanlık tarafından yayımlanacak olan politikalar, stratejiler, eylem planları, rehberler ve talimatlar gibi düzenleyici işlemler ile getirilecek tüm ilke ve hedeflerin kurum içinde uygulanmasını zorunlu kılmaktadır. Başkanlık tarafından yayımlanacak bu düzenleyici işlemlerin kurumsal düzeyde uygulanması artık </w:t>
      </w:r>
      <w:r>
        <w:rPr>
          <w:b/>
          <w:bCs/>
        </w:rPr>
        <w:t>bir iyi niyet değil, yasal bir yükümlülüktür.</w:t>
      </w:r>
    </w:p>
    <w:p w14:paraId="21F6FAB1" w14:textId="77777777" w:rsidR="004207ED" w:rsidRDefault="00000000">
      <w:r>
        <w:t>Madde 7 kapsamında kurumların yerine getirmesi gereken sorumlulukları, ilgili aktörleri ve ikincil düzenlemelerle ortaya çıkabilecek yükümlülükleri içeren detaylı tablo  EK-3’te sunulmuştur.</w:t>
      </w:r>
    </w:p>
    <w:p w14:paraId="1AFC1F67" w14:textId="77777777" w:rsidR="004207ED" w:rsidRDefault="00000000">
      <w:pPr>
        <w:pStyle w:val="Heading1"/>
      </w:pPr>
      <w:bookmarkStart w:id="24" w:name="_Toc197891007"/>
      <w:bookmarkStart w:id="25" w:name="_Toc198556987"/>
      <w:r>
        <w:t>BAŞKANLIK TARAFINDAN DENETİM (MADDE 8)</w:t>
      </w:r>
      <w:bookmarkEnd w:id="24"/>
      <w:bookmarkEnd w:id="25"/>
    </w:p>
    <w:p w14:paraId="554D651B" w14:textId="77777777" w:rsidR="004207ED" w:rsidRDefault="00000000">
      <w:pPr>
        <w:rPr>
          <w:b/>
          <w:bCs/>
        </w:rPr>
      </w:pPr>
      <w:r>
        <w:t xml:space="preserve">Bu madde Başkanlığın denetim yetkisini ve denetim sürecine katılacak aktörleri tanımlamaktadır. Bu maddeye göre Siber Güvenlik Başkanlığı, Kanun kapsamına giren tüm kurum, kuruluş, gerçek ve tüzel kişiler ile tüzel kişiliği bulunmayan yapılar üzerinde </w:t>
      </w:r>
      <w:r>
        <w:rPr>
          <w:b/>
          <w:bCs/>
        </w:rPr>
        <w:t>gerekli gördüğü hallerde, gerekirse  mahallinde, denetim</w:t>
      </w:r>
      <w:r>
        <w:t xml:space="preserve"> yapabilir.</w:t>
      </w:r>
    </w:p>
    <w:p w14:paraId="152CA539" w14:textId="77777777" w:rsidR="004207ED" w:rsidRDefault="00000000">
      <w:r>
        <w:t xml:space="preserve">Denetim yetkisi hem Başkanlık personelinde hem de yetkilendirilmiş bağımsız denetçilerde bulunabilir. Bununla birliklte denetimlerde özel sektör kuruluşlarında yetkilendirilmiş bağımsız denetçilerin tek başına denetim yapabilmesine karşın, genel uygulamanın aksine </w:t>
      </w:r>
      <w:r>
        <w:rPr>
          <w:b/>
          <w:bCs/>
        </w:rPr>
        <w:t>kamu ve kritik altyapılarda mutlaka Siber Güvenlik Başkanlığı personelinin doğrudan yer alacağını zorunlu kılınmıştır.</w:t>
      </w:r>
    </w:p>
    <w:p w14:paraId="6CCB46C8" w14:textId="77777777" w:rsidR="004207ED" w:rsidRDefault="00000000">
      <w:r>
        <w:t xml:space="preserve">Denetimler, önceden belirlenen programlara göre yürütülebileceği gibi, gerektiğinde program dışı olarak da yapılabilir. </w:t>
      </w:r>
    </w:p>
    <w:p w14:paraId="4D676702" w14:textId="77777777" w:rsidR="004207ED" w:rsidRDefault="00000000">
      <w:r>
        <w:t xml:space="preserve">Bu maddenin 3. fıkrası Siber Güvenlik Başkanlığı’nın denetim görevini sahada yerine getirebilmesini kolaylaştırmak amacıyla, </w:t>
      </w:r>
      <w:r>
        <w:rPr>
          <w:b/>
          <w:bCs/>
        </w:rPr>
        <w:t>yerel ve merkezi kamu otoritelerine bir destek yükümlülüğü</w:t>
      </w:r>
      <w:r>
        <w:t xml:space="preserve"> getirmektedir. Bu düzenleme, siber güvenlik denetimi sırasında görevli olan Başkanlık personelinin veya yetkilendirilmiş denetçilerin </w:t>
      </w:r>
      <w:r>
        <w:rPr>
          <w:b/>
          <w:bCs/>
        </w:rPr>
        <w:t xml:space="preserve">engellenmemesi, idari, fiziki veya güvenlik kaynaklı zorluklarla karşılaşmaması </w:t>
      </w:r>
      <w:r>
        <w:t>ve</w:t>
      </w:r>
      <w:r>
        <w:rPr>
          <w:b/>
          <w:bCs/>
        </w:rPr>
        <w:t xml:space="preserve"> yerel otoritelerden destek alabilmesi</w:t>
      </w:r>
      <w:r>
        <w:t xml:space="preserve"> için bir </w:t>
      </w:r>
      <w:r>
        <w:rPr>
          <w:b/>
          <w:bCs/>
        </w:rPr>
        <w:t>idari-emredici destek mekanizması</w:t>
      </w:r>
      <w:r>
        <w:t xml:space="preserve"> kurmaktadır. Bu mekanizma kurumların denetime direnç göstermesi, kritik veri odalarına erişimin engellenmesi ve fiziksel alanlara girilememesi gibi durumlarda devreye girecektir. Bu durum siber güvenlik olayları genellikle zaman kritikliği barındırdığından, Başkanlığın bu tür durumlarda mülki ve kolluk desteğini hızlıca alarak müdahale etmesini mümkün kılmaktadır.</w:t>
      </w:r>
    </w:p>
    <w:p w14:paraId="12E7976A" w14:textId="77777777" w:rsidR="004207ED" w:rsidRDefault="00000000">
      <w:r>
        <w:t xml:space="preserve">Uygulamada, denetimle görevlendirilen kişilere sağlanacak yardımlar çok çeşitli olabilir. Mülki amirler (vali veya kaymakam), denetimin sağlıklı yürütülebilmesi için ilgili kamu kurumlarına resmi yazı göndererek gerekli erişim, bilgi paylaşımı ve iş birliği yükümlülüklerini hatırlatabilir. Kolluk kuvvetleri (polis veya jandarma) ise özellikle fiziksel erişimin engellendiği ya da güvenliğin sağlanması gereken durumlarda denetim ekiplerine refakat ederek destek verebilir. Diğer kamu kurumlarının amir ve </w:t>
      </w:r>
      <w:r>
        <w:lastRenderedPageBreak/>
        <w:t xml:space="preserve">memurları da denetim sürecinde dijital sistemlere erişimin sağlanması, arşivlere ulaşılması, belge sunumu, teknik personel desteği gibi operasyonel düzeyde kolaylaştırıcı rol oynayabilir. </w:t>
      </w:r>
    </w:p>
    <w:p w14:paraId="59A86F42" w14:textId="77777777" w:rsidR="004207ED" w:rsidRDefault="00000000">
      <w:r>
        <w:t>Bu kapsamda, kamu kurumları ve kritik altyapı işletmeleri başta olmak üzere tüm aktörler, Başkanlık tarafından yapılacak denetimlerde;</w:t>
      </w:r>
    </w:p>
    <w:p w14:paraId="2DC12832" w14:textId="77777777" w:rsidR="004207ED" w:rsidRDefault="00000000">
      <w:pPr>
        <w:pStyle w:val="Bullet"/>
      </w:pPr>
      <w:r>
        <w:t xml:space="preserve">Her türlü kolaylığı göstermek ve yardımda bulunmak, </w:t>
      </w:r>
    </w:p>
    <w:p w14:paraId="662FCB3F" w14:textId="77777777" w:rsidR="004207ED" w:rsidRDefault="00000000">
      <w:pPr>
        <w:pStyle w:val="Bullet"/>
      </w:pPr>
      <w:r>
        <w:t>Sistemlere erişim izni vermek,</w:t>
      </w:r>
    </w:p>
    <w:p w14:paraId="52951BDC" w14:textId="77777777" w:rsidR="004207ED" w:rsidRDefault="00000000">
      <w:pPr>
        <w:pStyle w:val="Bullet"/>
      </w:pPr>
      <w:r>
        <w:t>Bilgi, belge ve kayıtları paylaşmak,</w:t>
      </w:r>
    </w:p>
    <w:p w14:paraId="3D5A96F2" w14:textId="77777777" w:rsidR="004207ED" w:rsidRDefault="00000000">
      <w:pPr>
        <w:pStyle w:val="Bullet"/>
      </w:pPr>
      <w:r>
        <w:t>İlgili sistemleri açık ve işler halde tutmak,</w:t>
      </w:r>
    </w:p>
    <w:p w14:paraId="575D9B74" w14:textId="77777777" w:rsidR="004207ED" w:rsidRDefault="00000000">
      <w:pPr>
        <w:pStyle w:val="Bullet"/>
      </w:pPr>
      <w:r>
        <w:t>Fiziksel veya dijital ortamda talep edilen örnekleri sağlamakla yükümlüdür.</w:t>
      </w:r>
    </w:p>
    <w:p w14:paraId="3D218D4E" w14:textId="77777777" w:rsidR="004207ED" w:rsidRDefault="00000000">
      <w:r>
        <w:t>Maddenin 5. fıkrası devletin siber güvenlik denetimindeki müdahale yetkilerini, özellikle arama, kopyalama ve el koyma işlemleri bağlamında düzenlemektedir. Bu fıkra, adli kontrol, idari denetim, özel hayatın gizliliği ve veri güvenliği gibi çok boyutlu konuları aynı anda ilgilendirmektedir. Bu maddeye göre, milli güvenlik, kamu düzeni, suç işlenmesinin veya siber saldırıların önlenmesi amacıyla;</w:t>
      </w:r>
    </w:p>
    <w:p w14:paraId="4B36ACD9" w14:textId="77777777" w:rsidR="004207ED" w:rsidRDefault="00000000">
      <w:r>
        <w:t xml:space="preserve">Konut, işyeri ve kamuya açık olmayan kapalı alanlarda </w:t>
      </w:r>
      <w:r>
        <w:rPr>
          <w:b/>
          <w:bCs/>
        </w:rPr>
        <w:t>arama</w:t>
      </w:r>
      <w:r>
        <w:t xml:space="preserve">, fiziksel ya da dijital ortamda bulunan her türlü veri, log, belge, cihaz vs. üzerinde </w:t>
      </w:r>
      <w:r>
        <w:rPr>
          <w:b/>
          <w:bCs/>
        </w:rPr>
        <w:t>kopyalama</w:t>
      </w:r>
      <w:r>
        <w:t xml:space="preserve"> ve </w:t>
      </w:r>
      <w:r>
        <w:rPr>
          <w:b/>
          <w:bCs/>
        </w:rPr>
        <w:t>el koyma</w:t>
      </w:r>
      <w:r>
        <w:t xml:space="preserve"> işlemleri uygulanabilir. </w:t>
      </w:r>
    </w:p>
    <w:p w14:paraId="0B91CD90" w14:textId="77777777" w:rsidR="004207ED" w:rsidRDefault="00000000">
      <w:pPr>
        <w:rPr>
          <w:rStyle w:val="Strong"/>
        </w:rPr>
      </w:pPr>
      <w:r>
        <w:rPr>
          <w:rStyle w:val="Strong"/>
        </w:rPr>
        <w:t>Hâkim Kararı ile Müdahale (Olağan Yol);</w:t>
      </w:r>
    </w:p>
    <w:p w14:paraId="7387C0C9" w14:textId="77777777" w:rsidR="004207ED" w:rsidRDefault="00000000">
      <w:r>
        <w:t xml:space="preserve">Normal şartlarda bu tür müdahaleler ancak </w:t>
      </w:r>
      <w:r>
        <w:rPr>
          <w:b/>
          <w:bCs/>
        </w:rPr>
        <w:t>hâkim kararı ile yapılabilir</w:t>
      </w:r>
      <w:r>
        <w:t>. İşlemin yapılabilmesi için:</w:t>
      </w:r>
    </w:p>
    <w:p w14:paraId="39FBD70E" w14:textId="77777777" w:rsidR="004207ED" w:rsidRDefault="00000000">
      <w:pPr>
        <w:pStyle w:val="Bullet"/>
      </w:pPr>
      <w:r>
        <w:t>Makul sebeplerin oluşması gerekir.</w:t>
      </w:r>
    </w:p>
    <w:p w14:paraId="0D760DA1" w14:textId="77777777" w:rsidR="004207ED" w:rsidRDefault="00000000">
      <w:pPr>
        <w:pStyle w:val="Bullet"/>
      </w:pPr>
      <w:r>
        <w:t>Bu sebeplerin gerekçeleriyle açıkça gösterilmesi zorunludur.</w:t>
      </w:r>
    </w:p>
    <w:p w14:paraId="04F58F4A" w14:textId="77777777" w:rsidR="004207ED" w:rsidRDefault="00000000">
      <w:pPr>
        <w:rPr>
          <w:rStyle w:val="Strong"/>
        </w:rPr>
      </w:pPr>
      <w:r>
        <w:rPr>
          <w:rStyle w:val="Strong"/>
        </w:rPr>
        <w:t>Gecikmesinde Sakınca Bulunan Haller (İstisnai Yol);</w:t>
      </w:r>
    </w:p>
    <w:p w14:paraId="5B86CD64" w14:textId="77777777" w:rsidR="004207ED" w:rsidRDefault="00000000">
      <w:r>
        <w:t xml:space="preserve">Gecikme durumunda </w:t>
      </w:r>
      <w:r>
        <w:rPr>
          <w:b/>
          <w:bCs/>
        </w:rPr>
        <w:t>Cumhuriyet savcısının yazılı emri ile</w:t>
      </w:r>
      <w:r>
        <w:t xml:space="preserve"> de işlem yapılabilir. Ancak:</w:t>
      </w:r>
    </w:p>
    <w:p w14:paraId="5D82686B" w14:textId="77777777" w:rsidR="004207ED" w:rsidRDefault="00000000">
      <w:pPr>
        <w:pStyle w:val="Bullet"/>
      </w:pPr>
      <w:r>
        <w:rPr>
          <w:b/>
          <w:bCs/>
        </w:rPr>
        <w:t>24 saat içinde</w:t>
      </w:r>
      <w:r>
        <w:t xml:space="preserve"> hâkim onayına sunulmak zorundadır.</w:t>
      </w:r>
    </w:p>
    <w:p w14:paraId="6EECAAB5" w14:textId="77777777" w:rsidR="004207ED" w:rsidRDefault="00000000">
      <w:pPr>
        <w:pStyle w:val="Bullet"/>
      </w:pPr>
      <w:r>
        <w:t xml:space="preserve">Hâkim de </w:t>
      </w:r>
      <w:r>
        <w:rPr>
          <w:b/>
          <w:bCs/>
        </w:rPr>
        <w:t>48 saat içinde</w:t>
      </w:r>
      <w:r>
        <w:t xml:space="preserve"> kararını vermelidir.</w:t>
      </w:r>
    </w:p>
    <w:p w14:paraId="085DD9CB" w14:textId="77777777" w:rsidR="004207ED" w:rsidRDefault="00000000">
      <w:pPr>
        <w:pStyle w:val="Bullet"/>
      </w:pPr>
      <w:r>
        <w:t>Karar verilmezse işlem geçersiz sayılır, çıkarılan kopyalar derhal imha edilir ve el koyma kendiliğinden kalkar.</w:t>
      </w:r>
    </w:p>
    <w:p w14:paraId="1378F3ED" w14:textId="77777777" w:rsidR="004207ED" w:rsidRDefault="00000000">
      <w:pPr>
        <w:rPr>
          <w:rStyle w:val="Strong"/>
        </w:rPr>
      </w:pPr>
      <w:r>
        <w:rPr>
          <w:rStyle w:val="Strong"/>
        </w:rPr>
        <w:t>Veri Merkezleri Özel Durumu;</w:t>
      </w:r>
    </w:p>
    <w:p w14:paraId="223280E6" w14:textId="77777777" w:rsidR="004207ED" w:rsidRDefault="00000000">
      <w:pPr>
        <w:pStyle w:val="Bullet"/>
      </w:pPr>
      <w:r>
        <w:t>Yetkilendirilmiş veri merkezi işletmecilerinin veri merkezlerinde, bu tür müdahaleler yalnızca hâkim kararı ile yapılabilir. Burada savcı emriyle müdahale mümkün değildir.</w:t>
      </w:r>
    </w:p>
    <w:p w14:paraId="0687BB12" w14:textId="77777777" w:rsidR="004207ED" w:rsidRDefault="00000000">
      <w:pPr>
        <w:pStyle w:val="Bullet"/>
      </w:pPr>
      <w:r>
        <w:t>Bu düzenleme, veri merkezlerinin özel hassasiyeti ve orada barındırılan çok sayıda üçüncü şahıs verisinin korunması amacıyla getirilmiştir.</w:t>
      </w:r>
    </w:p>
    <w:p w14:paraId="202047E8" w14:textId="77777777" w:rsidR="004207ED" w:rsidRDefault="00000000">
      <w:r>
        <w:rPr>
          <w:rStyle w:val="Strong"/>
        </w:rPr>
        <w:t>“Yetkilendirilmiş veri merkezi işletmecisi"</w:t>
      </w:r>
      <w:r>
        <w:t xml:space="preserve"> kavramı burada özel bir güvence ile anılmaktadır. Ancak bu kavramın ne anlama geldiği, hangi kriterlere göre belirlendiği ve nerede ilan edildiği doğrudan Kanun’da tanımlanmamıştır. Bu nedenle konuyu mevzuat hiyerarşisi ve uygulama mekanizması açısından değerlendirmek gerekir.</w:t>
      </w:r>
    </w:p>
    <w:p w14:paraId="117342C3" w14:textId="77777777" w:rsidR="004207ED" w:rsidRDefault="00000000">
      <w:r>
        <w:t>Bu tanımın içinin doldurulması ve resmi geçerlilik kazanması için ikincil düzenlemelere ihtiyaç vardır. Bu düzenlemeler şu şekilde yapılabilir:</w:t>
      </w:r>
    </w:p>
    <w:p w14:paraId="0DD4DE27" w14:textId="77777777" w:rsidR="004207ED" w:rsidRDefault="00000000">
      <w:r>
        <w:rPr>
          <w:b/>
          <w:bCs/>
        </w:rPr>
        <w:t>Cumhurbaşkanlığı Yönetmeliği</w:t>
      </w:r>
      <w:r>
        <w:t>: Madde 6/3 gereği, yetkilerin nasıl kullanılacağı Cumhurbaşkanlığı tarafından çıkarılacak yönetmelik ile belirlenebilir.</w:t>
      </w:r>
    </w:p>
    <w:p w14:paraId="3A5B3132" w14:textId="77777777" w:rsidR="004207ED" w:rsidRDefault="00000000">
      <w:r>
        <w:rPr>
          <w:b/>
          <w:bCs/>
        </w:rPr>
        <w:t>Başkanlık Usul ve Esasları</w:t>
      </w:r>
      <w:r>
        <w:t>: Başkanlık, 5/1-g ve 5/1-ğ kapsamında teknik kriterleri, yetkilendirme koşullarını ve başvuru süreçlerini içeren düzenlemeler yayımlayabilir.</w:t>
      </w:r>
    </w:p>
    <w:p w14:paraId="577B1963" w14:textId="77777777" w:rsidR="004207ED" w:rsidRDefault="00000000">
      <w:r>
        <w:rPr>
          <w:b/>
          <w:bCs/>
        </w:rPr>
        <w:lastRenderedPageBreak/>
        <w:t>Resmî Tebliğ/Duyuru</w:t>
      </w:r>
      <w:r>
        <w:t>: Yetkilendirilmiş veri merkezi işletmecilerine ilişkin liste, Başkanlık tarafından yayımlanacak resmi duyurularla ilan edilebilir.</w:t>
      </w:r>
    </w:p>
    <w:p w14:paraId="2889DD15" w14:textId="77777777" w:rsidR="004207ED" w:rsidRDefault="00000000">
      <w:r>
        <w:t xml:space="preserve">Bir olay anında eğer henüz bir ikincil düzenleme yapılmamışsa, bir veri merkezi işletmecisinin </w:t>
      </w:r>
      <w:r>
        <w:rPr>
          <w:b/>
          <w:bCs/>
        </w:rPr>
        <w:t>“yetkilendirilmiş”</w:t>
      </w:r>
      <w:r>
        <w:t xml:space="preserve"> sayılıp sayılmayacağına ilişkin bir değerlendirme yapmak gerekirse ikincil düzenleme (ör. yönetmelik, tebliğ, usul ve esaslar) </w:t>
      </w:r>
      <w:r>
        <w:rPr>
          <w:b/>
          <w:bCs/>
        </w:rPr>
        <w:t>henüz yayımlanmamışsa</w:t>
      </w:r>
      <w:r>
        <w:t xml:space="preserve">, bir veri merkezinin “yetkilendirilmiş” statüsünde olduğunu </w:t>
      </w:r>
      <w:r>
        <w:rPr>
          <w:b/>
          <w:bCs/>
        </w:rPr>
        <w:t>iddia etmek hukuki olarak mümkün değildir</w:t>
      </w:r>
      <w:r>
        <w:t>.</w:t>
      </w:r>
    </w:p>
    <w:p w14:paraId="4BF33A9B" w14:textId="77777777" w:rsidR="004207ED" w:rsidRDefault="00000000">
      <w:pPr>
        <w:rPr>
          <w:rStyle w:val="Strong"/>
        </w:rPr>
      </w:pPr>
      <w:r>
        <w:rPr>
          <w:rStyle w:val="Strong"/>
        </w:rPr>
        <w:t>Kamu Kurumları İçin İstisna Durum;</w:t>
      </w:r>
    </w:p>
    <w:p w14:paraId="4D1C2D31" w14:textId="77777777" w:rsidR="004207ED" w:rsidRDefault="00000000">
      <w:r>
        <w:rPr>
          <w:b/>
          <w:bCs/>
        </w:rPr>
        <w:t xml:space="preserve">Kamu kurum ve kuruluşlarında hâkim kararı gerekmez. </w:t>
      </w:r>
      <w:r>
        <w:t xml:space="preserve">Başkanlık, bu kurumlara denetime yönelik doğrudan müdahalede bulunabilir. Bu, </w:t>
      </w:r>
      <w:r>
        <w:rPr>
          <w:b/>
          <w:bCs/>
        </w:rPr>
        <w:t>idarenin idareyi denetleme yetkisinin</w:t>
      </w:r>
      <w:r>
        <w:t xml:space="preserve"> bir yansımasıdır.</w:t>
      </w:r>
    </w:p>
    <w:p w14:paraId="4CFE8552" w14:textId="77777777" w:rsidR="004207ED" w:rsidRDefault="00000000">
      <w:pPr>
        <w:rPr>
          <w:rStyle w:val="Strong"/>
        </w:rPr>
      </w:pPr>
      <w:r>
        <w:rPr>
          <w:rStyle w:val="Strong"/>
        </w:rPr>
        <w:t>Yargı Yetkisi ve Sınırlar</w:t>
      </w:r>
    </w:p>
    <w:p w14:paraId="5B4D706E" w14:textId="77777777" w:rsidR="004207ED" w:rsidRDefault="00000000">
      <w:r>
        <w:t xml:space="preserve">Bu işlemler için yetkili ve görevli mercii sadece </w:t>
      </w:r>
      <w:r>
        <w:rPr>
          <w:b/>
          <w:bCs/>
        </w:rPr>
        <w:t xml:space="preserve">Ankara Sulh Ceza Hâkimliği </w:t>
      </w:r>
      <w:r>
        <w:t>olarak belirlenmiştir.</w:t>
      </w:r>
      <w:r>
        <w:rPr>
          <w:b/>
          <w:bCs/>
        </w:rPr>
        <w:t xml:space="preserve"> </w:t>
      </w:r>
      <w:r>
        <w:t>Bu merkezileştirilmiş yargı yetkisi, hem kararların uzmanlaşmış hâkimlerce verilmesini hem de uygulamada standartlaşmayı sağlayacağı düşünülebilir.</w:t>
      </w:r>
    </w:p>
    <w:p w14:paraId="44DF1D67" w14:textId="77777777" w:rsidR="004207ED" w:rsidRDefault="00000000">
      <w:pPr>
        <w:pStyle w:val="Heading1"/>
      </w:pPr>
      <w:bookmarkStart w:id="26" w:name="_Toc197891008"/>
      <w:bookmarkStart w:id="27" w:name="_Toc198556988"/>
      <w:r>
        <w:t>SİBER GÜVENLİK KURULU’NUN OLUŞTURULMASI (MADDE 9)</w:t>
      </w:r>
      <w:bookmarkEnd w:id="26"/>
      <w:bookmarkEnd w:id="27"/>
    </w:p>
    <w:p w14:paraId="3E77D268" w14:textId="77777777" w:rsidR="004207ED" w:rsidRDefault="00000000">
      <w:r>
        <w:t>Bu madde, Türkiye’nin siber güvenlik yönetiminde en üst düzey karar alma organını kurumsallaştırmakta ve bu Kurul’a stratejik, politik ve koordinatif görevler yüklemektedir. Siber Güvenlik Kurulu; devletin siber güvenliğe ilişkin en yüksek düzeyde karar organıdır. Cumhurbaşkanı’nın başkanlığında toplanan, siyasi, askeri, istihbarat, diplomatik ve teknik unsurları bir araya getiren çok katmanlı bir yapıdır.</w:t>
      </w:r>
    </w:p>
    <w:p w14:paraId="15CFBF65" w14:textId="77777777" w:rsidR="004207ED" w:rsidRDefault="00000000">
      <w:r>
        <w:t>Kurulun görevleri;</w:t>
      </w:r>
    </w:p>
    <w:tbl>
      <w:tblPr>
        <w:tblStyle w:val="TableGrid"/>
        <w:tblW w:w="5000" w:type="pct"/>
        <w:tblLook w:val="04A0" w:firstRow="1" w:lastRow="0" w:firstColumn="1" w:lastColumn="0" w:noHBand="0" w:noVBand="1"/>
      </w:tblPr>
      <w:tblGrid>
        <w:gridCol w:w="2498"/>
        <w:gridCol w:w="6564"/>
      </w:tblGrid>
      <w:tr w:rsidR="004207ED" w14:paraId="7C413351" w14:textId="77777777">
        <w:trPr>
          <w:cantSplit/>
          <w:trHeight w:val="571"/>
          <w:tblHeader/>
        </w:trPr>
        <w:tc>
          <w:tcPr>
            <w:tcW w:w="0" w:type="auto"/>
            <w:shd w:val="clear" w:color="auto" w:fill="D9D9D9" w:themeFill="background1" w:themeFillShade="D9"/>
            <w:vAlign w:val="center"/>
            <w:hideMark/>
          </w:tcPr>
          <w:p w14:paraId="5DEE3079" w14:textId="77777777" w:rsidR="004207ED" w:rsidRDefault="00000000">
            <w:pPr>
              <w:jc w:val="left"/>
            </w:pPr>
            <w:r>
              <w:rPr>
                <w:b/>
                <w:bCs/>
              </w:rPr>
              <w:t>Görev</w:t>
            </w:r>
          </w:p>
        </w:tc>
        <w:tc>
          <w:tcPr>
            <w:tcW w:w="0" w:type="auto"/>
            <w:shd w:val="clear" w:color="auto" w:fill="D9D9D9" w:themeFill="background1" w:themeFillShade="D9"/>
            <w:vAlign w:val="center"/>
            <w:hideMark/>
          </w:tcPr>
          <w:p w14:paraId="15C6874C" w14:textId="77777777" w:rsidR="004207ED" w:rsidRDefault="00000000">
            <w:pPr>
              <w:jc w:val="left"/>
            </w:pPr>
            <w:r>
              <w:rPr>
                <w:b/>
                <w:bCs/>
              </w:rPr>
              <w:t>Açıklama</w:t>
            </w:r>
          </w:p>
        </w:tc>
      </w:tr>
      <w:tr w:rsidR="004207ED" w14:paraId="3CC624BE" w14:textId="77777777">
        <w:trPr>
          <w:cantSplit/>
        </w:trPr>
        <w:tc>
          <w:tcPr>
            <w:tcW w:w="0" w:type="auto"/>
            <w:vAlign w:val="center"/>
            <w:hideMark/>
          </w:tcPr>
          <w:p w14:paraId="6C5A99EB" w14:textId="77777777" w:rsidR="004207ED" w:rsidRDefault="00000000">
            <w:pPr>
              <w:jc w:val="left"/>
            </w:pPr>
            <w:r>
              <w:t>Politika ve strateji belirlemek</w:t>
            </w:r>
          </w:p>
        </w:tc>
        <w:tc>
          <w:tcPr>
            <w:tcW w:w="0" w:type="auto"/>
            <w:hideMark/>
          </w:tcPr>
          <w:p w14:paraId="6ACFB0FF" w14:textId="77777777" w:rsidR="004207ED" w:rsidRDefault="00000000">
            <w:pPr>
              <w:jc w:val="left"/>
            </w:pPr>
            <w:r>
              <w:t>Siber güvenlikle ilgili politika, strateji ve eylem planlarına ilişkin kararları almak.</w:t>
            </w:r>
          </w:p>
        </w:tc>
      </w:tr>
      <w:tr w:rsidR="004207ED" w14:paraId="7D869A02" w14:textId="77777777">
        <w:trPr>
          <w:cantSplit/>
        </w:trPr>
        <w:tc>
          <w:tcPr>
            <w:tcW w:w="0" w:type="auto"/>
            <w:vAlign w:val="center"/>
            <w:hideMark/>
          </w:tcPr>
          <w:p w14:paraId="187C5B7A" w14:textId="77777777" w:rsidR="004207ED" w:rsidRDefault="00000000">
            <w:pPr>
              <w:jc w:val="left"/>
            </w:pPr>
            <w:r>
              <w:t>Teknoloji yol haritası</w:t>
            </w:r>
          </w:p>
        </w:tc>
        <w:tc>
          <w:tcPr>
            <w:tcW w:w="0" w:type="auto"/>
            <w:hideMark/>
          </w:tcPr>
          <w:p w14:paraId="75CE119D" w14:textId="77777777" w:rsidR="004207ED" w:rsidRDefault="00000000">
            <w:pPr>
              <w:jc w:val="left"/>
            </w:pPr>
            <w:r>
              <w:t>Başkanlık tarafından hazırlanan teknoloji yol haritasının ülke çapında uygulanmasına karar vermek.</w:t>
            </w:r>
          </w:p>
        </w:tc>
      </w:tr>
      <w:tr w:rsidR="004207ED" w14:paraId="5CD90B95" w14:textId="77777777">
        <w:trPr>
          <w:cantSplit/>
        </w:trPr>
        <w:tc>
          <w:tcPr>
            <w:tcW w:w="0" w:type="auto"/>
            <w:vAlign w:val="center"/>
            <w:hideMark/>
          </w:tcPr>
          <w:p w14:paraId="2FCF472C" w14:textId="77777777" w:rsidR="004207ED" w:rsidRDefault="00000000">
            <w:pPr>
              <w:jc w:val="left"/>
            </w:pPr>
            <w:r>
              <w:t>Teşvik ve insan kaynağı geliştirme</w:t>
            </w:r>
          </w:p>
        </w:tc>
        <w:tc>
          <w:tcPr>
            <w:tcW w:w="0" w:type="auto"/>
            <w:hideMark/>
          </w:tcPr>
          <w:p w14:paraId="3DEA33FB" w14:textId="77777777" w:rsidR="004207ED" w:rsidRDefault="00000000">
            <w:pPr>
              <w:jc w:val="left"/>
            </w:pPr>
            <w:r>
              <w:t>Öncelikli alanları belirlemek ve siber güvenlik uzmanlarının yetiştirilmesine yönelik kararlar almak.</w:t>
            </w:r>
          </w:p>
        </w:tc>
      </w:tr>
      <w:tr w:rsidR="004207ED" w14:paraId="28C5966B" w14:textId="77777777">
        <w:trPr>
          <w:cantSplit/>
        </w:trPr>
        <w:tc>
          <w:tcPr>
            <w:tcW w:w="0" w:type="auto"/>
            <w:vAlign w:val="center"/>
            <w:hideMark/>
          </w:tcPr>
          <w:p w14:paraId="0D9E4672" w14:textId="77777777" w:rsidR="004207ED" w:rsidRDefault="00000000">
            <w:pPr>
              <w:jc w:val="left"/>
            </w:pPr>
            <w:r>
              <w:t>Kritik altyapı sektörleri</w:t>
            </w:r>
          </w:p>
        </w:tc>
        <w:tc>
          <w:tcPr>
            <w:tcW w:w="0" w:type="auto"/>
            <w:hideMark/>
          </w:tcPr>
          <w:p w14:paraId="0C014BCC" w14:textId="77777777" w:rsidR="004207ED" w:rsidRDefault="00000000">
            <w:pPr>
              <w:jc w:val="left"/>
            </w:pPr>
            <w:r>
              <w:t>Kritik altyapıların hangi sektörleri kapsayacağını belirlemek.</w:t>
            </w:r>
          </w:p>
        </w:tc>
      </w:tr>
      <w:tr w:rsidR="004207ED" w14:paraId="523292CA" w14:textId="77777777">
        <w:trPr>
          <w:cantSplit/>
        </w:trPr>
        <w:tc>
          <w:tcPr>
            <w:tcW w:w="0" w:type="auto"/>
            <w:vAlign w:val="center"/>
            <w:hideMark/>
          </w:tcPr>
          <w:p w14:paraId="3F286163" w14:textId="77777777" w:rsidR="004207ED" w:rsidRDefault="00000000">
            <w:pPr>
              <w:jc w:val="left"/>
            </w:pPr>
            <w:r>
              <w:t>Uyuşmazlık çözümü</w:t>
            </w:r>
          </w:p>
        </w:tc>
        <w:tc>
          <w:tcPr>
            <w:tcW w:w="0" w:type="auto"/>
            <w:hideMark/>
          </w:tcPr>
          <w:p w14:paraId="0B2CD6A1" w14:textId="77777777" w:rsidR="004207ED" w:rsidRDefault="00000000">
            <w:pPr>
              <w:jc w:val="left"/>
            </w:pPr>
            <w:r>
              <w:t>Başkanlık ile kamu kurumları arasında çıkabilecek uyuşmazlıklarda karar vermek.</w:t>
            </w:r>
          </w:p>
        </w:tc>
      </w:tr>
    </w:tbl>
    <w:p w14:paraId="793620FA" w14:textId="77777777" w:rsidR="004207ED" w:rsidRDefault="00000000">
      <w:r>
        <w:t xml:space="preserve">Kurul; icracı değil, </w:t>
      </w:r>
      <w:r>
        <w:rPr>
          <w:b/>
          <w:bCs/>
        </w:rPr>
        <w:t>yönlendirici ve denetleyici bir mekanizmadır.</w:t>
      </w:r>
      <w:r>
        <w:t xml:space="preserve"> Sektör politikalarının şekillendirilmesi, öncelikli teknolojilerin tespiti, insan kaynağı yatırımlarının planlanması ve kurumlar arası koordinasyonun güçlendirilmesi gibi </w:t>
      </w:r>
      <w:r>
        <w:rPr>
          <w:b/>
          <w:bCs/>
        </w:rPr>
        <w:t>ulusal ölçekli kararları</w:t>
      </w:r>
      <w:r>
        <w:t xml:space="preserve"> alma yetkisine sahiptir.</w:t>
      </w:r>
    </w:p>
    <w:p w14:paraId="2C9C0F9B" w14:textId="77777777" w:rsidR="004207ED" w:rsidRDefault="00000000">
      <w:pPr>
        <w:pStyle w:val="Heading1"/>
      </w:pPr>
      <w:bookmarkStart w:id="28" w:name="_Toc197891009"/>
      <w:bookmarkStart w:id="29" w:name="_Toc198556989"/>
      <w:r>
        <w:t>ÜÇÜNCÜ VE DÖRDÜNCÜ BÖLÜMLER (MADDE 10-15)</w:t>
      </w:r>
      <w:bookmarkEnd w:id="28"/>
      <w:bookmarkEnd w:id="29"/>
    </w:p>
    <w:p w14:paraId="7A0F7FA7" w14:textId="77777777" w:rsidR="004207ED" w:rsidRDefault="00000000">
      <w:r>
        <w:t xml:space="preserve">Siber Güvenlik Kanunu’nun Üçüncü ve Dördüncü Bölümleri, Başkanlıkta görev yapacak personelin statüsü ile mali yapısını düzenleyerek kurumsal altyapıyı tamamlamaktadır. Üçüncü Bölüm, Siber Güvenlik Başkanlığı'nda istihdam edilecek uzman personelin niteliklerini, güvenlik soruşturmalarını, sözleşme hükümlerini ve görev sonrası sektöre geçiş kısıtlarını belirlemektedir. Özellikle Başkanlık’ta görev yapmış kişilerin </w:t>
      </w:r>
      <w:r>
        <w:rPr>
          <w:b/>
          <w:bCs/>
        </w:rPr>
        <w:t xml:space="preserve">Başkanlık’tan muvafakat almadan iki yıl boyunca sektörde çalışmasının </w:t>
      </w:r>
      <w:r>
        <w:rPr>
          <w:b/>
          <w:bCs/>
        </w:rPr>
        <w:lastRenderedPageBreak/>
        <w:t>sınırlandırılması</w:t>
      </w:r>
      <w:r>
        <w:t xml:space="preserve"> ve gizli bilgilerin açıklanmasının yasaklanması, bilgi güvenliği ve çıkar çatışmasının önlenmesi açısından önemli hükümler içermektedir. </w:t>
      </w:r>
    </w:p>
    <w:p w14:paraId="3FA11B69" w14:textId="77777777" w:rsidR="004207ED" w:rsidRDefault="00000000">
      <w:r>
        <w:t>Dördüncü Bölüm ise Başkanlığın gelir kaynaklarını (bütçe transferleri, ceza gelirleri vb.) ve muafiyetlerini düzenlemektedir; Başkanlık’a vergi ve harç istisnaları, gümrük kolaylıkları ve izin belgesi muafiyetleri gibi mali yetkiler tanınmıştır. Böylece hem insan kaynağı hem de finansal ve lojistik kapasite açısından Başkanlık’ın etkin ve bağımsız çalışabilmesi için gerekli yapısal çerçeve tamamlanmaktadır.</w:t>
      </w:r>
    </w:p>
    <w:p w14:paraId="22A55ACC" w14:textId="77777777" w:rsidR="004207ED" w:rsidRDefault="00000000">
      <w:pPr>
        <w:pStyle w:val="Heading1"/>
      </w:pPr>
      <w:bookmarkStart w:id="30" w:name="_Toc197891010"/>
      <w:bookmarkStart w:id="31" w:name="_Toc198556990"/>
      <w:r>
        <w:t>CEZAİ HÜKÜMLER VE İDARİ PARA CEZALARI (MADDE 16-17)</w:t>
      </w:r>
      <w:bookmarkEnd w:id="30"/>
      <w:bookmarkEnd w:id="31"/>
    </w:p>
    <w:p w14:paraId="3C98FACF" w14:textId="77777777" w:rsidR="004207ED" w:rsidRDefault="00000000">
      <w:pPr>
        <w:pStyle w:val="Heading2"/>
      </w:pPr>
      <w:bookmarkStart w:id="32" w:name="_Toc197891011"/>
      <w:bookmarkStart w:id="33" w:name="_Toc198556991"/>
      <w:r>
        <w:t>Cezai Hükümler (Madde 16)</w:t>
      </w:r>
      <w:bookmarkEnd w:id="32"/>
      <w:bookmarkEnd w:id="33"/>
    </w:p>
    <w:p w14:paraId="53DAA19A" w14:textId="77777777" w:rsidR="004207ED" w:rsidRDefault="00000000">
      <w:r>
        <w:t>Bu bölüm, Kanun'un uygulanabilirliğini ve ciddiyetini güçlendiren yaptırım çerçevesini ortaya koymaktadır. Hem adli cezalar (hapis) hem de idari para cezaları ile Kanun’un ihlali durumlarında caydırıcılık sağlanması amaçlanmıştır. Aşağıdaki tabloda uygulanacak cezalar görülmektedir.</w:t>
      </w:r>
    </w:p>
    <w:tbl>
      <w:tblPr>
        <w:tblStyle w:val="TableGrid"/>
        <w:tblW w:w="5000" w:type="pct"/>
        <w:tblLook w:val="04A0" w:firstRow="1" w:lastRow="0" w:firstColumn="1" w:lastColumn="0" w:noHBand="0" w:noVBand="1"/>
      </w:tblPr>
      <w:tblGrid>
        <w:gridCol w:w="3519"/>
        <w:gridCol w:w="2327"/>
        <w:gridCol w:w="3216"/>
      </w:tblGrid>
      <w:tr w:rsidR="004207ED" w14:paraId="53EC8FD9" w14:textId="77777777">
        <w:trPr>
          <w:cantSplit/>
          <w:trHeight w:val="526"/>
          <w:tblHeader/>
        </w:trPr>
        <w:tc>
          <w:tcPr>
            <w:tcW w:w="0" w:type="auto"/>
            <w:shd w:val="clear" w:color="auto" w:fill="D9D9D9" w:themeFill="background1" w:themeFillShade="D9"/>
            <w:vAlign w:val="center"/>
            <w:hideMark/>
          </w:tcPr>
          <w:p w14:paraId="057678F3" w14:textId="77777777" w:rsidR="004207ED" w:rsidRDefault="00000000">
            <w:pPr>
              <w:jc w:val="left"/>
            </w:pPr>
            <w:r>
              <w:rPr>
                <w:b/>
                <w:bCs/>
              </w:rPr>
              <w:t>Fiil / İhlal Türü</w:t>
            </w:r>
          </w:p>
        </w:tc>
        <w:tc>
          <w:tcPr>
            <w:tcW w:w="0" w:type="auto"/>
            <w:shd w:val="clear" w:color="auto" w:fill="D9D9D9" w:themeFill="background1" w:themeFillShade="D9"/>
            <w:vAlign w:val="center"/>
            <w:hideMark/>
          </w:tcPr>
          <w:p w14:paraId="2D0ABA40" w14:textId="77777777" w:rsidR="004207ED" w:rsidRDefault="00000000">
            <w:pPr>
              <w:jc w:val="left"/>
            </w:pPr>
            <w:r>
              <w:rPr>
                <w:b/>
                <w:bCs/>
              </w:rPr>
              <w:t>Cezai Yaptırım</w:t>
            </w:r>
          </w:p>
        </w:tc>
        <w:tc>
          <w:tcPr>
            <w:tcW w:w="0" w:type="auto"/>
            <w:shd w:val="clear" w:color="auto" w:fill="D9D9D9" w:themeFill="background1" w:themeFillShade="D9"/>
            <w:vAlign w:val="center"/>
            <w:hideMark/>
          </w:tcPr>
          <w:p w14:paraId="0F97F707" w14:textId="77777777" w:rsidR="004207ED" w:rsidRDefault="00000000">
            <w:pPr>
              <w:jc w:val="left"/>
            </w:pPr>
            <w:r>
              <w:rPr>
                <w:b/>
                <w:bCs/>
              </w:rPr>
              <w:t>Açıklama / Kapsam</w:t>
            </w:r>
          </w:p>
        </w:tc>
      </w:tr>
      <w:tr w:rsidR="004207ED" w14:paraId="3B19EC71" w14:textId="77777777">
        <w:trPr>
          <w:cantSplit/>
        </w:trPr>
        <w:tc>
          <w:tcPr>
            <w:tcW w:w="0" w:type="auto"/>
            <w:hideMark/>
          </w:tcPr>
          <w:p w14:paraId="35575C89" w14:textId="77777777" w:rsidR="004207ED" w:rsidRDefault="00000000">
            <w:pPr>
              <w:jc w:val="left"/>
            </w:pPr>
            <w:r>
              <w:t>Başkanlığa bilgi, belge, donanım vermemek veya engellemek (Madde 16/1)</w:t>
            </w:r>
          </w:p>
        </w:tc>
        <w:tc>
          <w:tcPr>
            <w:tcW w:w="0" w:type="auto"/>
            <w:hideMark/>
          </w:tcPr>
          <w:p w14:paraId="7385D267" w14:textId="77777777" w:rsidR="004207ED" w:rsidRDefault="00000000">
            <w:pPr>
              <w:jc w:val="left"/>
            </w:pPr>
            <w:r>
              <w:t xml:space="preserve">1–3 yıl hapis </w:t>
            </w:r>
          </w:p>
          <w:p w14:paraId="6FE5A310" w14:textId="77777777" w:rsidR="004207ED" w:rsidRDefault="00000000">
            <w:pPr>
              <w:jc w:val="left"/>
            </w:pPr>
            <w:r>
              <w:t>500–1500 gün adli para cezası (*)</w:t>
            </w:r>
          </w:p>
        </w:tc>
        <w:tc>
          <w:tcPr>
            <w:tcW w:w="0" w:type="auto"/>
            <w:hideMark/>
          </w:tcPr>
          <w:p w14:paraId="57ADA182" w14:textId="77777777" w:rsidR="004207ED" w:rsidRDefault="00000000">
            <w:pPr>
              <w:jc w:val="left"/>
            </w:pPr>
            <w:r>
              <w:t>Kamu hariç tüm Kanun kapsamındakiler</w:t>
            </w:r>
          </w:p>
        </w:tc>
      </w:tr>
      <w:tr w:rsidR="004207ED" w14:paraId="1DFB3393" w14:textId="77777777">
        <w:trPr>
          <w:cantSplit/>
        </w:trPr>
        <w:tc>
          <w:tcPr>
            <w:tcW w:w="0" w:type="auto"/>
            <w:hideMark/>
          </w:tcPr>
          <w:p w14:paraId="6C907A53" w14:textId="77777777" w:rsidR="004207ED" w:rsidRDefault="00000000">
            <w:pPr>
              <w:jc w:val="left"/>
            </w:pPr>
            <w:r>
              <w:t>Onay, yetki veya izinsiz faaliyet (Madde 16/2)</w:t>
            </w:r>
          </w:p>
        </w:tc>
        <w:tc>
          <w:tcPr>
            <w:tcW w:w="0" w:type="auto"/>
            <w:hideMark/>
          </w:tcPr>
          <w:p w14:paraId="7DB1A2BB" w14:textId="77777777" w:rsidR="004207ED" w:rsidRDefault="00000000">
            <w:pPr>
              <w:jc w:val="left"/>
            </w:pPr>
            <w:r>
              <w:t xml:space="preserve">2–4 yıl hapis  </w:t>
            </w:r>
          </w:p>
          <w:p w14:paraId="22BCE562" w14:textId="77777777" w:rsidR="004207ED" w:rsidRDefault="00000000">
            <w:pPr>
              <w:jc w:val="left"/>
            </w:pPr>
            <w:r>
              <w:t>1000–2000 gün adli para cezası</w:t>
            </w:r>
          </w:p>
        </w:tc>
        <w:tc>
          <w:tcPr>
            <w:tcW w:w="0" w:type="auto"/>
            <w:hideMark/>
          </w:tcPr>
          <w:p w14:paraId="43B8A769" w14:textId="77777777" w:rsidR="004207ED" w:rsidRDefault="00000000">
            <w:pPr>
              <w:jc w:val="left"/>
            </w:pPr>
            <w:r>
              <w:t>Örneğin yetkilendirilmeden hizmet sunulması</w:t>
            </w:r>
          </w:p>
        </w:tc>
      </w:tr>
      <w:tr w:rsidR="004207ED" w14:paraId="4CA32962" w14:textId="77777777">
        <w:trPr>
          <w:cantSplit/>
        </w:trPr>
        <w:tc>
          <w:tcPr>
            <w:tcW w:w="0" w:type="auto"/>
            <w:hideMark/>
          </w:tcPr>
          <w:p w14:paraId="48F64C5E" w14:textId="77777777" w:rsidR="004207ED" w:rsidRDefault="00000000">
            <w:pPr>
              <w:jc w:val="left"/>
            </w:pPr>
            <w:r>
              <w:t>Sır saklama yükümlülüğünü ihlal (Madde 16/3)</w:t>
            </w:r>
          </w:p>
        </w:tc>
        <w:tc>
          <w:tcPr>
            <w:tcW w:w="0" w:type="auto"/>
            <w:hideMark/>
          </w:tcPr>
          <w:p w14:paraId="2BDC944E" w14:textId="77777777" w:rsidR="004207ED" w:rsidRDefault="00000000">
            <w:pPr>
              <w:jc w:val="left"/>
            </w:pPr>
            <w:r>
              <w:t>4–8 yıl hapis</w:t>
            </w:r>
          </w:p>
        </w:tc>
        <w:tc>
          <w:tcPr>
            <w:tcW w:w="0" w:type="auto"/>
            <w:hideMark/>
          </w:tcPr>
          <w:p w14:paraId="48324C3A" w14:textId="77777777" w:rsidR="004207ED" w:rsidRDefault="00000000">
            <w:pPr>
              <w:jc w:val="left"/>
            </w:pPr>
            <w:r>
              <w:t>Başkanlık personeli veya yetkili kişiler</w:t>
            </w:r>
          </w:p>
        </w:tc>
      </w:tr>
      <w:tr w:rsidR="004207ED" w14:paraId="5A8A9519" w14:textId="77777777">
        <w:trPr>
          <w:cantSplit/>
        </w:trPr>
        <w:tc>
          <w:tcPr>
            <w:tcW w:w="0" w:type="auto"/>
            <w:hideMark/>
          </w:tcPr>
          <w:p w14:paraId="2A77660D" w14:textId="77777777" w:rsidR="004207ED" w:rsidRDefault="00000000">
            <w:pPr>
              <w:jc w:val="left"/>
            </w:pPr>
            <w:r>
              <w:t>Kritik veri veya kişisel verileri izinsiz yaymak (Madde 16/4)</w:t>
            </w:r>
          </w:p>
        </w:tc>
        <w:tc>
          <w:tcPr>
            <w:tcW w:w="0" w:type="auto"/>
            <w:hideMark/>
          </w:tcPr>
          <w:p w14:paraId="4192C535" w14:textId="77777777" w:rsidR="004207ED" w:rsidRDefault="00000000">
            <w:pPr>
              <w:jc w:val="left"/>
            </w:pPr>
            <w:r>
              <w:t>3–5 yıl hapis</w:t>
            </w:r>
          </w:p>
        </w:tc>
        <w:tc>
          <w:tcPr>
            <w:tcW w:w="0" w:type="auto"/>
            <w:hideMark/>
          </w:tcPr>
          <w:p w14:paraId="36A45CD8" w14:textId="77777777" w:rsidR="004207ED" w:rsidRDefault="00000000">
            <w:pPr>
              <w:jc w:val="left"/>
            </w:pPr>
            <w:r>
              <w:t>Siber sızıntı sonucu erişim sağlanan veriler</w:t>
            </w:r>
          </w:p>
        </w:tc>
      </w:tr>
      <w:tr w:rsidR="004207ED" w14:paraId="2B75745D" w14:textId="77777777">
        <w:trPr>
          <w:cantSplit/>
        </w:trPr>
        <w:tc>
          <w:tcPr>
            <w:tcW w:w="0" w:type="auto"/>
            <w:hideMark/>
          </w:tcPr>
          <w:p w14:paraId="1186B6A1" w14:textId="77777777" w:rsidR="004207ED" w:rsidRDefault="00000000">
            <w:pPr>
              <w:jc w:val="left"/>
            </w:pPr>
            <w:r>
              <w:t>Gerçek dışı siber sızıntı içerikleri yaymak (Madde 16/5)</w:t>
            </w:r>
          </w:p>
        </w:tc>
        <w:tc>
          <w:tcPr>
            <w:tcW w:w="0" w:type="auto"/>
            <w:hideMark/>
          </w:tcPr>
          <w:p w14:paraId="7818EA18" w14:textId="77777777" w:rsidR="004207ED" w:rsidRDefault="00000000">
            <w:pPr>
              <w:jc w:val="left"/>
            </w:pPr>
            <w:r>
              <w:t>2–5 yıl hapis</w:t>
            </w:r>
          </w:p>
        </w:tc>
        <w:tc>
          <w:tcPr>
            <w:tcW w:w="0" w:type="auto"/>
            <w:hideMark/>
          </w:tcPr>
          <w:p w14:paraId="6ED98FFB" w14:textId="77777777" w:rsidR="004207ED" w:rsidRDefault="00000000">
            <w:pPr>
              <w:jc w:val="left"/>
            </w:pPr>
            <w:r>
              <w:t>Endişe/panik yaratmak veya kurumları hedef göstermek amacıyla</w:t>
            </w:r>
          </w:p>
        </w:tc>
      </w:tr>
      <w:tr w:rsidR="004207ED" w14:paraId="4298B0B8" w14:textId="77777777">
        <w:trPr>
          <w:cantSplit/>
        </w:trPr>
        <w:tc>
          <w:tcPr>
            <w:tcW w:w="0" w:type="auto"/>
            <w:hideMark/>
          </w:tcPr>
          <w:p w14:paraId="53FDE814" w14:textId="77777777" w:rsidR="004207ED" w:rsidRDefault="00000000">
            <w:pPr>
              <w:jc w:val="left"/>
            </w:pPr>
            <w:r>
              <w:t>Milli güce karşı siber saldırı (Madde 16/6)</w:t>
            </w:r>
          </w:p>
        </w:tc>
        <w:tc>
          <w:tcPr>
            <w:tcW w:w="0" w:type="auto"/>
            <w:hideMark/>
          </w:tcPr>
          <w:p w14:paraId="4EBD2E5E" w14:textId="77777777" w:rsidR="004207ED" w:rsidRDefault="00000000">
            <w:pPr>
              <w:jc w:val="left"/>
            </w:pPr>
            <w:r>
              <w:t>8–12 yıl hapis</w:t>
            </w:r>
          </w:p>
        </w:tc>
        <w:tc>
          <w:tcPr>
            <w:tcW w:w="0" w:type="auto"/>
            <w:hideMark/>
          </w:tcPr>
          <w:p w14:paraId="4AA8A397" w14:textId="77777777" w:rsidR="004207ED" w:rsidRDefault="00000000">
            <w:pPr>
              <w:jc w:val="left"/>
            </w:pPr>
            <w:r>
              <w:t>Devlete yönelik saldırı ve veri ele geçirme</w:t>
            </w:r>
          </w:p>
        </w:tc>
      </w:tr>
      <w:tr w:rsidR="004207ED" w14:paraId="57910F38" w14:textId="77777777">
        <w:trPr>
          <w:cantSplit/>
        </w:trPr>
        <w:tc>
          <w:tcPr>
            <w:tcW w:w="0" w:type="auto"/>
            <w:hideMark/>
          </w:tcPr>
          <w:p w14:paraId="76C06D04" w14:textId="77777777" w:rsidR="004207ED" w:rsidRDefault="00000000">
            <w:pPr>
              <w:jc w:val="left"/>
            </w:pPr>
            <w:r>
              <w:t>Ele geçirilen verileri yayma/satma (Madde 16/6)</w:t>
            </w:r>
          </w:p>
        </w:tc>
        <w:tc>
          <w:tcPr>
            <w:tcW w:w="0" w:type="auto"/>
            <w:hideMark/>
          </w:tcPr>
          <w:p w14:paraId="4F231B0D" w14:textId="77777777" w:rsidR="004207ED" w:rsidRDefault="00000000">
            <w:pPr>
              <w:jc w:val="left"/>
            </w:pPr>
            <w:r>
              <w:t>10–15 yıl hapis</w:t>
            </w:r>
          </w:p>
        </w:tc>
        <w:tc>
          <w:tcPr>
            <w:tcW w:w="0" w:type="auto"/>
            <w:hideMark/>
          </w:tcPr>
          <w:p w14:paraId="10D1B172" w14:textId="77777777" w:rsidR="004207ED" w:rsidRDefault="00000000">
            <w:pPr>
              <w:jc w:val="left"/>
            </w:pPr>
            <w:r>
              <w:t>Saldırı sonucu elde edilen bilgileri paylaşma</w:t>
            </w:r>
          </w:p>
        </w:tc>
      </w:tr>
      <w:tr w:rsidR="004207ED" w14:paraId="3E2B0A00" w14:textId="77777777">
        <w:trPr>
          <w:cantSplit/>
        </w:trPr>
        <w:tc>
          <w:tcPr>
            <w:tcW w:w="0" w:type="auto"/>
            <w:hideMark/>
          </w:tcPr>
          <w:p w14:paraId="7301C902" w14:textId="77777777" w:rsidR="004207ED" w:rsidRDefault="00000000">
            <w:pPr>
              <w:jc w:val="left"/>
            </w:pPr>
            <w:r>
              <w:t>Suçun kamu görevlisi, örgüt veya birden fazla kişiyle işlenmesi (Madde 16/7)</w:t>
            </w:r>
          </w:p>
        </w:tc>
        <w:tc>
          <w:tcPr>
            <w:tcW w:w="0" w:type="auto"/>
            <w:hideMark/>
          </w:tcPr>
          <w:p w14:paraId="2689409F" w14:textId="77777777" w:rsidR="004207ED" w:rsidRDefault="00000000">
            <w:pPr>
              <w:jc w:val="left"/>
            </w:pPr>
            <w:r>
              <w:t>1/3 – 2 kat ceza artışı</w:t>
            </w:r>
          </w:p>
        </w:tc>
        <w:tc>
          <w:tcPr>
            <w:tcW w:w="0" w:type="auto"/>
            <w:hideMark/>
          </w:tcPr>
          <w:p w14:paraId="7A80E701" w14:textId="77777777" w:rsidR="004207ED" w:rsidRDefault="00000000">
            <w:pPr>
              <w:jc w:val="left"/>
            </w:pPr>
            <w:r>
              <w:t>Tüm yukarıdaki suçlarda ağırlaştırıcı neden</w:t>
            </w:r>
          </w:p>
        </w:tc>
      </w:tr>
      <w:tr w:rsidR="004207ED" w14:paraId="3152A537" w14:textId="77777777">
        <w:trPr>
          <w:cantSplit/>
        </w:trPr>
        <w:tc>
          <w:tcPr>
            <w:tcW w:w="0" w:type="auto"/>
            <w:hideMark/>
          </w:tcPr>
          <w:p w14:paraId="142B6690" w14:textId="77777777" w:rsidR="004207ED" w:rsidRDefault="00000000">
            <w:pPr>
              <w:jc w:val="left"/>
            </w:pPr>
            <w:r>
              <w:t>Başkanlıktaki görev sonrası sektörde çalışma yasağına aykırılık (Madde 16/8)</w:t>
            </w:r>
          </w:p>
        </w:tc>
        <w:tc>
          <w:tcPr>
            <w:tcW w:w="0" w:type="auto"/>
            <w:hideMark/>
          </w:tcPr>
          <w:p w14:paraId="600A5D81" w14:textId="77777777" w:rsidR="004207ED" w:rsidRDefault="00000000">
            <w:pPr>
              <w:jc w:val="left"/>
            </w:pPr>
            <w:r>
              <w:t>3–5 yıl hapis</w:t>
            </w:r>
          </w:p>
        </w:tc>
        <w:tc>
          <w:tcPr>
            <w:tcW w:w="0" w:type="auto"/>
            <w:hideMark/>
          </w:tcPr>
          <w:p w14:paraId="08B20ABD" w14:textId="77777777" w:rsidR="004207ED" w:rsidRDefault="00000000">
            <w:pPr>
              <w:jc w:val="left"/>
            </w:pPr>
            <w:r>
              <w:t>Başkanlıkta görev almış kişiler için geçerlidir</w:t>
            </w:r>
          </w:p>
        </w:tc>
      </w:tr>
      <w:tr w:rsidR="004207ED" w14:paraId="01D4D8E3" w14:textId="77777777">
        <w:trPr>
          <w:cantSplit/>
        </w:trPr>
        <w:tc>
          <w:tcPr>
            <w:tcW w:w="0" w:type="auto"/>
            <w:hideMark/>
          </w:tcPr>
          <w:p w14:paraId="4A98FD6E" w14:textId="77777777" w:rsidR="004207ED" w:rsidRDefault="00000000">
            <w:pPr>
              <w:jc w:val="left"/>
            </w:pPr>
            <w:r>
              <w:t>Yükümlülüğün ihlali nedeniyle veri ihlali yaşatmak (Madde 16/9)</w:t>
            </w:r>
          </w:p>
        </w:tc>
        <w:tc>
          <w:tcPr>
            <w:tcW w:w="0" w:type="auto"/>
            <w:hideMark/>
          </w:tcPr>
          <w:p w14:paraId="6A3F459E" w14:textId="77777777" w:rsidR="004207ED" w:rsidRDefault="00000000">
            <w:pPr>
              <w:jc w:val="left"/>
            </w:pPr>
            <w:r>
              <w:t>1–3 yıl hapis</w:t>
            </w:r>
          </w:p>
        </w:tc>
        <w:tc>
          <w:tcPr>
            <w:tcW w:w="0" w:type="auto"/>
            <w:hideMark/>
          </w:tcPr>
          <w:p w14:paraId="185EA461" w14:textId="77777777" w:rsidR="004207ED" w:rsidRDefault="00000000">
            <w:pPr>
              <w:jc w:val="left"/>
            </w:pPr>
            <w:r>
              <w:t>Görevi ihmal nedeniyle veri sızdırılması</w:t>
            </w:r>
          </w:p>
        </w:tc>
      </w:tr>
      <w:tr w:rsidR="004207ED" w14:paraId="2F5A809E" w14:textId="77777777">
        <w:trPr>
          <w:cantSplit/>
        </w:trPr>
        <w:tc>
          <w:tcPr>
            <w:tcW w:w="0" w:type="auto"/>
            <w:hideMark/>
          </w:tcPr>
          <w:p w14:paraId="5D91200E" w14:textId="77777777" w:rsidR="004207ED" w:rsidRDefault="00000000">
            <w:pPr>
              <w:jc w:val="left"/>
            </w:pPr>
            <w:r>
              <w:t>7/1-b ve 7/1-c yükümlülüğüne aykırılık (Madde 16/10)</w:t>
            </w:r>
          </w:p>
        </w:tc>
        <w:tc>
          <w:tcPr>
            <w:tcW w:w="0" w:type="auto"/>
            <w:hideMark/>
          </w:tcPr>
          <w:p w14:paraId="23879DA5" w14:textId="77777777" w:rsidR="004207ED" w:rsidRDefault="00000000">
            <w:pPr>
              <w:jc w:val="left"/>
            </w:pPr>
            <w:r>
              <w:t>₺1.000.000 – ₺10.000.000 idari para cezası</w:t>
            </w:r>
          </w:p>
        </w:tc>
        <w:tc>
          <w:tcPr>
            <w:tcW w:w="0" w:type="auto"/>
            <w:hideMark/>
          </w:tcPr>
          <w:p w14:paraId="24B78448" w14:textId="77777777" w:rsidR="004207ED" w:rsidRDefault="00000000">
            <w:pPr>
              <w:jc w:val="left"/>
            </w:pPr>
            <w:r>
              <w:t>Zafiyet/siber olay bildirmeme veya yetkisiz ürün kullanımı</w:t>
            </w:r>
          </w:p>
        </w:tc>
      </w:tr>
      <w:tr w:rsidR="004207ED" w14:paraId="0FCB83C2" w14:textId="77777777">
        <w:trPr>
          <w:cantSplit/>
        </w:trPr>
        <w:tc>
          <w:tcPr>
            <w:tcW w:w="0" w:type="auto"/>
            <w:hideMark/>
          </w:tcPr>
          <w:p w14:paraId="3E050BA9" w14:textId="77777777" w:rsidR="004207ED" w:rsidRDefault="00000000">
            <w:pPr>
              <w:jc w:val="left"/>
            </w:pPr>
            <w:r>
              <w:t>18. madde yükümlülüklerinin ihlali (Madde 16/10)</w:t>
            </w:r>
          </w:p>
        </w:tc>
        <w:tc>
          <w:tcPr>
            <w:tcW w:w="0" w:type="auto"/>
            <w:hideMark/>
          </w:tcPr>
          <w:p w14:paraId="629D1933" w14:textId="77777777" w:rsidR="004207ED" w:rsidRDefault="00000000">
            <w:pPr>
              <w:jc w:val="left"/>
            </w:pPr>
            <w:r>
              <w:t>₺10.000.000 – ₺100.000.000 idari para cezası</w:t>
            </w:r>
          </w:p>
        </w:tc>
        <w:tc>
          <w:tcPr>
            <w:tcW w:w="0" w:type="auto"/>
            <w:hideMark/>
          </w:tcPr>
          <w:p w14:paraId="3FDCAC51" w14:textId="77777777" w:rsidR="004207ED" w:rsidRDefault="00000000">
            <w:pPr>
              <w:jc w:val="left"/>
            </w:pPr>
            <w:r>
              <w:t>Yurt dışı satış onayı almamak vb.</w:t>
            </w:r>
          </w:p>
        </w:tc>
      </w:tr>
      <w:tr w:rsidR="004207ED" w14:paraId="2DB272E0" w14:textId="77777777">
        <w:trPr>
          <w:cantSplit/>
        </w:trPr>
        <w:tc>
          <w:tcPr>
            <w:tcW w:w="0" w:type="auto"/>
            <w:hideMark/>
          </w:tcPr>
          <w:p w14:paraId="0D8A6546" w14:textId="77777777" w:rsidR="004207ED" w:rsidRDefault="00000000">
            <w:pPr>
              <w:jc w:val="left"/>
            </w:pPr>
            <w:r>
              <w:lastRenderedPageBreak/>
              <w:t>Denetim yükümlülüğünü ihlal (Madde 16/11)</w:t>
            </w:r>
          </w:p>
        </w:tc>
        <w:tc>
          <w:tcPr>
            <w:tcW w:w="0" w:type="auto"/>
            <w:hideMark/>
          </w:tcPr>
          <w:p w14:paraId="115BDFF6" w14:textId="77777777" w:rsidR="004207ED" w:rsidRDefault="00000000">
            <w:pPr>
              <w:jc w:val="left"/>
            </w:pPr>
            <w:r>
              <w:t>₺100.000 – ₺1.000.000</w:t>
            </w:r>
          </w:p>
        </w:tc>
        <w:tc>
          <w:tcPr>
            <w:tcW w:w="0" w:type="auto"/>
            <w:hideMark/>
          </w:tcPr>
          <w:p w14:paraId="0CAB9652" w14:textId="77777777" w:rsidR="004207ED" w:rsidRDefault="00000000">
            <w:pPr>
              <w:jc w:val="left"/>
            </w:pPr>
            <w:r>
              <w:t>Log, sistem, kayıt vermemek</w:t>
            </w:r>
          </w:p>
        </w:tc>
      </w:tr>
      <w:tr w:rsidR="004207ED" w14:paraId="42C513E3" w14:textId="77777777">
        <w:trPr>
          <w:cantSplit/>
        </w:trPr>
        <w:tc>
          <w:tcPr>
            <w:tcW w:w="0" w:type="auto"/>
            <w:hideMark/>
          </w:tcPr>
          <w:p w14:paraId="31EDBFDC" w14:textId="77777777" w:rsidR="004207ED" w:rsidRDefault="00000000">
            <w:pPr>
              <w:jc w:val="left"/>
            </w:pPr>
            <w:r>
              <w:t>Ticari şirketlerde denetim ihlali</w:t>
            </w:r>
          </w:p>
        </w:tc>
        <w:tc>
          <w:tcPr>
            <w:tcW w:w="0" w:type="auto"/>
            <w:hideMark/>
          </w:tcPr>
          <w:p w14:paraId="08E63584" w14:textId="77777777" w:rsidR="004207ED" w:rsidRDefault="00000000">
            <w:pPr>
              <w:jc w:val="left"/>
            </w:pPr>
            <w:r>
              <w:t>Yıllık brüt satış hasılatının %5'ine kadar ceza</w:t>
            </w:r>
          </w:p>
        </w:tc>
        <w:tc>
          <w:tcPr>
            <w:tcW w:w="0" w:type="auto"/>
            <w:hideMark/>
          </w:tcPr>
          <w:p w14:paraId="029FAD39" w14:textId="77777777" w:rsidR="004207ED" w:rsidRDefault="00000000">
            <w:pPr>
              <w:jc w:val="left"/>
            </w:pPr>
            <w:r>
              <w:t>Şirket özelinde ağırlaştırılmış yaptırım</w:t>
            </w:r>
          </w:p>
        </w:tc>
      </w:tr>
    </w:tbl>
    <w:p w14:paraId="1D98BD71" w14:textId="77777777" w:rsidR="004207ED" w:rsidRDefault="004207ED"/>
    <w:p w14:paraId="07A85798" w14:textId="77777777" w:rsidR="004207ED" w:rsidRDefault="00000000">
      <w:pPr>
        <w:rPr>
          <w:rStyle w:val="Strong"/>
        </w:rPr>
      </w:pPr>
      <w:r>
        <w:rPr>
          <w:rStyle w:val="Strong"/>
        </w:rPr>
        <w:t>(*) Adli Para Cezası</w:t>
      </w:r>
    </w:p>
    <w:p w14:paraId="603516E4" w14:textId="77777777" w:rsidR="004207ED" w:rsidRDefault="00000000">
      <w:r>
        <w:t>Kanunda düzenlenen adli para cezası, Türk Ceza Kanunu (TCK) sistematiği içinde yer alan bir yaptırımdır ve “gün esasına göre” hesaplanmaktadır. Türk Ceza Kanunu’na göre adli para cezası, en az 20 TL, en fazla 100 TL arasında belirlenen bir günlük bedel ile çarpılarak hesaplanır. Hâkim, sanığın ekonomik ve sosyal durumunu göz önünde bulundurarak günlük miktarı takdir eder (TCK m.52/2). Ceza, taksitle ödenebilir; hâkim en fazla 24 aya kadar taksitlendirme kararı verebilir. Ancak taksitler süresinde ödenmezse veya ceza hiç ödenmezse, adli para cezası hapis cezasına çevrilebilir. Ayrıca, bu cezalara dair kararlar kesinleştikten sonra, ödeme sürecine ilişkin bildirimler ve yasal takip, mali birimlerce yapılır. Kurumlar açısından, özellikle Kanun kapsamındaki yükümlülüklerin yerine getirilmemesi hâlinde verilecek cezaların ağırlığı dikkate alınmalı ve mevzuat uyumu titizlikle sağlanmalıdır.</w:t>
      </w:r>
    </w:p>
    <w:p w14:paraId="6FBC1D44" w14:textId="77777777" w:rsidR="004207ED" w:rsidRDefault="00000000">
      <w:pPr>
        <w:pStyle w:val="Heading2"/>
      </w:pPr>
      <w:bookmarkStart w:id="34" w:name="_Toc197891012"/>
      <w:bookmarkStart w:id="35" w:name="_Toc198556992"/>
      <w:r>
        <w:t>İdari Para Cezalarının Uygulanması (Madde 17)</w:t>
      </w:r>
      <w:bookmarkEnd w:id="34"/>
      <w:bookmarkEnd w:id="35"/>
    </w:p>
    <w:p w14:paraId="1EBB9DE2" w14:textId="77777777" w:rsidR="004207ED" w:rsidRDefault="00000000">
      <w:pPr>
        <w:pStyle w:val="Heading3"/>
      </w:pPr>
      <w:bookmarkStart w:id="36" w:name="_Toc197891013"/>
      <w:bookmarkStart w:id="37" w:name="_Toc198556993"/>
      <w:r>
        <w:t>Savunma Hakkı (17/1)</w:t>
      </w:r>
      <w:bookmarkEnd w:id="36"/>
      <w:bookmarkEnd w:id="37"/>
    </w:p>
    <w:p w14:paraId="1EA4BB66" w14:textId="77777777" w:rsidR="004207ED" w:rsidRDefault="00000000">
      <w:pPr>
        <w:rPr>
          <w:rStyle w:val="Strong"/>
        </w:rPr>
      </w:pPr>
      <w:r>
        <w:rPr>
          <w:rStyle w:val="Strong"/>
        </w:rPr>
        <w:t>“İdari para cezalarının uygulanmasından önce ilgilinin savunması alınır. Savunma istendiğine ilişkin yazının tebliğ tarihinden itibaren otuz gün içinde savunma verilmemesi hâlinde, ilgilinin savunma hakkından feragat ettiği kabul edilir.”</w:t>
      </w:r>
    </w:p>
    <w:p w14:paraId="30B5F8CB" w14:textId="77777777" w:rsidR="004207ED" w:rsidRDefault="00000000">
      <w:pPr>
        <w:pStyle w:val="Bullet"/>
      </w:pPr>
      <w:r>
        <w:t>Cezaya karar verilmeden önce, ilgili gerçek veya tüzel kişiye resmî tebligat ile bildirim yapılır.</w:t>
      </w:r>
    </w:p>
    <w:p w14:paraId="50165B30" w14:textId="77777777" w:rsidR="004207ED" w:rsidRDefault="00000000">
      <w:pPr>
        <w:pStyle w:val="Bullet"/>
      </w:pPr>
      <w:r>
        <w:t>Tebliğden itibaren 30 gün içinde yazılı savunma sunulmalıdır.</w:t>
      </w:r>
    </w:p>
    <w:p w14:paraId="04B5194E" w14:textId="77777777" w:rsidR="004207ED" w:rsidRDefault="00000000">
      <w:pPr>
        <w:pStyle w:val="Bullet"/>
      </w:pPr>
      <w:r>
        <w:t>Süresinde savunma yapılmazsa, idare ilgilinin itiraz hakkından vazgeçtiğini varsayar ve kararı verir.</w:t>
      </w:r>
    </w:p>
    <w:p w14:paraId="32988926" w14:textId="77777777" w:rsidR="004207ED" w:rsidRDefault="00000000">
      <w:r>
        <w:t>Uygulamada kurumlar, bu yazıları hukuk birimleriyle hızla ele almalı ve süresi içinde teknik ve idari gerekçelere dayalı cevaplarını iletmelidir.</w:t>
      </w:r>
    </w:p>
    <w:p w14:paraId="20D2390B" w14:textId="77777777" w:rsidR="004207ED" w:rsidRDefault="00000000">
      <w:pPr>
        <w:pStyle w:val="Heading3"/>
      </w:pPr>
      <w:bookmarkStart w:id="38" w:name="_Toc197891014"/>
      <w:bookmarkStart w:id="39" w:name="_Toc198556994"/>
      <w:r>
        <w:t>Mükerrerlik Durumu ve Ceza Artırımı (17/2)</w:t>
      </w:r>
      <w:bookmarkEnd w:id="38"/>
      <w:bookmarkEnd w:id="39"/>
    </w:p>
    <w:p w14:paraId="3BE3245A" w14:textId="77777777" w:rsidR="004207ED" w:rsidRDefault="00000000">
      <w:pPr>
        <w:rPr>
          <w:rStyle w:val="Strong"/>
        </w:rPr>
      </w:pPr>
      <w:r>
        <w:rPr>
          <w:rStyle w:val="Strong"/>
        </w:rPr>
        <w:t>“Aynı kabahat birden fazla kez işlenmişse, ilgili kişiye tek ceza verilir; ancak bu ceza iki katına kadar artırılarak uygulanabilir.”</w:t>
      </w:r>
    </w:p>
    <w:p w14:paraId="13F663DE" w14:textId="77777777" w:rsidR="004207ED" w:rsidRDefault="00000000">
      <w:pPr>
        <w:pStyle w:val="Bullet"/>
      </w:pPr>
      <w:r>
        <w:t>Aynı fiilin tekrarlanması durumunda birden çok ceza verilmez.</w:t>
      </w:r>
    </w:p>
    <w:p w14:paraId="6E6206F3" w14:textId="77777777" w:rsidR="004207ED" w:rsidRDefault="00000000">
      <w:pPr>
        <w:pStyle w:val="Bullet"/>
      </w:pPr>
      <w:r>
        <w:t>Ancak ceza, artırımlı olarak tek kalemde uygulanabilir.</w:t>
      </w:r>
    </w:p>
    <w:p w14:paraId="41B1872C" w14:textId="77777777" w:rsidR="004207ED" w:rsidRDefault="00000000">
      <w:pPr>
        <w:pStyle w:val="Bullet"/>
      </w:pPr>
      <w:r>
        <w:t>Örneğin üç kez bildirim yükümlülüğünü yerine getirmeyen bir firmaya, tek ceza verilir ama %100 artırılabilir.</w:t>
      </w:r>
    </w:p>
    <w:p w14:paraId="529B763B" w14:textId="77777777" w:rsidR="004207ED" w:rsidRDefault="00000000">
      <w:r>
        <w:t>Uygulamada Bilgi Güvenliği Yöneticilerinin tekrar eden ihlalleri belgeleyip hızlıca çözümlemesi, ceza artış riskini azaltacaktır.</w:t>
      </w:r>
    </w:p>
    <w:p w14:paraId="311387B5" w14:textId="77777777" w:rsidR="004207ED" w:rsidRDefault="00000000">
      <w:pPr>
        <w:pStyle w:val="Heading3"/>
      </w:pPr>
      <w:bookmarkStart w:id="40" w:name="_Toc197891015"/>
      <w:bookmarkStart w:id="41" w:name="_Toc198556995"/>
      <w:r>
        <w:t>Menfaat veya Zarar Durumunda Ceza Hesaplaması (17/2, devamı)</w:t>
      </w:r>
      <w:bookmarkEnd w:id="40"/>
      <w:bookmarkEnd w:id="41"/>
    </w:p>
    <w:p w14:paraId="5549EF2A" w14:textId="77777777" w:rsidR="004207ED" w:rsidRDefault="00000000">
      <w:pPr>
        <w:rPr>
          <w:rStyle w:val="Strong"/>
        </w:rPr>
      </w:pPr>
      <w:r>
        <w:rPr>
          <w:rStyle w:val="Strong"/>
        </w:rPr>
        <w:t>“Kabahatin işlenmesiyle bir menfaat temin edilmesi veya zarara sebebiyet verilmesi hâlinde, ceza miktarı bu menfaatin veya zararın üç katından az, beş katından fazla olamaz.”</w:t>
      </w:r>
    </w:p>
    <w:p w14:paraId="1068F1E2" w14:textId="77777777" w:rsidR="004207ED" w:rsidRDefault="00000000">
      <w:pPr>
        <w:pStyle w:val="Bullet"/>
      </w:pPr>
      <w:r>
        <w:lastRenderedPageBreak/>
        <w:t xml:space="preserve">Eğer bir ihlal sonucunda kişi/kurum </w:t>
      </w:r>
      <w:r>
        <w:rPr>
          <w:b/>
          <w:bCs/>
        </w:rPr>
        <w:t>kazanç elde etmişse</w:t>
      </w:r>
      <w:r>
        <w:t xml:space="preserve"> ya da </w:t>
      </w:r>
      <w:r>
        <w:rPr>
          <w:b/>
          <w:bCs/>
        </w:rPr>
        <w:t>başkası zarar görmüşse</w:t>
      </w:r>
      <w:r>
        <w:t xml:space="preserve">, ceza, bu tutarın </w:t>
      </w:r>
      <w:r>
        <w:rPr>
          <w:b/>
          <w:bCs/>
        </w:rPr>
        <w:t>3 ila 5 katı</w:t>
      </w:r>
      <w:r>
        <w:t xml:space="preserve"> arasında hesaplanır.</w:t>
      </w:r>
    </w:p>
    <w:p w14:paraId="2514137D" w14:textId="77777777" w:rsidR="004207ED" w:rsidRDefault="00000000">
      <w:pPr>
        <w:pStyle w:val="Heading3"/>
      </w:pPr>
      <w:bookmarkStart w:id="42" w:name="_Toc197891016"/>
      <w:bookmarkStart w:id="43" w:name="_Toc198556996"/>
      <w:r>
        <w:t>Tahsilat Usulü ve Süresi (17/3–4)</w:t>
      </w:r>
      <w:bookmarkEnd w:id="42"/>
      <w:bookmarkEnd w:id="43"/>
    </w:p>
    <w:p w14:paraId="0E3C7895" w14:textId="77777777" w:rsidR="004207ED" w:rsidRDefault="00000000">
      <w:pPr>
        <w:rPr>
          <w:rStyle w:val="Strong"/>
        </w:rPr>
      </w:pPr>
      <w:r>
        <w:rPr>
          <w:rStyle w:val="Strong"/>
        </w:rPr>
        <w:t>“Para cezaları tebliğden itibaren bir ay içinde ödenir. Ödenmezse, 6183 sayılı Amme Alacaklarının Tahsil Usulü Hakkında Kanun kapsamında vergi dairelerince tahsil edilir.”</w:t>
      </w:r>
    </w:p>
    <w:p w14:paraId="40EA9B42" w14:textId="77777777" w:rsidR="004207ED" w:rsidRDefault="00000000">
      <w:pPr>
        <w:rPr>
          <w:rStyle w:val="Strong"/>
        </w:rPr>
      </w:pPr>
      <w:r>
        <w:rPr>
          <w:rStyle w:val="Strong"/>
        </w:rPr>
        <w:t>“Tahsil edilen cezaların %50’si Başkanlık bütçesine, %50’si genel bütçeye gelir kaydedilir.”</w:t>
      </w:r>
    </w:p>
    <w:p w14:paraId="0353167C" w14:textId="77777777" w:rsidR="004207ED" w:rsidRDefault="00000000">
      <w:pPr>
        <w:pStyle w:val="Bullet"/>
      </w:pPr>
      <w:r>
        <w:t xml:space="preserve">Ödeme süresi </w:t>
      </w:r>
      <w:r>
        <w:rPr>
          <w:b/>
          <w:bCs/>
        </w:rPr>
        <w:t>1 aydır</w:t>
      </w:r>
      <w:r>
        <w:t>.</w:t>
      </w:r>
    </w:p>
    <w:p w14:paraId="25924EEB" w14:textId="77777777" w:rsidR="004207ED" w:rsidRDefault="00000000">
      <w:pPr>
        <w:pStyle w:val="Bullet"/>
      </w:pPr>
      <w:r>
        <w:t>Süresinde ödenmeyen tutarlar vergi daireleri tarafından haciz, bloke vb. yollarla tahsil edilir.</w:t>
      </w:r>
    </w:p>
    <w:p w14:paraId="78EA45DE" w14:textId="77777777" w:rsidR="004207ED" w:rsidRDefault="00000000">
      <w:r>
        <w:t>Uygulamada firmalar cezaları zamanında ödemekle yükümlüdür. Aksi durumda kamu alacağı niteliğinde işlem yapılır, bu da itibar kaybı, bloke işlemleri ve finansal kısıtlamalara yol açar.</w:t>
      </w:r>
    </w:p>
    <w:p w14:paraId="4E8744D7" w14:textId="77777777" w:rsidR="004207ED" w:rsidRDefault="00000000">
      <w:pPr>
        <w:pStyle w:val="Heading3"/>
      </w:pPr>
      <w:bookmarkStart w:id="44" w:name="_Toc197891017"/>
      <w:bookmarkStart w:id="45" w:name="_Toc198556997"/>
      <w:r>
        <w:t>Yargı Yolu (17/5)</w:t>
      </w:r>
      <w:bookmarkEnd w:id="44"/>
      <w:bookmarkEnd w:id="45"/>
    </w:p>
    <w:p w14:paraId="3668DB3A" w14:textId="77777777" w:rsidR="004207ED" w:rsidRDefault="00000000">
      <w:pPr>
        <w:rPr>
          <w:rStyle w:val="Strong"/>
        </w:rPr>
      </w:pPr>
      <w:r>
        <w:rPr>
          <w:rStyle w:val="Strong"/>
        </w:rPr>
        <w:t>“İdari para cezası kararlarına karşı idari yargı yoluna başvurulabilir.”</w:t>
      </w:r>
    </w:p>
    <w:p w14:paraId="6FAF01DB" w14:textId="77777777" w:rsidR="004207ED" w:rsidRDefault="00000000">
      <w:pPr>
        <w:pStyle w:val="Bullet"/>
      </w:pPr>
      <w:r>
        <w:t>İlgililer, kendilerine uygulanan idari para cezasına karşı İdare Mahkemesi nezdinde dava açabilir.</w:t>
      </w:r>
    </w:p>
    <w:p w14:paraId="27E71AD5" w14:textId="77777777" w:rsidR="004207ED" w:rsidRDefault="00000000">
      <w:pPr>
        <w:pStyle w:val="Bullet"/>
      </w:pPr>
      <w:r>
        <w:t>Bu başvuru, tebliğden itibaren 60 gün içinde yapılmalıdır (İYUK m.7).</w:t>
      </w:r>
    </w:p>
    <w:p w14:paraId="67FD22FC" w14:textId="77777777" w:rsidR="004207ED" w:rsidRDefault="00000000">
      <w:r>
        <w:t>Kurumsal hukuk ekipleri cezaların haksız veya ölçüsüz olduğunu düşünüyorsa, yargı yoluna başvurarak iptal davası açabilir. Bu süreç, savunma belgesi, loglar, bildirim kayıtları gibi teknik delillerle desteklenmelidir.</w:t>
      </w:r>
    </w:p>
    <w:p w14:paraId="753413EE" w14:textId="77777777" w:rsidR="004207ED" w:rsidRDefault="00000000">
      <w:pPr>
        <w:pStyle w:val="Heading2"/>
      </w:pPr>
      <w:bookmarkStart w:id="46" w:name="_Toc197891018"/>
      <w:bookmarkStart w:id="47" w:name="_Toc198556998"/>
      <w:r>
        <w:t>Hukuk Birimiyle Koordinasyon Gerektiren Başlıca Hususlar</w:t>
      </w:r>
      <w:bookmarkEnd w:id="46"/>
      <w:bookmarkEnd w:id="47"/>
    </w:p>
    <w:p w14:paraId="69ED915C" w14:textId="77777777" w:rsidR="004207ED" w:rsidRDefault="00000000">
      <w:r>
        <w:t xml:space="preserve">EK-4’te yer alan tabloda idari para cezaları sürecine ilişkin olarak, </w:t>
      </w:r>
      <w:r>
        <w:rPr>
          <w:b/>
          <w:bCs/>
        </w:rPr>
        <w:t>teknik birimler ile hukuk birimi arasında yürütülmesi gereken koordinasyonu</w:t>
      </w:r>
      <w:r>
        <w:t xml:space="preserve"> gösteren örnekler yer almaktadır. Her kurum için farklı koordinasyon hususları olabileceği düşünüldüğünde verilen örnekler fikir vermesi açısından dikkate alınabilir.</w:t>
      </w:r>
    </w:p>
    <w:p w14:paraId="59EE7905" w14:textId="77777777" w:rsidR="004207ED" w:rsidRDefault="00000000">
      <w:pPr>
        <w:pStyle w:val="Heading1"/>
      </w:pPr>
      <w:bookmarkStart w:id="48" w:name="_Toc197891019"/>
      <w:bookmarkStart w:id="49" w:name="_Toc198556999"/>
      <w:r>
        <w:t>ALTINCI BÖLÜM ÇEŞİTLİ VE SON HÜKÜMLER (MADDE 18-21)</w:t>
      </w:r>
      <w:bookmarkEnd w:id="48"/>
      <w:bookmarkEnd w:id="49"/>
    </w:p>
    <w:p w14:paraId="2CA5A5A9" w14:textId="77777777" w:rsidR="004207ED" w:rsidRDefault="00000000">
      <w:r>
        <w:t>Siber Güvenlik Kanunu’nun Altıncı Bölümü, daha önceki hükümlerin tamamlayıcısı niteliğindedir ve özellikle uygulamaya ilişkin teknik, geçişsel ve idari ayrıntıları netleştirmektedir.</w:t>
      </w:r>
    </w:p>
    <w:p w14:paraId="69D10CFF" w14:textId="77777777" w:rsidR="004207ED" w:rsidRDefault="00000000">
      <w:pPr>
        <w:pStyle w:val="Heading2"/>
      </w:pPr>
      <w:bookmarkStart w:id="50" w:name="_Toc197891020"/>
      <w:bookmarkStart w:id="51" w:name="_Toc198557000"/>
      <w:r>
        <w:t>Siber Güvenlik Ürünleri ve Şirketleri (Madde 18)</w:t>
      </w:r>
      <w:bookmarkEnd w:id="50"/>
      <w:bookmarkEnd w:id="51"/>
    </w:p>
    <w:p w14:paraId="13EC9337" w14:textId="77777777" w:rsidR="004207ED" w:rsidRDefault="00000000">
      <w:r>
        <w:rPr>
          <w:b/>
          <w:bCs/>
        </w:rPr>
        <w:t>Siber güvenlik ürün, sistem, yazılım, donanım ve hizmetlerin yurt dışına satışı:</w:t>
      </w:r>
      <w:r>
        <w:t xml:space="preserve"> Başkanlık tarafından belirlenecek usul ve esaslara tabi olacaktır. </w:t>
      </w:r>
      <w:r>
        <w:rPr>
          <w:b/>
          <w:bCs/>
        </w:rPr>
        <w:t xml:space="preserve">Başkanlıkça belirlenecek usul ve esaslarda yer alan izne tabi ürünlerin </w:t>
      </w:r>
      <w:r>
        <w:t>yurt dışına satışı için Başkanlık onayı alınacaktır.</w:t>
      </w:r>
    </w:p>
    <w:p w14:paraId="75D87321" w14:textId="77777777" w:rsidR="004207ED" w:rsidRDefault="00000000">
      <w:r>
        <w:rPr>
          <w:b/>
          <w:bCs/>
        </w:rPr>
        <w:t>Satış, birleşme, pay devri vb. işlemler:</w:t>
      </w:r>
      <w:r>
        <w:t xml:space="preserve"> Siber güvenlik ürün, sistem, yazılım, donanım ve hizmetleri üreten şirketler, bu tür değişiklikleri önceden Başkanlığa bildirmek ve onay almak zorunda. Başkanlık, bu işlemleri denetleyebilir; uygun görmediği işlemlerin hukuki geçerliliği bulunmaz.</w:t>
      </w:r>
    </w:p>
    <w:p w14:paraId="0BC5A424" w14:textId="77777777" w:rsidR="004207ED" w:rsidRDefault="00000000">
      <w:r>
        <w:t xml:space="preserve">Bu madde, sektörde faaliyet gösteren firmalar için doğrudan bir uyum yükümlülüğü yaratır. Özellikle sermaye hareketleri ve şirket yapısındaki değişiklikler Başkanlık onayına bağlanmıştır. Madde kapsamındaki tanım oldukça geniştir ve yalnızca "klasik" güvenlik ürünlerini değil, </w:t>
      </w:r>
      <w:r>
        <w:rPr>
          <w:b/>
          <w:bCs/>
        </w:rPr>
        <w:t>siber güvenliğe doğrudan hizmet eden “her türlü” yazılım, donanım, sistem ve hizmet sağlayıcısını kapsayacak şekilde anlaşılmalıdır.</w:t>
      </w:r>
      <w:r>
        <w:t xml:space="preserve"> Hangi şirketlerin bu kapsama girdiği konusunda netlik ikincil düzenlemelerle </w:t>
      </w:r>
      <w:r>
        <w:lastRenderedPageBreak/>
        <w:t>sağlanacaktır, ancak risk yönetimi açısından şirketlerin şimdiden bu alanlara yönelik envanterini ve iş modelini değerlendirmeye alması gerektiği değerlendirilmektedir.</w:t>
      </w:r>
    </w:p>
    <w:p w14:paraId="3836A2F7" w14:textId="77777777" w:rsidR="004207ED" w:rsidRDefault="00000000">
      <w:pPr>
        <w:pStyle w:val="Heading2"/>
      </w:pPr>
      <w:bookmarkStart w:id="52" w:name="_Toc197891021"/>
      <w:bookmarkStart w:id="53" w:name="_Toc198557001"/>
      <w:r>
        <w:t>Değiştirilen ve Yürürlükten Kaldırılan Hükümler (Madde 19)</w:t>
      </w:r>
      <w:bookmarkEnd w:id="52"/>
      <w:bookmarkEnd w:id="53"/>
    </w:p>
    <w:p w14:paraId="2316A5D0" w14:textId="77777777" w:rsidR="004207ED" w:rsidRDefault="00000000">
      <w:pPr>
        <w:pStyle w:val="Bullet"/>
      </w:pPr>
      <w:r>
        <w:t>BTK, Dijital Dönüşüm Ofisi, 5651 ve 5809 sayılı kanunlarda yer alan bazı yetkiler ve sorumluluklar kaldırılmış, bunlar Siber Güvenlik Başkanlığı’na devredilmiştir.</w:t>
      </w:r>
    </w:p>
    <w:p w14:paraId="36E3EC5D" w14:textId="77777777" w:rsidR="004207ED" w:rsidRDefault="00000000">
      <w:pPr>
        <w:pStyle w:val="Bullet"/>
      </w:pPr>
      <w:r>
        <w:t xml:space="preserve">Yeni kurulan Başkanlık, 5018 sayılı Kamu Mali Yönetimi Kanunu kapsamında </w:t>
      </w:r>
      <w:r>
        <w:rPr>
          <w:b/>
          <w:bCs/>
        </w:rPr>
        <w:t>özel bütçeli idare</w:t>
      </w:r>
      <w:r>
        <w:t xml:space="preserve"> statüsüne alınmıştır.</w:t>
      </w:r>
    </w:p>
    <w:p w14:paraId="60EF706B" w14:textId="77777777" w:rsidR="004207ED" w:rsidRDefault="00000000">
      <w:pPr>
        <w:pStyle w:val="Bullet"/>
      </w:pPr>
      <w:r>
        <w:t>Mevzuat uyumu sağlanması amacıyla diğer ilgili kanunlarda da değişiklikler yapılmıştır.</w:t>
      </w:r>
    </w:p>
    <w:p w14:paraId="5CB8A165" w14:textId="77777777" w:rsidR="004207ED" w:rsidRDefault="00000000">
      <w:pPr>
        <w:pStyle w:val="Heading2"/>
      </w:pPr>
      <w:bookmarkStart w:id="54" w:name="_Toc197891022"/>
      <w:bookmarkStart w:id="55" w:name="_Toc198557002"/>
      <w:r>
        <w:t>Geçici Hükümler (Geçici Madde 1)</w:t>
      </w:r>
      <w:bookmarkEnd w:id="54"/>
      <w:bookmarkEnd w:id="55"/>
    </w:p>
    <w:p w14:paraId="32148871" w14:textId="77777777" w:rsidR="004207ED" w:rsidRDefault="00000000">
      <w:r>
        <w:t>BTK ve Dijital Dönüşüm Ofisine ait ve ulusal siber güvenlik faaliyetleri kapsamında kullanılan her türlü taşınır, bilgi işlem altyapısı ve sistemler, taşıt, araç, gereç ve malzeme, fiziki ve elektronik ortamdaki her türlü kayıt ve doküman ile diğer her türlü varlık envanteri , her türlü borç ve alacaklar, hak ve yükümlülükler, Siber Güvenlik Başkanlığına bu Kanunun yayımından itibaren altı ay içerisinde devredilecektir.</w:t>
      </w:r>
    </w:p>
    <w:p w14:paraId="58C32E57" w14:textId="77777777" w:rsidR="004207ED" w:rsidRDefault="00000000">
      <w:r>
        <w:t>BTK ve Dijital Dönüşüm Ofisi’nden Siber Güvenlik Başkanlığı’na:</w:t>
      </w:r>
    </w:p>
    <w:p w14:paraId="52D5B0E5" w14:textId="77777777" w:rsidR="004207ED" w:rsidRDefault="00000000">
      <w:pPr>
        <w:pStyle w:val="Bullet"/>
      </w:pPr>
      <w:r>
        <w:t>Personel geçişi,</w:t>
      </w:r>
    </w:p>
    <w:p w14:paraId="6AF0339B" w14:textId="77777777" w:rsidR="004207ED" w:rsidRDefault="00000000">
      <w:pPr>
        <w:pStyle w:val="Bullet"/>
      </w:pPr>
      <w:r>
        <w:t>Varlık devri,</w:t>
      </w:r>
    </w:p>
    <w:p w14:paraId="1BF8A929" w14:textId="77777777" w:rsidR="004207ED" w:rsidRDefault="00000000">
      <w:pPr>
        <w:pStyle w:val="Bullet"/>
      </w:pPr>
      <w:r>
        <w:t>Sözleşmelerin aktarımı,</w:t>
      </w:r>
    </w:p>
    <w:p w14:paraId="2D7E5A72" w14:textId="77777777" w:rsidR="004207ED" w:rsidRDefault="00000000">
      <w:pPr>
        <w:pStyle w:val="Bullet"/>
      </w:pPr>
      <w:r>
        <w:t>Dava ve icra dosyalarının devri yapılacaktır.</w:t>
      </w:r>
    </w:p>
    <w:p w14:paraId="63608501" w14:textId="77777777" w:rsidR="004207ED" w:rsidRDefault="00000000">
      <w:r>
        <w:t xml:space="preserve">Siber güvenlik alanında faaliyet gösteren dernekler, şirketler ve vakıflar; Kanun’da belirtilen düzenlemelerin yürürlüğe girmesinden itibaren bir yıl içerisinde </w:t>
      </w:r>
      <w:r>
        <w:rPr>
          <w:b/>
          <w:bCs/>
        </w:rPr>
        <w:t xml:space="preserve">sertifikasyon, yetkilendirme ve belgelendirme işlemlerini tamamlamak zorundadır. </w:t>
      </w:r>
      <w:r>
        <w:t>Aksi hâlde faaliyetleri sona erdirilecek veya tasfiye süreci başlatılacaktır.</w:t>
      </w:r>
    </w:p>
    <w:p w14:paraId="08DB5D0B" w14:textId="77777777" w:rsidR="004207ED" w:rsidRDefault="00000000">
      <w:r>
        <w:t xml:space="preserve">Bu geçiş süreci, Başkanlık’ın tek otorite olarak </w:t>
      </w:r>
      <w:r>
        <w:rPr>
          <w:b/>
          <w:bCs/>
        </w:rPr>
        <w:t>idari, teknik ve yasal tüm gücü</w:t>
      </w:r>
      <w:r>
        <w:t xml:space="preserve"> devralması anlamına gelmektedir. </w:t>
      </w:r>
    </w:p>
    <w:p w14:paraId="628D3521" w14:textId="77777777" w:rsidR="004207ED" w:rsidRDefault="00000000">
      <w:r>
        <w:t xml:space="preserve">Kanunun uygulanmasına ilişkin düzenlemelerin </w:t>
      </w:r>
      <w:r>
        <w:rPr>
          <w:b/>
          <w:bCs/>
        </w:rPr>
        <w:t>bir yıl içinde yürürlüğe konulması öngörülmüştür.</w:t>
      </w:r>
    </w:p>
    <w:p w14:paraId="5E3C0D6D" w14:textId="77777777" w:rsidR="004207ED" w:rsidRDefault="00000000">
      <w:pPr>
        <w:pStyle w:val="Heading1"/>
      </w:pPr>
      <w:bookmarkStart w:id="56" w:name="_Toc197891023"/>
      <w:bookmarkStart w:id="57" w:name="_Toc198557003"/>
      <w:r>
        <w:t>FIRSATLAR VE ZORLUKLAR</w:t>
      </w:r>
      <w:bookmarkEnd w:id="56"/>
      <w:bookmarkEnd w:id="57"/>
    </w:p>
    <w:p w14:paraId="40DBF1A7" w14:textId="77777777" w:rsidR="004207ED" w:rsidRDefault="00000000">
      <w:r>
        <w:t xml:space="preserve">Siber Güvenlik Kanunu’nun yürürlüğe girmesiyle birlikte Türkiye'deki kamu kurumları, özel sektör ve kritik altyapı işletmecileri için önemli yapısal değişiklikler gündeme gelmiştir. Bu değişiklikler hem fırsatlar hem de zorluklar barındırmaktadır. </w:t>
      </w:r>
    </w:p>
    <w:p w14:paraId="50D27274" w14:textId="77777777" w:rsidR="004207ED" w:rsidRDefault="00000000">
      <w:pPr>
        <w:pStyle w:val="Heading2"/>
      </w:pPr>
      <w:bookmarkStart w:id="58" w:name="_Toc197891024"/>
      <w:bookmarkStart w:id="59" w:name="_Toc198557004"/>
      <w:r>
        <w:t>FIRSATLAR</w:t>
      </w:r>
      <w:bookmarkEnd w:id="58"/>
      <w:bookmarkEnd w:id="59"/>
    </w:p>
    <w:p w14:paraId="347D9D5D" w14:textId="77777777" w:rsidR="004207ED" w:rsidRDefault="00000000">
      <w:pPr>
        <w:pStyle w:val="Heading3"/>
      </w:pPr>
      <w:bookmarkStart w:id="60" w:name="_Toc197891025"/>
      <w:bookmarkStart w:id="61" w:name="_Toc198557005"/>
      <w:r>
        <w:t>Kurumsal Dayanıklılığın Artması</w:t>
      </w:r>
      <w:bookmarkEnd w:id="60"/>
      <w:bookmarkEnd w:id="61"/>
    </w:p>
    <w:p w14:paraId="520ACEBA" w14:textId="77777777" w:rsidR="004207ED" w:rsidRDefault="00000000">
      <w:r>
        <w:t xml:space="preserve">Kanun, tüm aktörlerin siber dayanıklılık düzeyini artırmaya zorunlu hâle getirmektedir. Bu, özellikle özel sektörde siber güvenliğin bir </w:t>
      </w:r>
      <w:r>
        <w:rPr>
          <w:b/>
          <w:bCs/>
        </w:rPr>
        <w:t>“maliyet merkezi”</w:t>
      </w:r>
      <w:r>
        <w:t xml:space="preserve"> değil, kurumsal sürdürülebilirliğin bir parçası olarak görülmesini sağlayacaktır.</w:t>
      </w:r>
    </w:p>
    <w:p w14:paraId="03A99C87" w14:textId="77777777" w:rsidR="004207ED" w:rsidRDefault="00000000">
      <w:r>
        <w:t xml:space="preserve">Kanunla birlikte siber güvenlik artık maliyet merkezi değil, bir yatırım alanı haline gelmiştir. Siber Güvenlik Kanunu, yalnızca teknik bir düzenleme değil, aynı zamanda kurumların yönetişim yapısını dönüştürecek nitelikte stratejik bir müdahaledir. Bu bağlamda, kanun tüm aktörleri siber güvenlik </w:t>
      </w:r>
      <w:r>
        <w:lastRenderedPageBreak/>
        <w:t>düzeylerini artırmaya yasal olarak zorunlu kılmaktadır ve bu da şu temel dönüşümü beraberinde getirmektedir;</w:t>
      </w:r>
    </w:p>
    <w:p w14:paraId="1CE68A30" w14:textId="77777777" w:rsidR="004207ED" w:rsidRDefault="00000000">
      <w:pPr>
        <w:pStyle w:val="Heading4"/>
      </w:pPr>
      <w:r>
        <w:t>Maliyet Merkezinden Değer Üretimine Geçiş</w:t>
      </w:r>
    </w:p>
    <w:p w14:paraId="53500E2E" w14:textId="77777777" w:rsidR="004207ED" w:rsidRDefault="00000000">
      <w:r>
        <w:t xml:space="preserve">Önceki yaklaşımda siber güvenlik genellikle “zarar olmasın diye yapılan harcama” olarak konumlanır, yani bir </w:t>
      </w:r>
      <w:r>
        <w:rPr>
          <w:b/>
          <w:bCs/>
        </w:rPr>
        <w:t>koruma gideri</w:t>
      </w:r>
      <w:r>
        <w:t xml:space="preserve"> olarak görülürdü. Ancak Kanun ile birlikte;</w:t>
      </w:r>
    </w:p>
    <w:p w14:paraId="413CE423" w14:textId="77777777" w:rsidR="004207ED" w:rsidRDefault="00000000">
      <w:pPr>
        <w:pStyle w:val="Bullet"/>
      </w:pPr>
      <w:r>
        <w:t xml:space="preserve">Güvenlik altyapısı olmayan ya da eksik olan kurumlar </w:t>
      </w:r>
      <w:r>
        <w:rPr>
          <w:b/>
          <w:bCs/>
        </w:rPr>
        <w:t>cezai ve idari yaptırımlarla</w:t>
      </w:r>
      <w:r>
        <w:t xml:space="preserve"> karşılaşabilir.</w:t>
      </w:r>
    </w:p>
    <w:p w14:paraId="5808DBFE" w14:textId="77777777" w:rsidR="004207ED" w:rsidRDefault="00000000">
      <w:pPr>
        <w:pStyle w:val="Bullet"/>
      </w:pPr>
      <w:r>
        <w:t xml:space="preserve">Denetimlere hazırlıksız yakalanan kurumlar, </w:t>
      </w:r>
      <w:r>
        <w:rPr>
          <w:b/>
          <w:bCs/>
        </w:rPr>
        <w:t>itibar kaybı</w:t>
      </w:r>
      <w:r>
        <w:t xml:space="preserve"> yaşama riskiyle karşı karşıya kalabilir.</w:t>
      </w:r>
    </w:p>
    <w:p w14:paraId="66EC91D6" w14:textId="77777777" w:rsidR="004207ED" w:rsidRDefault="00000000">
      <w:pPr>
        <w:pStyle w:val="Bullet"/>
      </w:pPr>
      <w:r>
        <w:t>Riskin gerçekleşmesi durumunda veri sızıntısı, hizmet kesintisi ve yasal sorumluluklar doğabilir.</w:t>
      </w:r>
    </w:p>
    <w:p w14:paraId="1CA3B488" w14:textId="77777777" w:rsidR="004207ED" w:rsidRDefault="00000000">
      <w:r>
        <w:t xml:space="preserve">Dolayısıyla, güvenlik harcaması artık “gereksiz masraf” değil, </w:t>
      </w:r>
      <w:r>
        <w:rPr>
          <w:b/>
          <w:bCs/>
        </w:rPr>
        <w:t>zarar riskini minimize eden bir yatırım</w:t>
      </w:r>
      <w:r>
        <w:t xml:space="preserve"> hâline gelmiştir.</w:t>
      </w:r>
    </w:p>
    <w:p w14:paraId="4F518D90" w14:textId="77777777" w:rsidR="004207ED" w:rsidRDefault="00000000">
      <w:pPr>
        <w:pStyle w:val="Heading4"/>
      </w:pPr>
      <w:r>
        <w:t>Sürdürülebilirliğin Ana Unsuru Olarak Güvenlik</w:t>
      </w:r>
    </w:p>
    <w:p w14:paraId="06B0A415" w14:textId="77777777" w:rsidR="004207ED" w:rsidRDefault="00000000">
      <w:r>
        <w:t>Kanun’un hedeflediği yapı, yalnızca güvenlik tedbirlerinin alınmasını değil, bu tedbirlerin;</w:t>
      </w:r>
    </w:p>
    <w:p w14:paraId="41937A24" w14:textId="77777777" w:rsidR="004207ED" w:rsidRDefault="00000000">
      <w:pPr>
        <w:pStyle w:val="Bullet"/>
      </w:pPr>
      <w:r>
        <w:t>Süreçlerle entegre edilmesini,</w:t>
      </w:r>
    </w:p>
    <w:p w14:paraId="51C19FFA" w14:textId="77777777" w:rsidR="004207ED" w:rsidRDefault="00000000">
      <w:pPr>
        <w:pStyle w:val="Bullet"/>
      </w:pPr>
      <w:r>
        <w:t>Kurumsal kültür hâline getirilmesini,</w:t>
      </w:r>
    </w:p>
    <w:p w14:paraId="0C231F0D" w14:textId="77777777" w:rsidR="004207ED" w:rsidRDefault="00000000">
      <w:pPr>
        <w:pStyle w:val="Bullet"/>
      </w:pPr>
      <w:r>
        <w:t>Kurum içi denetim ve iyileştirme döngüleriyle sürdürülmesini zorunlu kılmaktadır.</w:t>
      </w:r>
    </w:p>
    <w:p w14:paraId="3A6AF869" w14:textId="77777777" w:rsidR="004207ED" w:rsidRDefault="00000000">
      <w:r>
        <w:t>Bu da ISO 27001, NIST ve COBIT gibi sürekli gelişim odaklı çerçevelerle benzeşmektedir. Bu çerçevede siber güvenlik, artık yalnızca BT birimlerinin değil; risk yönetimi, hukuk, insan kaynakları ve üst yönetimin doğrudan sorumluluk alanına giren bir kurumsal sürdürülebilirlik unsurudur.</w:t>
      </w:r>
    </w:p>
    <w:p w14:paraId="34C8A0F2" w14:textId="77777777" w:rsidR="004207ED" w:rsidRDefault="00000000">
      <w:pPr>
        <w:pStyle w:val="Heading4"/>
      </w:pPr>
      <w:r>
        <w:t>Yatırım Kararlarında Güvenliğin Öncelikli Hale Gelmesi</w:t>
      </w:r>
    </w:p>
    <w:p w14:paraId="0FD344BA" w14:textId="77777777" w:rsidR="004207ED" w:rsidRDefault="00000000">
      <w:r>
        <w:t>Kanun ile birlikte;</w:t>
      </w:r>
    </w:p>
    <w:p w14:paraId="37003AC2" w14:textId="77777777" w:rsidR="004207ED" w:rsidRDefault="00000000">
      <w:pPr>
        <w:pStyle w:val="Bullet"/>
      </w:pPr>
      <w:r>
        <w:t>Yeni hizmet alımlarında, sistem kurulumlarında veya dış kaynak kullanımında güvenlik kriterleri birincil değerlendirme ölçütü hâline gelecektir.</w:t>
      </w:r>
    </w:p>
    <w:p w14:paraId="1EDAFE3E" w14:textId="77777777" w:rsidR="004207ED" w:rsidRDefault="00000000">
      <w:pPr>
        <w:pStyle w:val="Bullet"/>
      </w:pPr>
      <w:r>
        <w:t>Uygunsuz ürün ya da hizmetin kullanımı engellenebilir veya denetim bulgusu olarak değerlendirilebilir, hatta cezaî yaptırımlara tabi olabilir.</w:t>
      </w:r>
    </w:p>
    <w:p w14:paraId="52585B3A" w14:textId="77777777" w:rsidR="004207ED" w:rsidRDefault="00000000">
      <w:pPr>
        <w:pStyle w:val="Bullet"/>
      </w:pPr>
      <w:r>
        <w:t>Başkanlık tarafından belirlenen teknik kriterlere uymayan altyapıların idari sorumluluğu doğabilir.</w:t>
      </w:r>
    </w:p>
    <w:p w14:paraId="22B09D95" w14:textId="77777777" w:rsidR="004207ED" w:rsidRDefault="00000000">
      <w:r>
        <w:t>Bu da yöneticileri sadece maliyet odaklı değil, uyum ve sürdürülebilirlik odaklı yatırım planlamasına zorlayacaktır.</w:t>
      </w:r>
    </w:p>
    <w:p w14:paraId="6C9A2AFA" w14:textId="77777777" w:rsidR="004207ED" w:rsidRDefault="00000000">
      <w:pPr>
        <w:pStyle w:val="Heading4"/>
      </w:pPr>
      <w:r>
        <w:t>Rekabet Üstünlüğü Sağlayan Bir Güvenlik Kültürü</w:t>
      </w:r>
    </w:p>
    <w:p w14:paraId="716FAE74" w14:textId="77777777" w:rsidR="004207ED" w:rsidRDefault="00000000">
      <w:r>
        <w:t>Siber güvenliğe yatırım yapan, politikalarını güncelleyen ve süreçlerini kayıt altına alan firmalar;</w:t>
      </w:r>
    </w:p>
    <w:p w14:paraId="64849F3C" w14:textId="77777777" w:rsidR="004207ED" w:rsidRDefault="00000000">
      <w:pPr>
        <w:pStyle w:val="Bullet"/>
      </w:pPr>
      <w:r>
        <w:t>Denetimlerde daha iyi performans gösterir,</w:t>
      </w:r>
    </w:p>
    <w:p w14:paraId="4EDDADD1" w14:textId="77777777" w:rsidR="004207ED" w:rsidRDefault="00000000">
      <w:pPr>
        <w:pStyle w:val="Bullet"/>
      </w:pPr>
      <w:r>
        <w:t xml:space="preserve">Müşterilere karşı </w:t>
      </w:r>
      <w:r>
        <w:rPr>
          <w:b/>
          <w:bCs/>
        </w:rPr>
        <w:t>güven veren kurumlar</w:t>
      </w:r>
      <w:r>
        <w:t xml:space="preserve"> hâline gelir,</w:t>
      </w:r>
    </w:p>
    <w:p w14:paraId="29620FC8" w14:textId="77777777" w:rsidR="004207ED" w:rsidRDefault="00000000">
      <w:pPr>
        <w:pStyle w:val="Bullet"/>
      </w:pPr>
      <w:r>
        <w:t>Uluslararası standartlara uyum sayesinde yeni iş birliklerine açık olur.</w:t>
      </w:r>
    </w:p>
    <w:p w14:paraId="320431DE" w14:textId="77777777" w:rsidR="004207ED" w:rsidRDefault="00000000">
      <w:r>
        <w:t>Bu dönüşüm, siber güvenliğin sadece “zarar önleyici” değil, marka değeri artırıcı ve iş sürekliliği sağlayıcı bir stratejik araç olduğunu göstermektedir.</w:t>
      </w:r>
    </w:p>
    <w:p w14:paraId="65F9CCB1" w14:textId="77777777" w:rsidR="004207ED" w:rsidRDefault="00000000">
      <w:pPr>
        <w:pStyle w:val="Heading3"/>
      </w:pPr>
      <w:bookmarkStart w:id="62" w:name="_Toc197891026"/>
      <w:bookmarkStart w:id="63" w:name="_Toc198557006"/>
      <w:r>
        <w:t>Yerli ve Millî Ürünlerin Teşvik Edilmesi</w:t>
      </w:r>
      <w:bookmarkEnd w:id="62"/>
      <w:bookmarkEnd w:id="63"/>
    </w:p>
    <w:p w14:paraId="3B2E813C" w14:textId="77777777" w:rsidR="004207ED" w:rsidRDefault="00000000">
      <w:r>
        <w:t xml:space="preserve">Yerli ürün kullanımının öncelikli ilke olarak benimsenmesi, hem iç pazarda Ar-Ge'ye dayalı güvenlik ürünlerine olan talebi artıracak hem de teknoloji firmaları için ticari fırsatlar yaratacaktır. Yerli ve millî ürünlerin teşviki, daha önce birçok politika belgesinde, Cumhurbaşkanlığı Kararnamelerinde ve strateji </w:t>
      </w:r>
      <w:r>
        <w:lastRenderedPageBreak/>
        <w:t>planlarında dile getirilmiş olsa da Siber Güvenlik Kanunu bu teşviki artık bir “ilke beyanı” düzeyinden çıkarıp, normatif, bağlayıcı ve denetime açık bir yükümlülüğe dönüştürmektedir.</w:t>
      </w:r>
    </w:p>
    <w:p w14:paraId="0220B9F6" w14:textId="77777777" w:rsidR="004207ED" w:rsidRDefault="00000000">
      <w:r>
        <w:t>Önceden dönemsel ve genellikle belirsizlik içeren teşvik politikalarından farklı olarak kanunla birlikte ortaya çıkan sertifikasyon, denetim ve ürün kabul yapısı, yerli üreticilerin yatırım planlarını orta ve uzun vadeli yapabilmesini mümkün kılacaktır.</w:t>
      </w:r>
    </w:p>
    <w:p w14:paraId="3C8AB9B5" w14:textId="77777777" w:rsidR="004207ED" w:rsidRDefault="00000000">
      <w:pPr>
        <w:pStyle w:val="Heading3"/>
      </w:pPr>
      <w:bookmarkStart w:id="64" w:name="_Toc197891027"/>
      <w:bookmarkStart w:id="65" w:name="_Toc198557007"/>
      <w:r>
        <w:t>Yeni Hizmet ve Sertifikasyon Alanları</w:t>
      </w:r>
      <w:bookmarkEnd w:id="64"/>
      <w:bookmarkEnd w:id="65"/>
    </w:p>
    <w:p w14:paraId="31031618" w14:textId="77777777" w:rsidR="004207ED" w:rsidRDefault="00000000">
      <w:r>
        <w:t>Kanunun getirdiği sertifikasyon, yetkilendirme, denetim gibi süreçler; danışmanlık, eğitim, denetim ve ürün sertifikasyon hizmetleri sunan firmalar için yeni iş alanları doğuracaktır.</w:t>
      </w:r>
    </w:p>
    <w:p w14:paraId="5E73702E" w14:textId="77777777" w:rsidR="004207ED" w:rsidRDefault="00000000">
      <w:pPr>
        <w:pStyle w:val="Heading4"/>
      </w:pPr>
      <w:r>
        <w:t>Ürün ve Hizmet Sertifikasyon Hizmetleri</w:t>
      </w:r>
    </w:p>
    <w:p w14:paraId="0DA39045" w14:textId="77777777" w:rsidR="004207ED" w:rsidRDefault="00000000">
      <w:r>
        <w:t>Kanun’un 5/ğ ve 6/ı bentleri, Başkanlığa siber güvenlik ürün, yazılım, donanım ve hizmetlerine yönelik test ve sertifikasyon işlemleri yürütme, buna ilişkin altyapı kurma/kurdurma ve özel kuruluşları yetkilendirme yetkisi vermektedir. Bu çerçeved;</w:t>
      </w:r>
    </w:p>
    <w:p w14:paraId="56E26EB2" w14:textId="77777777" w:rsidR="004207ED" w:rsidRDefault="00000000">
      <w:pPr>
        <w:pStyle w:val="Bullet"/>
      </w:pPr>
      <w:r>
        <w:t>Test laboratuvarları kurmak isteyen teknoloji firmaları için yeni bir sektör açılabilir.</w:t>
      </w:r>
    </w:p>
    <w:p w14:paraId="47BD9561" w14:textId="77777777" w:rsidR="004207ED" w:rsidRDefault="00000000">
      <w:pPr>
        <w:pStyle w:val="Bullet"/>
      </w:pPr>
      <w:r>
        <w:t>Akredite test ve belgelendirme kuruluşları, Başkanlık tarafından yetkilendirilerek hizmet verebilir.</w:t>
      </w:r>
    </w:p>
    <w:p w14:paraId="4F188799" w14:textId="77777777" w:rsidR="004207ED" w:rsidRDefault="00000000">
      <w:pPr>
        <w:pStyle w:val="Bullet"/>
      </w:pPr>
      <w:r>
        <w:t>Yerli yazılım/donanım firmaları, sertifikasyon hizmeti satın almak zorunda kalacağından, bu alandaki firmalar için sürdürülebilir gelir akışı oluşabilir.</w:t>
      </w:r>
    </w:p>
    <w:p w14:paraId="7B16DEDB" w14:textId="77777777" w:rsidR="004207ED" w:rsidRDefault="00000000">
      <w:pPr>
        <w:pStyle w:val="Heading4"/>
      </w:pPr>
      <w:r>
        <w:t>Bağımsız Denetim Kuruluşları</w:t>
      </w:r>
    </w:p>
    <w:p w14:paraId="37707570" w14:textId="77777777" w:rsidR="004207ED" w:rsidRDefault="00000000">
      <w:r>
        <w:t>Kanun’un 8. maddesi uyarınca denetim görevini yürütecek bağımsız denetçiler ve bağımsız denetim kuruluşları, Başkanlık tarafından yetkilendirilecektir. Bu kapsamda da aşağıdaki gereksinim ve talepler ortaya çıkarabilecektir;</w:t>
      </w:r>
    </w:p>
    <w:p w14:paraId="70562985" w14:textId="77777777" w:rsidR="004207ED" w:rsidRDefault="00000000">
      <w:pPr>
        <w:pStyle w:val="Bullet"/>
      </w:pPr>
      <w:r>
        <w:t>Mevcut IT denetim ve danışmanlık firmaları için siber güvenlik odaklı denetim yetkisi,</w:t>
      </w:r>
    </w:p>
    <w:p w14:paraId="3483B95F" w14:textId="77777777" w:rsidR="004207ED" w:rsidRDefault="00000000">
      <w:pPr>
        <w:pStyle w:val="Bullet"/>
      </w:pPr>
      <w:r>
        <w:t>Kurum içi ön denetim, mevzuata uyum kontrolü ve risk değerlendirmesi gibi hizmetlere olan talep,</w:t>
      </w:r>
    </w:p>
    <w:p w14:paraId="3C6B3446" w14:textId="77777777" w:rsidR="004207ED" w:rsidRDefault="00000000">
      <w:pPr>
        <w:pStyle w:val="Bullet"/>
      </w:pPr>
      <w:r>
        <w:t>Özellikle kritik altyapıların periyodik denetimi için sürekli hizmet anlaşmaları.</w:t>
      </w:r>
    </w:p>
    <w:p w14:paraId="77C13532" w14:textId="77777777" w:rsidR="004207ED" w:rsidRDefault="00000000">
      <w:pPr>
        <w:pStyle w:val="Heading4"/>
      </w:pPr>
      <w:r>
        <w:t>Eğitim ve Belgelendirme Hizmetleri</w:t>
      </w:r>
    </w:p>
    <w:p w14:paraId="4A22C237" w14:textId="77777777" w:rsidR="004207ED" w:rsidRDefault="00000000">
      <w:r>
        <w:t xml:space="preserve">CISO’lar, IT ekipleri, SOME personeli, BT yöneticileri ve yöneticilerin </w:t>
      </w:r>
      <w:r>
        <w:rPr>
          <w:b/>
          <w:bCs/>
        </w:rPr>
        <w:t>yasal uyum</w:t>
      </w:r>
      <w:r>
        <w:t xml:space="preserve">, </w:t>
      </w:r>
      <w:r>
        <w:rPr>
          <w:b/>
          <w:bCs/>
        </w:rPr>
        <w:t>denetime hazırlık</w:t>
      </w:r>
      <w:r>
        <w:t xml:space="preserve">, </w:t>
      </w:r>
      <w:r>
        <w:rPr>
          <w:b/>
          <w:bCs/>
        </w:rPr>
        <w:t>olay müdahale prosedürleri</w:t>
      </w:r>
      <w:r>
        <w:t xml:space="preserve"> gibi konularda eğitilmesi gerekecektir. Bu kapsamda;</w:t>
      </w:r>
    </w:p>
    <w:p w14:paraId="328185FB" w14:textId="77777777" w:rsidR="004207ED" w:rsidRDefault="00000000">
      <w:pPr>
        <w:pStyle w:val="Bullet"/>
      </w:pPr>
      <w:r>
        <w:t>Başkanlıkça tanınan eğitim kurumları veya iş birliği yapılan üniversiteler bu alanda programlar açabilir.</w:t>
      </w:r>
    </w:p>
    <w:p w14:paraId="2DFDCB65" w14:textId="77777777" w:rsidR="004207ED" w:rsidRDefault="00000000">
      <w:pPr>
        <w:pStyle w:val="Bullet"/>
      </w:pPr>
      <w:r>
        <w:t>Sertifikalı eğitim programları ve sınavlar geliştirilebilir (ör. “Kanuna Uyumlu SOME Yöneticiliği”).</w:t>
      </w:r>
    </w:p>
    <w:p w14:paraId="7C70BA07" w14:textId="77777777" w:rsidR="004207ED" w:rsidRDefault="00000000">
      <w:pPr>
        <w:pStyle w:val="Bullet"/>
      </w:pPr>
      <w:r>
        <w:t>Kurumlara yönelik özel “kanuna uyum eğitim modülleri” ve iç paydaşlara farkındalık seminerleri yaygınlaşabilir.</w:t>
      </w:r>
    </w:p>
    <w:p w14:paraId="0B9DA4AB" w14:textId="77777777" w:rsidR="004207ED" w:rsidRDefault="00000000">
      <w:pPr>
        <w:pStyle w:val="Heading4"/>
      </w:pPr>
      <w:r>
        <w:t>Teknik Entegrasyon ve Danışmanlık Hizmetleri</w:t>
      </w:r>
    </w:p>
    <w:p w14:paraId="39C2ECFE" w14:textId="77777777" w:rsidR="004207ED" w:rsidRDefault="00000000">
      <w:r>
        <w:t>Kanun, log kaydı tutma, risk analizi, zafiyet testi, olay bildirimi, veri sınıflandırma gibi çok sayıda teknik ve operasyonel yükümlülük getirmektedir. Bu alanlarda:</w:t>
      </w:r>
    </w:p>
    <w:p w14:paraId="060AA0F2" w14:textId="77777777" w:rsidR="004207ED" w:rsidRDefault="00000000">
      <w:pPr>
        <w:pStyle w:val="Bullet"/>
      </w:pPr>
      <w:r>
        <w:t>BT altyapılarının kanuna uygun hâle getirilmesi için proje bazlı uyum danışmanlığı ihtiyacı artacaktır.</w:t>
      </w:r>
    </w:p>
    <w:p w14:paraId="60CD2121" w14:textId="77777777" w:rsidR="004207ED" w:rsidRDefault="00000000">
      <w:pPr>
        <w:pStyle w:val="Bullet"/>
      </w:pPr>
      <w:r>
        <w:t>Log yönetimi danışmanlığı, SIEM entegrasyonu, olay izleme altyapısı kurulumu gibi teknik entegrasyon ve yönetilebilir güvenlik (MSSP) danışmanlık hizmetleri önem kazanacaktır.</w:t>
      </w:r>
    </w:p>
    <w:p w14:paraId="387CD830" w14:textId="77777777" w:rsidR="004207ED" w:rsidRDefault="00000000">
      <w:pPr>
        <w:pStyle w:val="Bullet"/>
      </w:pPr>
      <w:r>
        <w:lastRenderedPageBreak/>
        <w:t>KVKK vb. Uyumluluk gereksinimleri ile çakışan alanlarda çapraz hukuk/teknoloji danışmanlığı gerekecektir.</w:t>
      </w:r>
    </w:p>
    <w:p w14:paraId="287E842D" w14:textId="77777777" w:rsidR="004207ED" w:rsidRDefault="00000000">
      <w:pPr>
        <w:pStyle w:val="Heading4"/>
      </w:pPr>
      <w:r>
        <w:t>Süreç ve Politika Geliştirme</w:t>
      </w:r>
    </w:p>
    <w:p w14:paraId="18A18AEA" w14:textId="77777777" w:rsidR="004207ED" w:rsidRDefault="00000000">
      <w:r>
        <w:t>Yönetim sistemlerine uyumlu politika setlerinin oluşturulması, iç prosedürlerin yazılması, raporlama süreçlerinin yapılandırılması gerekecektir. Bu kapsamda;</w:t>
      </w:r>
    </w:p>
    <w:p w14:paraId="085B0150" w14:textId="77777777" w:rsidR="004207ED" w:rsidRDefault="00000000">
      <w:pPr>
        <w:pStyle w:val="Bullet"/>
      </w:pPr>
      <w:r>
        <w:t>Bilgi güvenliği danışmanlığı (ör. ISO 27001 entegrasyonu) Kanun ile Uluslararası Standart ve Düzenlemeler Arasındaki İlişkiler EK-5’te sunulmuştur.</w:t>
      </w:r>
    </w:p>
    <w:p w14:paraId="264E066C" w14:textId="77777777" w:rsidR="004207ED" w:rsidRDefault="00000000">
      <w:pPr>
        <w:pStyle w:val="Bullet"/>
      </w:pPr>
      <w:r>
        <w:t>Süreç modelleme ve belge yazımı hizmetleri</w:t>
      </w:r>
    </w:p>
    <w:p w14:paraId="1A592518" w14:textId="77777777" w:rsidR="004207ED" w:rsidRDefault="00000000">
      <w:pPr>
        <w:pStyle w:val="Bullet"/>
      </w:pPr>
      <w:r>
        <w:t>Denetime hazırlık testleri gibi alanlarda yeni iş fırsatları yaratır.</w:t>
      </w:r>
    </w:p>
    <w:p w14:paraId="68F0C49C" w14:textId="77777777" w:rsidR="004207ED" w:rsidRDefault="00000000">
      <w:r>
        <w:t>Bu alanlar, yalnızca mevzuata uyum sağlamakla kalmayıp, aynı zamanda ekosistem içinde yetkin, sertifikalı ve yetkilendirilmiş oyuncu olarak yer almak bir fırsat olacaktır.</w:t>
      </w:r>
    </w:p>
    <w:p w14:paraId="77B38C08" w14:textId="77777777" w:rsidR="004207ED" w:rsidRDefault="00000000">
      <w:pPr>
        <w:pStyle w:val="Heading3"/>
      </w:pPr>
      <w:bookmarkStart w:id="66" w:name="_Toc197891028"/>
      <w:bookmarkStart w:id="67" w:name="_Toc198557008"/>
      <w:r>
        <w:t>Siber Güvenlik Ekosisteminde Bütünleşik Yapı</w:t>
      </w:r>
      <w:bookmarkEnd w:id="66"/>
      <w:bookmarkEnd w:id="67"/>
    </w:p>
    <w:p w14:paraId="3E0FF64F" w14:textId="77777777" w:rsidR="004207ED" w:rsidRDefault="00000000">
      <w:r>
        <w:t>Kanun, koordinasyon ve bilgi paylaşımını kurumsallaştırarak sektörde daha şeffaf, birlikte çalışabilir ve hızlı tepki veren bir ekosistem inşa edilmesini desteklemektedir.</w:t>
      </w:r>
    </w:p>
    <w:p w14:paraId="056901A8" w14:textId="77777777" w:rsidR="004207ED" w:rsidRDefault="00000000">
      <w:pPr>
        <w:pStyle w:val="Heading3"/>
      </w:pPr>
      <w:bookmarkStart w:id="68" w:name="_Toc197891029"/>
      <w:bookmarkStart w:id="69" w:name="_Toc198557009"/>
      <w:r>
        <w:t>Uluslararası Uyum ve Rekabet Avantajı</w:t>
      </w:r>
      <w:bookmarkEnd w:id="68"/>
      <w:bookmarkEnd w:id="69"/>
    </w:p>
    <w:p w14:paraId="28712C0D" w14:textId="77777777" w:rsidR="004207ED" w:rsidRDefault="00000000">
      <w:r>
        <w:t>Siber Güvenlik Kanunu, özellikle sertifikasyon, denetim, veri işleme ve olay bildirimi gibi başlıklarda getirdiği düzenlemelerle, ISO/IEC 27001, NIST CSF, SOC 2 ve GDPR gibi uluslararası standart ve regülasyonlarla büyük ölçüde örtüşmektedir. Bu uyumlu yaklaşım, Türkiye merkezli şirketlerin uluslararası sözleşme, iş ortaklığı ve hizmet ihracatı süreçlerinde teknik ve yasal engellerle karşılaşma riskini azaltacaktır. Özellikle Avrupa Birliği ile dijital pazar ve veri koruma alanındaki mevzuat yakınlaşması sayesinde, yerli firmaların Avrupa Dijital Tek Pazarı ile daha entegre çalışabilmesinin ve AB menşeili projelere tedarikçi/satıcı olarak katılımının önü açılacaktır. Ayrıca, bu uyum, Türkiye’nin siber diplomasi vizyonuna ve dijital güvenlik ihracat potansiyeline katkı sağlayacaktır.</w:t>
      </w:r>
    </w:p>
    <w:p w14:paraId="18B3B409" w14:textId="77777777" w:rsidR="004207ED" w:rsidRDefault="00000000">
      <w:pPr>
        <w:pStyle w:val="Heading2"/>
      </w:pPr>
      <w:bookmarkStart w:id="70" w:name="_Toc197891030"/>
      <w:bookmarkStart w:id="71" w:name="_Toc198557010"/>
      <w:r>
        <w:t>ZORLUKLAR</w:t>
      </w:r>
      <w:bookmarkEnd w:id="70"/>
      <w:bookmarkEnd w:id="71"/>
    </w:p>
    <w:p w14:paraId="410E716B" w14:textId="77777777" w:rsidR="004207ED" w:rsidRDefault="00000000">
      <w:r>
        <w:t>Siber Güvenlik Kanunu, kurumlara güçlü bir güvenlik çerçevesi sunmakla birlikte, beraberinde bazı yapısal, teknik ve operasyonel zorluklar da getirmektedir. Kanun kurumsal güvenliğin çıtasını yükseltirken, bunu başarmak için stratejik planlama, teknik kapasite artırımı ve kurum içi farkındalık gibi pek çok alanda yatırım yapılmasını zorunlu kılmaktadır.</w:t>
      </w:r>
    </w:p>
    <w:p w14:paraId="6221FFE5" w14:textId="77777777" w:rsidR="004207ED" w:rsidRDefault="00000000">
      <w:pPr>
        <w:pStyle w:val="Heading3"/>
      </w:pPr>
      <w:bookmarkStart w:id="72" w:name="_Toc197891031"/>
      <w:bookmarkStart w:id="73" w:name="_Toc198557011"/>
      <w:r>
        <w:t>Uyum Maliyetleri ve Yatırım Yükü</w:t>
      </w:r>
      <w:bookmarkEnd w:id="72"/>
      <w:bookmarkEnd w:id="73"/>
    </w:p>
    <w:p w14:paraId="4D62CEDB" w14:textId="77777777" w:rsidR="004207ED" w:rsidRDefault="00000000">
      <w:r>
        <w:t>Özellikle küçük ve orta ölçekli işletmeler için loglama altyapısı kurulumu, zafiyet testleri, ürün sertifikasyonu, denetim hazırlığı gibi yükümlülükler önemli maliyetler doğurabilir. Yeni sistemlerin entegrasyonu, teknik personel istihdamı ve mevzuat danışmanlığı gereksinimi de bu yükü artıracaktır.</w:t>
      </w:r>
    </w:p>
    <w:p w14:paraId="62A67927" w14:textId="77777777" w:rsidR="004207ED" w:rsidRDefault="00000000">
      <w:pPr>
        <w:pStyle w:val="Heading3"/>
      </w:pPr>
      <w:bookmarkStart w:id="74" w:name="_Toc197891032"/>
      <w:bookmarkStart w:id="75" w:name="_Toc198557012"/>
      <w:r>
        <w:t>İkincil Mevzuat Belirsizliği</w:t>
      </w:r>
      <w:bookmarkEnd w:id="74"/>
      <w:bookmarkEnd w:id="75"/>
    </w:p>
    <w:p w14:paraId="2782C5F4" w14:textId="77777777" w:rsidR="004207ED" w:rsidRDefault="00000000">
      <w:r>
        <w:t>Kanunda birçok detay “Cumhurbaşkanı tarafından çıkarılacak yönetmeliklere” bırakılmıştır. Bu da:</w:t>
      </w:r>
    </w:p>
    <w:p w14:paraId="5EF0F3FC" w14:textId="77777777" w:rsidR="004207ED" w:rsidRDefault="00000000">
      <w:pPr>
        <w:pStyle w:val="Bullet"/>
      </w:pPr>
      <w:r>
        <w:t>Kurumların hangi adımları atacağını netleştirememesine,</w:t>
      </w:r>
    </w:p>
    <w:p w14:paraId="5CCCFC49" w14:textId="77777777" w:rsidR="004207ED" w:rsidRDefault="00000000">
      <w:pPr>
        <w:pStyle w:val="Bullet"/>
      </w:pPr>
      <w:r>
        <w:t>Süreçlerin geçici olarak duraksamasına veya fazla temkinli yürütülmesine neden olacaktır.</w:t>
      </w:r>
    </w:p>
    <w:p w14:paraId="3EF77262" w14:textId="77777777" w:rsidR="004207ED" w:rsidRDefault="00000000">
      <w:pPr>
        <w:pStyle w:val="Heading3"/>
      </w:pPr>
      <w:bookmarkStart w:id="76" w:name="_Toc197891033"/>
      <w:bookmarkStart w:id="77" w:name="_Toc198557013"/>
      <w:r>
        <w:lastRenderedPageBreak/>
        <w:t>KVKK ve Kişisel Veri Çakışmaları</w:t>
      </w:r>
      <w:bookmarkEnd w:id="76"/>
      <w:bookmarkEnd w:id="77"/>
    </w:p>
    <w:p w14:paraId="35EBE8BA" w14:textId="77777777" w:rsidR="004207ED" w:rsidRDefault="00000000">
      <w:r>
        <w:t xml:space="preserve">Başkanlık’a tanınan veri alma, log inceleme ve sistem erişimi yetkileri KVKK yükümlülükleriyle çatışma riski taşır. Kurumlar bu kapsamda; </w:t>
      </w:r>
    </w:p>
    <w:p w14:paraId="364BFA38" w14:textId="77777777" w:rsidR="004207ED" w:rsidRDefault="00000000">
      <w:pPr>
        <w:pStyle w:val="Bullet"/>
      </w:pPr>
      <w:r>
        <w:t>Hangi veriyi, ne zaman, ne şekilde paylaşacaklarını,</w:t>
      </w:r>
    </w:p>
    <w:p w14:paraId="1BCAF73C" w14:textId="77777777" w:rsidR="004207ED" w:rsidRDefault="00000000">
      <w:pPr>
        <w:pStyle w:val="Bullet"/>
      </w:pPr>
      <w:r>
        <w:t>Mahremiyetin nasıl korunacağını netleştirmekte zorluk yaşayabilir.</w:t>
      </w:r>
    </w:p>
    <w:p w14:paraId="547B77D0" w14:textId="77777777" w:rsidR="004207ED" w:rsidRDefault="00000000">
      <w:pPr>
        <w:pStyle w:val="Heading3"/>
      </w:pPr>
      <w:bookmarkStart w:id="78" w:name="_Toc197891034"/>
      <w:bookmarkStart w:id="79" w:name="_Toc198557014"/>
      <w:r>
        <w:t>Tedarik Zinciri Kısıtları</w:t>
      </w:r>
      <w:bookmarkEnd w:id="78"/>
      <w:bookmarkEnd w:id="79"/>
    </w:p>
    <w:p w14:paraId="1FB03730" w14:textId="77777777" w:rsidR="004207ED" w:rsidRDefault="00000000">
      <w:r>
        <w:t>Siber güvenlik ürün ve hizmetlerinin sadece yetkilendirilmiş firmalardan temin edilmesi şartı;</w:t>
      </w:r>
    </w:p>
    <w:p w14:paraId="4641F0FF" w14:textId="77777777" w:rsidR="004207ED" w:rsidRDefault="00000000">
      <w:pPr>
        <w:pStyle w:val="Bullet"/>
      </w:pPr>
      <w:r>
        <w:t>Mevcut tedarik ilişkilerini sona erdirmeyi,</w:t>
      </w:r>
    </w:p>
    <w:p w14:paraId="6AC74831" w14:textId="77777777" w:rsidR="004207ED" w:rsidRDefault="00000000">
      <w:pPr>
        <w:pStyle w:val="Bullet"/>
      </w:pPr>
      <w:r>
        <w:t>Uyumlu ürün bulma veya değiştirme maliyetiyle karşı karşıya kalmayı beraberinde getirebilir. Yerli ürün yelpazesinin bazı alanlarda henüz sınırlı olması, bu geçişi zorlaştırabilir.</w:t>
      </w:r>
    </w:p>
    <w:p w14:paraId="7A296CAB" w14:textId="77777777" w:rsidR="004207ED" w:rsidRDefault="00000000">
      <w:pPr>
        <w:pStyle w:val="Heading3"/>
      </w:pPr>
      <w:bookmarkStart w:id="80" w:name="_Toc197891035"/>
      <w:bookmarkStart w:id="81" w:name="_Toc198557015"/>
      <w:r>
        <w:t>Denetim Riski ve Yaptırım Tehdidi</w:t>
      </w:r>
      <w:bookmarkEnd w:id="80"/>
      <w:bookmarkEnd w:id="81"/>
    </w:p>
    <w:p w14:paraId="223AD97A" w14:textId="77777777" w:rsidR="004207ED" w:rsidRDefault="00000000">
      <w:r>
        <w:t xml:space="preserve">Kanun, hem </w:t>
      </w:r>
      <w:r>
        <w:rPr>
          <w:b/>
          <w:bCs/>
        </w:rPr>
        <w:t>adli hem de idari para cezaları</w:t>
      </w:r>
      <w:r>
        <w:t xml:space="preserve"> bakımından oldukça ağır hükümler içermektedir;</w:t>
      </w:r>
    </w:p>
    <w:p w14:paraId="46B5F2D0" w14:textId="77777777" w:rsidR="004207ED" w:rsidRDefault="00000000">
      <w:pPr>
        <w:pStyle w:val="Bullet"/>
      </w:pPr>
      <w:r>
        <w:t>Başkanlık tarafından yapılacak denetimlerde eksik ya da gecikmeli uyum durumları,</w:t>
      </w:r>
    </w:p>
    <w:p w14:paraId="4D30F911" w14:textId="77777777" w:rsidR="004207ED" w:rsidRDefault="00000000">
      <w:pPr>
        <w:pStyle w:val="Bullet"/>
      </w:pPr>
      <w:r>
        <w:t>Özellikle kritik altyapılarda cezai sorumlulukla karşılaşma riski doğuracaktır.</w:t>
      </w:r>
    </w:p>
    <w:p w14:paraId="6ACFE368" w14:textId="77777777" w:rsidR="004207ED" w:rsidRDefault="00000000">
      <w:r>
        <w:t>Bu da iç denetim sistemlerinin, politika belgelerinin ve olay kayıtlarının titizlikle hazırlanmasını ve sürekli güncellenmesini zorunlu kılar.</w:t>
      </w:r>
    </w:p>
    <w:p w14:paraId="4453EBA4" w14:textId="77777777" w:rsidR="004207ED" w:rsidRDefault="00000000">
      <w:pPr>
        <w:pStyle w:val="Heading3"/>
      </w:pPr>
      <w:bookmarkStart w:id="82" w:name="_Toc197891036"/>
      <w:bookmarkStart w:id="83" w:name="_Toc198557016"/>
      <w:r>
        <w:t>Nitelikli İnsan Kaynağı Açığı</w:t>
      </w:r>
      <w:bookmarkEnd w:id="82"/>
      <w:bookmarkEnd w:id="83"/>
    </w:p>
    <w:p w14:paraId="6283CAEB" w14:textId="77777777" w:rsidR="004207ED" w:rsidRDefault="00000000">
      <w:r>
        <w:t xml:space="preserve">Uzman personel, SOME’ler, risk analizi ve denetim gibi süreçlerde </w:t>
      </w:r>
      <w:r>
        <w:rPr>
          <w:b/>
          <w:bCs/>
        </w:rPr>
        <w:t>yüksek teknik yetkinlik</w:t>
      </w:r>
      <w:r>
        <w:t xml:space="preserve"> gerektirmektedir. Ancak piyasada hâlen:</w:t>
      </w:r>
    </w:p>
    <w:p w14:paraId="750C7920" w14:textId="77777777" w:rsidR="004207ED" w:rsidRDefault="00000000">
      <w:pPr>
        <w:pStyle w:val="Bullet"/>
      </w:pPr>
      <w:r>
        <w:t>Yeterli sayıda deneyimli siber güvenlik profesyoneli bulunmamakta,</w:t>
      </w:r>
    </w:p>
    <w:p w14:paraId="7A8FC612" w14:textId="77777777" w:rsidR="004207ED" w:rsidRDefault="00000000">
      <w:pPr>
        <w:pStyle w:val="Bullet"/>
      </w:pPr>
      <w:r>
        <w:t>İnsan kaynağı ihtiyacı arzı aşmaktadır.</w:t>
      </w:r>
    </w:p>
    <w:p w14:paraId="78AE8DB5" w14:textId="77777777" w:rsidR="004207ED" w:rsidRDefault="00000000">
      <w:r>
        <w:t>Bu durum, yetkin personel bulmakta zorlanan kurumlar için uygulamada aksamalara yol açabilir.</w:t>
      </w:r>
    </w:p>
    <w:p w14:paraId="5B7F4B9E" w14:textId="77777777" w:rsidR="004207ED" w:rsidRDefault="00000000">
      <w:pPr>
        <w:pStyle w:val="Heading1"/>
      </w:pPr>
      <w:bookmarkStart w:id="84" w:name="_Toc197891037"/>
      <w:bookmarkStart w:id="85" w:name="_Toc198557017"/>
      <w:r>
        <w:t>SİBER GÜVENLİK BAŞKANLIĞI (CUMHURBAŞKANLIĞI KARARNAMESİ-177)</w:t>
      </w:r>
      <w:bookmarkEnd w:id="84"/>
      <w:bookmarkEnd w:id="85"/>
    </w:p>
    <w:p w14:paraId="3D84D7C5" w14:textId="77777777" w:rsidR="004207ED" w:rsidRDefault="00000000">
      <w:pPr>
        <w:pStyle w:val="Heading2"/>
      </w:pPr>
      <w:bookmarkStart w:id="86" w:name="_Toc197891038"/>
      <w:bookmarkStart w:id="87" w:name="_Toc198557018"/>
      <w:r>
        <w:t>Kuruluş Süreci ve Mevzuat Bağlantısı</w:t>
      </w:r>
      <w:bookmarkEnd w:id="86"/>
      <w:bookmarkEnd w:id="87"/>
    </w:p>
    <w:p w14:paraId="2C568592" w14:textId="77777777" w:rsidR="004207ED" w:rsidRDefault="00000000">
      <w:r>
        <w:t>Türkiye’nin siber güvenlik mimarisinde köklü bir dönüşüm başlatan 177 sayılı Cumhurbaşkanlığı Kararnamesi, 8 Ocak 2025 tarihli ve 32776 sayılı Resmî Gazete’de yayımlanarak yürürlüğe girmiştir. Bu kararname ile Siber Güvenlik Başkanlığı ilk kez resmen ihdas edilmiştir. Başkanlık, ulusal siber güvenlik politikalarının planlanması, koordinasyonu, icrası ve denetimi gibi çok boyutlu işlevlerle donatılmış, doğrudan Cumhurbaşkanlığına bağlı özel bütçeli bir kamu idaresi olarak yapılandırılmıştır.</w:t>
      </w:r>
    </w:p>
    <w:p w14:paraId="0E4F0630" w14:textId="77777777" w:rsidR="004207ED" w:rsidRDefault="00000000">
      <w:r>
        <w:t>Ardından, bu kurumsal yapının görev alanını, yetkilerini, denetim mekanizmalarını ve idari yaptırımlarını ayrıntılı biçimde tanımlayan 7545 Sayılı Siber Güvenlik Kanunu 19 Mart 2025 tarihli ve 32846 sayılı Resmî Gazete’de yayımlanarak yürürlüğe girmiştir. Bu iki düzenleme arasında tamamlayıcı ve birbirini güçlendiren bir ilişki bulunmaktadır. Kararname, teşkilatı kurarken; Kanun, bu teşkilata normatif dayanak ve icra yetkisi vermektedir.</w:t>
      </w:r>
    </w:p>
    <w:p w14:paraId="08AD123E" w14:textId="77777777" w:rsidR="004207ED" w:rsidRDefault="00000000">
      <w:pPr>
        <w:pStyle w:val="Heading2"/>
      </w:pPr>
      <w:bookmarkStart w:id="88" w:name="_Toc197891039"/>
      <w:bookmarkStart w:id="89" w:name="_Toc198557019"/>
      <w:r>
        <w:lastRenderedPageBreak/>
        <w:t>Siber Güvenlik Başkanlığı’nın Statüsü ve Yapısı</w:t>
      </w:r>
      <w:bookmarkEnd w:id="88"/>
      <w:bookmarkEnd w:id="89"/>
    </w:p>
    <w:p w14:paraId="72A18DD7" w14:textId="77777777" w:rsidR="004207ED" w:rsidRDefault="00000000">
      <w:r>
        <w:t xml:space="preserve">177 sayılı Kararname uyarınca kurulan </w:t>
      </w:r>
      <w:r>
        <w:rPr>
          <w:b/>
          <w:bCs/>
        </w:rPr>
        <w:t>Siber Güvenlik Başkanlığı</w:t>
      </w:r>
      <w:r>
        <w:t>, kamu tüzel kişiliğine sahip, özel bütçeli ve idarî özerkliğe sahip bir yapıdır. Başkanlık, doğrudan Cumhurbaşkanlığına bağlı olarak çalışmakta; ancak görev alanı sadece idari koordinasyonla sınırlı olmayıp, aktif denetim, düzenleme ve yaptırım yetkilerini de kapsamaktadır.</w:t>
      </w:r>
    </w:p>
    <w:p w14:paraId="3ACB6F96" w14:textId="77777777" w:rsidR="004207ED" w:rsidRDefault="00000000">
      <w:r>
        <w:t>Siber Güvenlik Başkanlığı, kamu kurumlarının yanı sıra, kritik altyapılar, özel sektör aktörleri, siber güvenlik şirketleri, sertifikasyon kuruluşları ve sivil toplum yapıları ile doğrudan ilişkili olacak şekilde kapsamlı bir görev çerçevesine sahiptir. Başkanlık bünyesinde; risk analizinden tehdit istihbaratına, SOME koordinasyonundan sızma testi altyapılarına, denetimden ürün belgelendirmeye kadar farklı uzmanlık birimleri kurulması öngörülmektedir.</w:t>
      </w:r>
    </w:p>
    <w:tbl>
      <w:tblPr>
        <w:tblStyle w:val="TableGrid"/>
        <w:tblW w:w="5000" w:type="pct"/>
        <w:tblLook w:val="04A0" w:firstRow="1" w:lastRow="0" w:firstColumn="1" w:lastColumn="0" w:noHBand="0" w:noVBand="1"/>
      </w:tblPr>
      <w:tblGrid>
        <w:gridCol w:w="3218"/>
        <w:gridCol w:w="5844"/>
      </w:tblGrid>
      <w:tr w:rsidR="004207ED" w14:paraId="38EDF57B" w14:textId="77777777">
        <w:trPr>
          <w:cantSplit/>
          <w:trHeight w:val="598"/>
          <w:tblHeader/>
        </w:trPr>
        <w:tc>
          <w:tcPr>
            <w:tcW w:w="3325" w:type="dxa"/>
            <w:shd w:val="clear" w:color="auto" w:fill="D9D9D9" w:themeFill="background1" w:themeFillShade="D9"/>
            <w:vAlign w:val="center"/>
            <w:hideMark/>
          </w:tcPr>
          <w:p w14:paraId="29849859" w14:textId="77777777" w:rsidR="004207ED" w:rsidRDefault="00000000">
            <w:pPr>
              <w:jc w:val="left"/>
              <w:rPr>
                <w:b/>
                <w:bCs/>
              </w:rPr>
            </w:pPr>
            <w:r>
              <w:rPr>
                <w:b/>
                <w:bCs/>
              </w:rPr>
              <w:t>Hizmet Birimi</w:t>
            </w:r>
          </w:p>
        </w:tc>
        <w:tc>
          <w:tcPr>
            <w:tcW w:w="6071" w:type="dxa"/>
            <w:shd w:val="clear" w:color="auto" w:fill="D9D9D9" w:themeFill="background1" w:themeFillShade="D9"/>
            <w:vAlign w:val="center"/>
            <w:hideMark/>
          </w:tcPr>
          <w:p w14:paraId="5ED5536A" w14:textId="77777777" w:rsidR="004207ED" w:rsidRDefault="00000000">
            <w:pPr>
              <w:jc w:val="left"/>
              <w:rPr>
                <w:b/>
                <w:bCs/>
              </w:rPr>
            </w:pPr>
            <w:r>
              <w:rPr>
                <w:b/>
                <w:bCs/>
              </w:rPr>
              <w:t>Görev Alanı</w:t>
            </w:r>
          </w:p>
        </w:tc>
      </w:tr>
      <w:tr w:rsidR="004207ED" w14:paraId="78EF0568" w14:textId="77777777">
        <w:trPr>
          <w:cantSplit/>
        </w:trPr>
        <w:tc>
          <w:tcPr>
            <w:tcW w:w="3325" w:type="dxa"/>
            <w:vAlign w:val="center"/>
            <w:hideMark/>
          </w:tcPr>
          <w:p w14:paraId="1BEF3FB6" w14:textId="77777777" w:rsidR="004207ED" w:rsidRDefault="00000000">
            <w:pPr>
              <w:jc w:val="left"/>
            </w:pPr>
            <w:r>
              <w:t>a. Siber Savunma Genel Müdürlüğü</w:t>
            </w:r>
          </w:p>
        </w:tc>
        <w:tc>
          <w:tcPr>
            <w:tcW w:w="6071" w:type="dxa"/>
            <w:hideMark/>
          </w:tcPr>
          <w:p w14:paraId="446BDC4B" w14:textId="77777777" w:rsidR="004207ED" w:rsidRDefault="00000000">
            <w:pPr>
              <w:jc w:val="left"/>
            </w:pPr>
            <w:r>
              <w:t>Ulusal siber tehditlerin izlenmesi, önlenmesi, zararlı yazılım analizleri, tehdit istihbaratı üretimi, saldırı tespiti ve müdahale operasyonları.</w:t>
            </w:r>
          </w:p>
        </w:tc>
      </w:tr>
      <w:tr w:rsidR="004207ED" w14:paraId="66A4112F" w14:textId="77777777">
        <w:trPr>
          <w:cantSplit/>
          <w:trHeight w:val="724"/>
        </w:trPr>
        <w:tc>
          <w:tcPr>
            <w:tcW w:w="3325" w:type="dxa"/>
            <w:vAlign w:val="center"/>
            <w:hideMark/>
          </w:tcPr>
          <w:p w14:paraId="04AF50A9" w14:textId="77777777" w:rsidR="004207ED" w:rsidRDefault="00000000">
            <w:pPr>
              <w:jc w:val="left"/>
            </w:pPr>
            <w:r>
              <w:t>b. Siber Mukavemet Genel Müdürlüğü</w:t>
            </w:r>
          </w:p>
        </w:tc>
        <w:tc>
          <w:tcPr>
            <w:tcW w:w="6071" w:type="dxa"/>
            <w:hideMark/>
          </w:tcPr>
          <w:p w14:paraId="54B609D5" w14:textId="77777777" w:rsidR="004207ED" w:rsidRDefault="00000000">
            <w:pPr>
              <w:jc w:val="left"/>
            </w:pPr>
            <w:r>
              <w:t>Kurumların ve kritik altyapıların siber dayanıklılığının artırılması, risk analizleri, zafiyet testleri, yedeklilik ve süreklilik sistemlerinin gözetimi.</w:t>
            </w:r>
          </w:p>
        </w:tc>
      </w:tr>
      <w:tr w:rsidR="004207ED" w14:paraId="77CB6BBB" w14:textId="77777777">
        <w:trPr>
          <w:cantSplit/>
        </w:trPr>
        <w:tc>
          <w:tcPr>
            <w:tcW w:w="3325" w:type="dxa"/>
            <w:vAlign w:val="center"/>
            <w:hideMark/>
          </w:tcPr>
          <w:p w14:paraId="3F342BFD" w14:textId="77777777" w:rsidR="004207ED" w:rsidRDefault="00000000">
            <w:pPr>
              <w:jc w:val="left"/>
            </w:pPr>
            <w:r>
              <w:t>c. Ekosistem Geliştirme Genel Müdürlüğü</w:t>
            </w:r>
          </w:p>
        </w:tc>
        <w:tc>
          <w:tcPr>
            <w:tcW w:w="6071" w:type="dxa"/>
            <w:hideMark/>
          </w:tcPr>
          <w:p w14:paraId="4F8862AC" w14:textId="77777777" w:rsidR="004207ED" w:rsidRDefault="00000000">
            <w:pPr>
              <w:jc w:val="left"/>
            </w:pPr>
            <w:r>
              <w:t xml:space="preserve">Yerli ve millî ürünlerin geliştirilmesi, sektörel iş birlikleri, Ar-Ge teşvikleri, özel sektör ve üniversitelerle koordinasyon. </w:t>
            </w:r>
          </w:p>
          <w:p w14:paraId="3E3E518D" w14:textId="77777777" w:rsidR="004207ED" w:rsidRDefault="00000000">
            <w:pPr>
              <w:jc w:val="left"/>
            </w:pPr>
            <w:r>
              <w:t xml:space="preserve">Ekosistem Geliştirme Genel Müdürlüğü, Türkiye’de siber güvenlik alanında kümelenmeyi hem bir ekonomik kalkınma modeli hem de milli güvenlik yaklaşımı olarak ele alan vizyoner bir yapı olarak konumlanmasını sağlayacaktır. </w:t>
            </w:r>
          </w:p>
        </w:tc>
      </w:tr>
      <w:tr w:rsidR="004207ED" w14:paraId="3D40FDB8" w14:textId="77777777">
        <w:trPr>
          <w:cantSplit/>
        </w:trPr>
        <w:tc>
          <w:tcPr>
            <w:tcW w:w="3325" w:type="dxa"/>
            <w:vAlign w:val="center"/>
            <w:hideMark/>
          </w:tcPr>
          <w:p w14:paraId="51F0D926" w14:textId="77777777" w:rsidR="004207ED" w:rsidRDefault="00000000">
            <w:pPr>
              <w:jc w:val="left"/>
            </w:pPr>
            <w:r>
              <w:t>ç. Dış İlişkiler Dairesi Başkanlığı</w:t>
            </w:r>
          </w:p>
        </w:tc>
        <w:tc>
          <w:tcPr>
            <w:tcW w:w="6071" w:type="dxa"/>
            <w:hideMark/>
          </w:tcPr>
          <w:p w14:paraId="1FC75628" w14:textId="77777777" w:rsidR="004207ED" w:rsidRDefault="00000000">
            <w:pPr>
              <w:jc w:val="left"/>
            </w:pPr>
            <w:r>
              <w:t>ENISA, NIST, ISO gibi uluslararası yapılarla ilişkilerin yürütülmesi, ülkemizin temsil edilmesi ve dış bilgi paylaşımı.</w:t>
            </w:r>
          </w:p>
        </w:tc>
      </w:tr>
      <w:tr w:rsidR="004207ED" w14:paraId="0926D0C0" w14:textId="77777777">
        <w:trPr>
          <w:cantSplit/>
        </w:trPr>
        <w:tc>
          <w:tcPr>
            <w:tcW w:w="3325" w:type="dxa"/>
            <w:vAlign w:val="center"/>
            <w:hideMark/>
          </w:tcPr>
          <w:p w14:paraId="015256BC" w14:textId="77777777" w:rsidR="004207ED" w:rsidRDefault="00000000">
            <w:pPr>
              <w:jc w:val="left"/>
            </w:pPr>
            <w:r>
              <w:t>d. Yönetim Hizmetleri Dairesi Başkanlığı</w:t>
            </w:r>
          </w:p>
        </w:tc>
        <w:tc>
          <w:tcPr>
            <w:tcW w:w="6071" w:type="dxa"/>
            <w:hideMark/>
          </w:tcPr>
          <w:p w14:paraId="4ED62A6F" w14:textId="77777777" w:rsidR="004207ED" w:rsidRDefault="00000000">
            <w:pPr>
              <w:jc w:val="left"/>
            </w:pPr>
            <w:r>
              <w:t>İnsan kaynakları, bütçe, mali işler, idari destek ve iç düzenlemelerin yürütülmesi.</w:t>
            </w:r>
          </w:p>
        </w:tc>
      </w:tr>
      <w:tr w:rsidR="004207ED" w14:paraId="1720BDFB" w14:textId="77777777">
        <w:trPr>
          <w:cantSplit/>
        </w:trPr>
        <w:tc>
          <w:tcPr>
            <w:tcW w:w="3325" w:type="dxa"/>
            <w:vAlign w:val="center"/>
            <w:hideMark/>
          </w:tcPr>
          <w:p w14:paraId="31230E52" w14:textId="77777777" w:rsidR="004207ED" w:rsidRDefault="00000000">
            <w:pPr>
              <w:jc w:val="left"/>
            </w:pPr>
            <w:r>
              <w:t>e. Hukuk Müşavirliği</w:t>
            </w:r>
          </w:p>
        </w:tc>
        <w:tc>
          <w:tcPr>
            <w:tcW w:w="6071" w:type="dxa"/>
            <w:hideMark/>
          </w:tcPr>
          <w:p w14:paraId="28E93EF3" w14:textId="77777777" w:rsidR="004207ED" w:rsidRDefault="00000000">
            <w:pPr>
              <w:jc w:val="left"/>
            </w:pPr>
            <w:r>
              <w:t>Başkanlığın hukuki iş ve işlemleri, sözleşmeler, dava ve şikâyetlerin takibi, iç denetim süreçlerine hukuki destek sağlanması.</w:t>
            </w:r>
          </w:p>
        </w:tc>
      </w:tr>
      <w:tr w:rsidR="004207ED" w14:paraId="5027DD56" w14:textId="77777777">
        <w:trPr>
          <w:cantSplit/>
        </w:trPr>
        <w:tc>
          <w:tcPr>
            <w:tcW w:w="3325" w:type="dxa"/>
            <w:vAlign w:val="center"/>
            <w:hideMark/>
          </w:tcPr>
          <w:p w14:paraId="5E250785" w14:textId="77777777" w:rsidR="004207ED" w:rsidRDefault="00000000">
            <w:pPr>
              <w:jc w:val="left"/>
            </w:pPr>
            <w:r>
              <w:t>f. Basın ve Halkla İlişkiler Müşavirliği</w:t>
            </w:r>
          </w:p>
        </w:tc>
        <w:tc>
          <w:tcPr>
            <w:tcW w:w="6071" w:type="dxa"/>
            <w:hideMark/>
          </w:tcPr>
          <w:p w14:paraId="4D9E6224" w14:textId="77777777" w:rsidR="004207ED" w:rsidRDefault="00000000">
            <w:pPr>
              <w:jc w:val="left"/>
            </w:pPr>
            <w:r>
              <w:t>Kurumun kamuoyu bilgilendirme stratejisi, kriz iletişimi, medya takibi ve halkla ilişkiler faaliyetleri.</w:t>
            </w:r>
          </w:p>
        </w:tc>
      </w:tr>
    </w:tbl>
    <w:p w14:paraId="2463196A" w14:textId="77777777" w:rsidR="004207ED" w:rsidRDefault="004207ED"/>
    <w:p w14:paraId="08D2C3F0" w14:textId="77777777" w:rsidR="004207ED" w:rsidRDefault="004207ED">
      <w:pPr>
        <w:sectPr w:rsidR="004207ED">
          <w:pgSz w:w="11906" w:h="16838"/>
          <w:pgMar w:top="1417" w:right="1417" w:bottom="1417" w:left="1417" w:header="720" w:footer="720" w:gutter="0"/>
          <w:cols w:space="720"/>
          <w:docGrid w:linePitch="360"/>
        </w:sectPr>
      </w:pPr>
    </w:p>
    <w:p w14:paraId="18B38C28" w14:textId="77777777" w:rsidR="004207ED" w:rsidRDefault="00000000">
      <w:pPr>
        <w:pStyle w:val="Caption"/>
      </w:pPr>
      <w:r>
        <w:lastRenderedPageBreak/>
        <w:t>EK-1 Madde 5 kapsamında Başkanlık görevlerine dayalı olarak kurum içi Bilgi Güvenliği Yöneticilerinin dikkat etmesi gereken konular tablosu.</w:t>
      </w:r>
    </w:p>
    <w:tbl>
      <w:tblPr>
        <w:tblStyle w:val="TableGrid"/>
        <w:tblW w:w="5000" w:type="pct"/>
        <w:tblLook w:val="04A0" w:firstRow="1" w:lastRow="0" w:firstColumn="1" w:lastColumn="0" w:noHBand="0" w:noVBand="1"/>
      </w:tblPr>
      <w:tblGrid>
        <w:gridCol w:w="3168"/>
        <w:gridCol w:w="4560"/>
        <w:gridCol w:w="6266"/>
      </w:tblGrid>
      <w:tr w:rsidR="004207ED" w14:paraId="1E425826" w14:textId="77777777">
        <w:trPr>
          <w:cantSplit/>
          <w:trHeight w:val="499"/>
          <w:tblHeader/>
        </w:trPr>
        <w:tc>
          <w:tcPr>
            <w:tcW w:w="3168" w:type="dxa"/>
            <w:shd w:val="clear" w:color="auto" w:fill="D9D9D9" w:themeFill="background1" w:themeFillShade="D9"/>
            <w:vAlign w:val="center"/>
            <w:hideMark/>
          </w:tcPr>
          <w:p w14:paraId="3B149653" w14:textId="77777777" w:rsidR="004207ED" w:rsidRDefault="00000000">
            <w:pPr>
              <w:jc w:val="left"/>
            </w:pPr>
            <w:r>
              <w:rPr>
                <w:b/>
                <w:bCs/>
              </w:rPr>
              <w:t xml:space="preserve"> Görev</w:t>
            </w:r>
          </w:p>
        </w:tc>
        <w:tc>
          <w:tcPr>
            <w:tcW w:w="4560" w:type="dxa"/>
            <w:shd w:val="clear" w:color="auto" w:fill="D9D9D9" w:themeFill="background1" w:themeFillShade="D9"/>
            <w:vAlign w:val="center"/>
            <w:hideMark/>
          </w:tcPr>
          <w:p w14:paraId="1FD7C60C" w14:textId="77777777" w:rsidR="004207ED" w:rsidRDefault="00000000">
            <w:pPr>
              <w:jc w:val="left"/>
            </w:pPr>
            <w:r>
              <w:rPr>
                <w:b/>
                <w:bCs/>
              </w:rPr>
              <w:t>Uygulamadaki Karşılığı</w:t>
            </w:r>
          </w:p>
        </w:tc>
        <w:tc>
          <w:tcPr>
            <w:tcW w:w="0" w:type="auto"/>
            <w:shd w:val="clear" w:color="auto" w:fill="D9D9D9" w:themeFill="background1" w:themeFillShade="D9"/>
            <w:vAlign w:val="center"/>
            <w:hideMark/>
          </w:tcPr>
          <w:p w14:paraId="33D5704F" w14:textId="77777777" w:rsidR="004207ED" w:rsidRDefault="00000000">
            <w:pPr>
              <w:jc w:val="left"/>
            </w:pPr>
            <w:r>
              <w:rPr>
                <w:b/>
                <w:bCs/>
              </w:rPr>
              <w:t>Dikkat Edilmesi Gereken Hususlar</w:t>
            </w:r>
          </w:p>
        </w:tc>
      </w:tr>
      <w:tr w:rsidR="004207ED" w14:paraId="69414BE7" w14:textId="77777777">
        <w:trPr>
          <w:cantSplit/>
        </w:trPr>
        <w:tc>
          <w:tcPr>
            <w:tcW w:w="3168" w:type="dxa"/>
            <w:vAlign w:val="center"/>
            <w:hideMark/>
          </w:tcPr>
          <w:p w14:paraId="723C6E49" w14:textId="77777777" w:rsidR="004207ED" w:rsidRDefault="00000000">
            <w:pPr>
              <w:jc w:val="left"/>
            </w:pPr>
            <w:r>
              <w:t>a. İlgili mevzuatta yer alan görevleri yapmak</w:t>
            </w:r>
          </w:p>
        </w:tc>
        <w:tc>
          <w:tcPr>
            <w:tcW w:w="4560" w:type="dxa"/>
            <w:vAlign w:val="center"/>
            <w:hideMark/>
          </w:tcPr>
          <w:p w14:paraId="135FE779" w14:textId="77777777" w:rsidR="004207ED" w:rsidRDefault="00000000">
            <w:pPr>
              <w:jc w:val="left"/>
            </w:pPr>
            <w:r>
              <w:t>Başkanlık sadece bu Kanunla değil, diğer tüm ilgili mevzuatla birlikte sorumlu olduğu görevleri yürütür.</w:t>
            </w:r>
          </w:p>
        </w:tc>
        <w:tc>
          <w:tcPr>
            <w:tcW w:w="0" w:type="auto"/>
            <w:vAlign w:val="center"/>
            <w:hideMark/>
          </w:tcPr>
          <w:p w14:paraId="613FD7A9" w14:textId="77777777" w:rsidR="004207ED" w:rsidRDefault="00000000">
            <w:pPr>
              <w:jc w:val="left"/>
            </w:pPr>
            <w:r>
              <w:t>Tüm yönetmelikler, strateji belgeleri ve Başkanlıkça yayımlanacak düzenleyici belgeler düzenli izlenmeli, iç süreçler buna göre revize edilmelidir.</w:t>
            </w:r>
          </w:p>
        </w:tc>
      </w:tr>
      <w:tr w:rsidR="004207ED" w14:paraId="5CF9A4C3" w14:textId="77777777">
        <w:trPr>
          <w:cantSplit/>
        </w:trPr>
        <w:tc>
          <w:tcPr>
            <w:tcW w:w="3168" w:type="dxa"/>
            <w:vAlign w:val="center"/>
            <w:hideMark/>
          </w:tcPr>
          <w:p w14:paraId="0909D123" w14:textId="77777777" w:rsidR="004207ED" w:rsidRDefault="00000000">
            <w:pPr>
              <w:jc w:val="left"/>
            </w:pPr>
            <w:r>
              <w:t>b. Kritik altyapıların ve bilişim sistemlerinin korunması ve dayanıklılığının artırılması</w:t>
            </w:r>
          </w:p>
        </w:tc>
        <w:tc>
          <w:tcPr>
            <w:tcW w:w="4560" w:type="dxa"/>
            <w:vAlign w:val="center"/>
            <w:hideMark/>
          </w:tcPr>
          <w:p w14:paraId="58A8D4A0" w14:textId="77777777" w:rsidR="004207ED" w:rsidRDefault="00000000">
            <w:pPr>
              <w:jc w:val="left"/>
            </w:pPr>
            <w:r>
              <w:t>Risk analizi, sızma testi, zafiyet yönetimi, tehdit istihbaratı gibi uygulamaların düzenli yapılması gerekir. Bu uygulamaların Başkanlık tarafından da yapılabileceği dikkate alınmalıdır.</w:t>
            </w:r>
          </w:p>
        </w:tc>
        <w:tc>
          <w:tcPr>
            <w:tcW w:w="0" w:type="auto"/>
            <w:vAlign w:val="center"/>
            <w:hideMark/>
          </w:tcPr>
          <w:p w14:paraId="5FF1DEB5" w14:textId="77777777" w:rsidR="004207ED" w:rsidRDefault="00000000">
            <w:pPr>
              <w:jc w:val="left"/>
            </w:pPr>
            <w:r>
              <w:t>Zafiyet ve sızma testleri periyodik hale getirilmeli, tehdit istihbaratı süreçlerine açık olunmalı; log ve izleme sistemleri kurumsal ölçekte etkinleştirilmelidir.</w:t>
            </w:r>
          </w:p>
        </w:tc>
      </w:tr>
      <w:tr w:rsidR="004207ED" w14:paraId="3FB58DFE" w14:textId="77777777">
        <w:trPr>
          <w:cantSplit/>
        </w:trPr>
        <w:tc>
          <w:tcPr>
            <w:tcW w:w="3168" w:type="dxa"/>
            <w:vAlign w:val="center"/>
            <w:hideMark/>
          </w:tcPr>
          <w:p w14:paraId="7032B2F7" w14:textId="77777777" w:rsidR="004207ED" w:rsidRDefault="00000000">
            <w:pPr>
              <w:jc w:val="left"/>
            </w:pPr>
            <w:r>
              <w:t>c. Kritik altyapı ve ait olduğu kurumun belirlenmesi</w:t>
            </w:r>
          </w:p>
        </w:tc>
        <w:tc>
          <w:tcPr>
            <w:tcW w:w="4560" w:type="dxa"/>
            <w:vAlign w:val="center"/>
            <w:hideMark/>
          </w:tcPr>
          <w:p w14:paraId="64089DAC" w14:textId="77777777" w:rsidR="004207ED" w:rsidRDefault="00000000">
            <w:pPr>
              <w:jc w:val="left"/>
            </w:pPr>
            <w:r>
              <w:t>Başkanlık kritik altyapı statüsünü belirleyebilir. Bu statüye göre sorumluluk seviyesi artar.</w:t>
            </w:r>
          </w:p>
        </w:tc>
        <w:tc>
          <w:tcPr>
            <w:tcW w:w="0" w:type="auto"/>
            <w:vAlign w:val="center"/>
            <w:hideMark/>
          </w:tcPr>
          <w:p w14:paraId="3995B7B6" w14:textId="77777777" w:rsidR="004207ED" w:rsidRDefault="00000000">
            <w:pPr>
              <w:jc w:val="left"/>
            </w:pPr>
            <w:r>
              <w:t>Kurumun kritik altyapı olarak sınıflandırılıp sınıflandırılmadığı kontrol edilmeli; Başkanlık ile iletişimde bu statünün gerekleri göz önüne alınmalıdır.</w:t>
            </w:r>
          </w:p>
        </w:tc>
      </w:tr>
      <w:tr w:rsidR="004207ED" w14:paraId="0B5ED8E2" w14:textId="77777777">
        <w:trPr>
          <w:cantSplit/>
        </w:trPr>
        <w:tc>
          <w:tcPr>
            <w:tcW w:w="3168" w:type="dxa"/>
            <w:vAlign w:val="center"/>
            <w:hideMark/>
          </w:tcPr>
          <w:p w14:paraId="3315310D" w14:textId="77777777" w:rsidR="004207ED" w:rsidRDefault="00000000">
            <w:pPr>
              <w:jc w:val="left"/>
            </w:pPr>
            <w:r>
              <w:t>ç. Envanter yönetimi ve risk analizi</w:t>
            </w:r>
          </w:p>
        </w:tc>
        <w:tc>
          <w:tcPr>
            <w:tcW w:w="4560" w:type="dxa"/>
            <w:vAlign w:val="center"/>
            <w:hideMark/>
          </w:tcPr>
          <w:p w14:paraId="4F078927" w14:textId="77777777" w:rsidR="004207ED" w:rsidRDefault="00000000">
            <w:pPr>
              <w:jc w:val="left"/>
            </w:pPr>
            <w:r>
              <w:t>Tüm bilgi varlıklarının (sistem, uygulama, ağ, veri) envanteri çıkarılmalı; risk analizi yapılmalıdır.</w:t>
            </w:r>
          </w:p>
        </w:tc>
        <w:tc>
          <w:tcPr>
            <w:tcW w:w="0" w:type="auto"/>
            <w:vAlign w:val="center"/>
            <w:hideMark/>
          </w:tcPr>
          <w:p w14:paraId="6F25774E" w14:textId="77777777" w:rsidR="004207ED" w:rsidRDefault="00000000">
            <w:pPr>
              <w:jc w:val="left"/>
            </w:pPr>
            <w:r>
              <w:t>Envanter sürekli güncel tutulmalı, risk analizi çıktıları üst yönetime raporlanmalı ve karar süreçlerine entegre edilmelidir.</w:t>
            </w:r>
          </w:p>
        </w:tc>
      </w:tr>
      <w:tr w:rsidR="004207ED" w14:paraId="53FE45E4" w14:textId="77777777">
        <w:trPr>
          <w:cantSplit/>
        </w:trPr>
        <w:tc>
          <w:tcPr>
            <w:tcW w:w="3168" w:type="dxa"/>
            <w:vAlign w:val="center"/>
            <w:hideMark/>
          </w:tcPr>
          <w:p w14:paraId="50B31F28" w14:textId="77777777" w:rsidR="004207ED" w:rsidRDefault="00000000">
            <w:pPr>
              <w:jc w:val="left"/>
            </w:pPr>
            <w:r>
              <w:t>d. SOME kurulması, denetlenmesi, tatbikat yapılması</w:t>
            </w:r>
          </w:p>
        </w:tc>
        <w:tc>
          <w:tcPr>
            <w:tcW w:w="4560" w:type="dxa"/>
            <w:vAlign w:val="center"/>
            <w:hideMark/>
          </w:tcPr>
          <w:p w14:paraId="02BF1F32" w14:textId="77777777" w:rsidR="004207ED" w:rsidRDefault="00000000">
            <w:pPr>
              <w:jc w:val="left"/>
            </w:pPr>
            <w:r>
              <w:t>Kurumda SOME kurulmalı, Başkanlık tarafından yapılacak olgunluk değerlendirmelerine hazır olunmalıdır.</w:t>
            </w:r>
          </w:p>
        </w:tc>
        <w:tc>
          <w:tcPr>
            <w:tcW w:w="0" w:type="auto"/>
            <w:vAlign w:val="center"/>
            <w:hideMark/>
          </w:tcPr>
          <w:p w14:paraId="791C7696" w14:textId="77777777" w:rsidR="004207ED" w:rsidRDefault="00000000">
            <w:pPr>
              <w:jc w:val="left"/>
            </w:pPr>
            <w:r>
              <w:t>SOME organizasyonu sadece teknik değil; iletişim, raporlama, müdahale ve iş sürekliliği süreçlerini kapsayacak şekilde yapılandırılmalıdır.</w:t>
            </w:r>
          </w:p>
        </w:tc>
      </w:tr>
      <w:tr w:rsidR="004207ED" w14:paraId="2007AADB" w14:textId="77777777">
        <w:trPr>
          <w:cantSplit/>
        </w:trPr>
        <w:tc>
          <w:tcPr>
            <w:tcW w:w="3168" w:type="dxa"/>
            <w:vAlign w:val="center"/>
            <w:hideMark/>
          </w:tcPr>
          <w:p w14:paraId="5CCC0DE0" w14:textId="77777777" w:rsidR="004207ED" w:rsidRDefault="00000000">
            <w:pPr>
              <w:jc w:val="left"/>
            </w:pPr>
            <w:r>
              <w:t>e. Usul ve esasların belirlenmesi</w:t>
            </w:r>
          </w:p>
        </w:tc>
        <w:tc>
          <w:tcPr>
            <w:tcW w:w="4560" w:type="dxa"/>
            <w:vAlign w:val="center"/>
            <w:hideMark/>
          </w:tcPr>
          <w:p w14:paraId="1B3D203F" w14:textId="77777777" w:rsidR="004207ED" w:rsidRDefault="00000000">
            <w:pPr>
              <w:jc w:val="left"/>
            </w:pPr>
            <w:r>
              <w:t>Başkanlık, sektöre özel uyulması gereken çerçeve kural ve prosedürleri yayımlayabilir.</w:t>
            </w:r>
          </w:p>
        </w:tc>
        <w:tc>
          <w:tcPr>
            <w:tcW w:w="0" w:type="auto"/>
            <w:vAlign w:val="center"/>
            <w:hideMark/>
          </w:tcPr>
          <w:p w14:paraId="130ACA82" w14:textId="77777777" w:rsidR="004207ED" w:rsidRDefault="00000000">
            <w:pPr>
              <w:jc w:val="left"/>
            </w:pPr>
            <w:r>
              <w:t>Başkanlık duyuruları, rehberleri ve kılavuzları düzenli izlenmeli; uygulamalar buna göre güncellenmelidir.</w:t>
            </w:r>
          </w:p>
        </w:tc>
      </w:tr>
      <w:tr w:rsidR="004207ED" w14:paraId="2B7F796F" w14:textId="77777777">
        <w:trPr>
          <w:cantSplit/>
        </w:trPr>
        <w:tc>
          <w:tcPr>
            <w:tcW w:w="3168" w:type="dxa"/>
            <w:vAlign w:val="center"/>
            <w:hideMark/>
          </w:tcPr>
          <w:p w14:paraId="61324DED" w14:textId="77777777" w:rsidR="004207ED" w:rsidRDefault="00000000">
            <w:pPr>
              <w:jc w:val="left"/>
            </w:pPr>
            <w:r>
              <w:t>f. Güvenli sistem ve barındırma altyapısı kurulması</w:t>
            </w:r>
          </w:p>
        </w:tc>
        <w:tc>
          <w:tcPr>
            <w:tcW w:w="4560" w:type="dxa"/>
            <w:vAlign w:val="center"/>
            <w:hideMark/>
          </w:tcPr>
          <w:p w14:paraId="61E46A0B" w14:textId="77777777" w:rsidR="004207ED" w:rsidRDefault="00000000">
            <w:pPr>
              <w:jc w:val="left"/>
            </w:pPr>
            <w:r>
              <w:t>Başkanlık, kamu kurumlarına barındırma hizmeti verebilir.</w:t>
            </w:r>
          </w:p>
        </w:tc>
        <w:tc>
          <w:tcPr>
            <w:tcW w:w="0" w:type="auto"/>
            <w:vAlign w:val="center"/>
            <w:hideMark/>
          </w:tcPr>
          <w:p w14:paraId="12C505E2" w14:textId="77777777" w:rsidR="004207ED" w:rsidRDefault="00000000">
            <w:pPr>
              <w:jc w:val="left"/>
            </w:pPr>
            <w:r>
              <w:t>Sözleşme ve protokollerde veri güvenliği, log tutma, olay bildirimi gibi hükümler açıkça tanımlanmalıdır.</w:t>
            </w:r>
          </w:p>
        </w:tc>
      </w:tr>
      <w:tr w:rsidR="004207ED" w14:paraId="461DED12" w14:textId="77777777">
        <w:trPr>
          <w:cantSplit/>
        </w:trPr>
        <w:tc>
          <w:tcPr>
            <w:tcW w:w="3168" w:type="dxa"/>
            <w:vAlign w:val="center"/>
            <w:hideMark/>
          </w:tcPr>
          <w:p w14:paraId="546251FE" w14:textId="77777777" w:rsidR="004207ED" w:rsidRDefault="00000000">
            <w:pPr>
              <w:jc w:val="left"/>
            </w:pPr>
            <w:r>
              <w:t>g. Standart geliştirme ve uyumluluk</w:t>
            </w:r>
          </w:p>
        </w:tc>
        <w:tc>
          <w:tcPr>
            <w:tcW w:w="4560" w:type="dxa"/>
            <w:vAlign w:val="center"/>
            <w:hideMark/>
          </w:tcPr>
          <w:p w14:paraId="5AF05FBA" w14:textId="77777777" w:rsidR="004207ED" w:rsidRDefault="00000000">
            <w:pPr>
              <w:jc w:val="left"/>
            </w:pPr>
            <w:r>
              <w:t>Kurumların kullandığı sistem ve ürünlerin Başkanlıkça belirlenen standartlara uygun olması beklenir.</w:t>
            </w:r>
          </w:p>
        </w:tc>
        <w:tc>
          <w:tcPr>
            <w:tcW w:w="0" w:type="auto"/>
            <w:vAlign w:val="center"/>
            <w:hideMark/>
          </w:tcPr>
          <w:p w14:paraId="52955655" w14:textId="77777777" w:rsidR="004207ED" w:rsidRDefault="00000000">
            <w:pPr>
              <w:jc w:val="left"/>
            </w:pPr>
            <w:r>
              <w:t>Satın alınan ürün ve çözümler için teknik uygunluk belgeleri saklanmalı; uyumluluk kontrolleri iç denetimle yapılmalıdır.</w:t>
            </w:r>
          </w:p>
        </w:tc>
      </w:tr>
      <w:tr w:rsidR="004207ED" w14:paraId="7C766BD6" w14:textId="77777777">
        <w:trPr>
          <w:cantSplit/>
        </w:trPr>
        <w:tc>
          <w:tcPr>
            <w:tcW w:w="3168" w:type="dxa"/>
            <w:vAlign w:val="center"/>
            <w:hideMark/>
          </w:tcPr>
          <w:p w14:paraId="051C9E7D" w14:textId="77777777" w:rsidR="004207ED" w:rsidRDefault="00000000">
            <w:pPr>
              <w:jc w:val="left"/>
            </w:pPr>
            <w:r>
              <w:t>ğ. Sertifikasyon ve belgelendirme işlemleri</w:t>
            </w:r>
          </w:p>
        </w:tc>
        <w:tc>
          <w:tcPr>
            <w:tcW w:w="4560" w:type="dxa"/>
            <w:vAlign w:val="center"/>
            <w:hideMark/>
          </w:tcPr>
          <w:p w14:paraId="35F8D7CF" w14:textId="77777777" w:rsidR="004207ED" w:rsidRDefault="00000000">
            <w:pPr>
              <w:jc w:val="left"/>
            </w:pPr>
            <w:r>
              <w:t>Ürünler, hizmetler ve personel için sertifika/uygunluk belgesi gerekebilir.</w:t>
            </w:r>
          </w:p>
        </w:tc>
        <w:tc>
          <w:tcPr>
            <w:tcW w:w="0" w:type="auto"/>
            <w:vAlign w:val="center"/>
            <w:hideMark/>
          </w:tcPr>
          <w:p w14:paraId="267BF518" w14:textId="77777777" w:rsidR="004207ED" w:rsidRDefault="00000000">
            <w:pPr>
              <w:jc w:val="left"/>
            </w:pPr>
            <w:r>
              <w:t>Başkanlıkça yetkilendirilmiş üretici/sağlayıcılarla çalışılmalı; personel eğitimleri ve belgeleri kayıt altında tutulmalıdır.</w:t>
            </w:r>
          </w:p>
        </w:tc>
      </w:tr>
      <w:tr w:rsidR="004207ED" w14:paraId="4A76F254" w14:textId="77777777">
        <w:trPr>
          <w:cantSplit/>
        </w:trPr>
        <w:tc>
          <w:tcPr>
            <w:tcW w:w="3168" w:type="dxa"/>
            <w:vAlign w:val="center"/>
            <w:hideMark/>
          </w:tcPr>
          <w:p w14:paraId="6613F3F1" w14:textId="77777777" w:rsidR="004207ED" w:rsidRDefault="00000000">
            <w:pPr>
              <w:jc w:val="left"/>
            </w:pPr>
            <w:r>
              <w:t>h. Denetim yapma ve yaptırım uygulama yetkisi</w:t>
            </w:r>
          </w:p>
        </w:tc>
        <w:tc>
          <w:tcPr>
            <w:tcW w:w="4560" w:type="dxa"/>
            <w:vAlign w:val="center"/>
            <w:hideMark/>
          </w:tcPr>
          <w:p w14:paraId="2682407D" w14:textId="77777777" w:rsidR="004207ED" w:rsidRDefault="00000000">
            <w:pPr>
              <w:jc w:val="left"/>
            </w:pPr>
            <w:r>
              <w:t>Başkanlık, kurumu denetleyebilir; teknik ve organizasyonel tüm unsurlar incelenebilir.</w:t>
            </w:r>
          </w:p>
        </w:tc>
        <w:tc>
          <w:tcPr>
            <w:tcW w:w="0" w:type="auto"/>
            <w:vAlign w:val="center"/>
            <w:hideMark/>
          </w:tcPr>
          <w:p w14:paraId="6DF0D060" w14:textId="77777777" w:rsidR="004207ED" w:rsidRDefault="00000000">
            <w:pPr>
              <w:jc w:val="left"/>
            </w:pPr>
            <w:r>
              <w:t>Denetim sadece BT sistemleriyle sınırlı değildir; süreç yönetimi, insan kaynağı, dış hizmet sağlayıcılar, dokümantasyon da kapsam dâhilindedir.</w:t>
            </w:r>
          </w:p>
        </w:tc>
      </w:tr>
      <w:tr w:rsidR="004207ED" w14:paraId="54C1B48A" w14:textId="77777777">
        <w:trPr>
          <w:cantSplit/>
        </w:trPr>
        <w:tc>
          <w:tcPr>
            <w:tcW w:w="3168" w:type="dxa"/>
            <w:vAlign w:val="center"/>
            <w:hideMark/>
          </w:tcPr>
          <w:p w14:paraId="503B594E" w14:textId="77777777" w:rsidR="004207ED" w:rsidRDefault="00000000">
            <w:pPr>
              <w:jc w:val="left"/>
            </w:pPr>
            <w:r>
              <w:lastRenderedPageBreak/>
              <w:t>ı. Teknik kriterlerin belirlenmesi ve denetimi</w:t>
            </w:r>
          </w:p>
        </w:tc>
        <w:tc>
          <w:tcPr>
            <w:tcW w:w="4560" w:type="dxa"/>
            <w:vAlign w:val="center"/>
            <w:hideMark/>
          </w:tcPr>
          <w:p w14:paraId="0FDDE88B" w14:textId="77777777" w:rsidR="004207ED" w:rsidRDefault="00000000">
            <w:pPr>
              <w:jc w:val="left"/>
            </w:pPr>
            <w:r>
              <w:t>Kullanılan yazılım, donanım, hizmetlerin taşıması gereken asgari güvenlik koşulları Başkanlıkça tanımlanabilir.</w:t>
            </w:r>
          </w:p>
        </w:tc>
        <w:tc>
          <w:tcPr>
            <w:tcW w:w="0" w:type="auto"/>
            <w:vAlign w:val="center"/>
            <w:hideMark/>
          </w:tcPr>
          <w:p w14:paraId="4F2EE2DA" w14:textId="77777777" w:rsidR="004207ED" w:rsidRDefault="00000000">
            <w:pPr>
              <w:jc w:val="left"/>
            </w:pPr>
            <w:r>
              <w:t>Ürün ve hizmet alımlarında Başkanlık tarafından belirlenen teknik kriterlere uygunluk aranmalı, bu kriterler tedarik süreçlerine entegre edilmelidir.</w:t>
            </w:r>
          </w:p>
        </w:tc>
      </w:tr>
    </w:tbl>
    <w:p w14:paraId="2637E8D4" w14:textId="77777777" w:rsidR="004207ED" w:rsidRDefault="00000000">
      <w:pPr>
        <w:rPr>
          <w:b/>
          <w:bCs/>
        </w:rPr>
      </w:pPr>
      <w:r>
        <w:rPr>
          <w:b/>
          <w:bCs/>
        </w:rPr>
        <w:br w:type="page"/>
      </w:r>
    </w:p>
    <w:p w14:paraId="49EBC68F" w14:textId="77777777" w:rsidR="004207ED" w:rsidRDefault="00000000">
      <w:pPr>
        <w:pStyle w:val="Caption"/>
      </w:pPr>
      <w:r>
        <w:lastRenderedPageBreak/>
        <w:t xml:space="preserve">EK-2 Madde 6 kapsamında Siber Güvenlik Başkanlığı’na tanınan yetkileri, bu yetkilerin yasal anlamlarını, kurumlar üzerindeki pratik etkilerini ve bir bilgi güvenliği yöneticisi perspektifinden dikkat edilmesi gereken noktalar tablosu. </w:t>
      </w:r>
    </w:p>
    <w:tbl>
      <w:tblPr>
        <w:tblStyle w:val="TableGrid"/>
        <w:tblW w:w="5000" w:type="pct"/>
        <w:tblLook w:val="04A0" w:firstRow="1" w:lastRow="0" w:firstColumn="1" w:lastColumn="0" w:noHBand="0" w:noVBand="1"/>
      </w:tblPr>
      <w:tblGrid>
        <w:gridCol w:w="3803"/>
        <w:gridCol w:w="5110"/>
        <w:gridCol w:w="5081"/>
      </w:tblGrid>
      <w:tr w:rsidR="004207ED" w14:paraId="0BE90C33" w14:textId="77777777">
        <w:trPr>
          <w:cantSplit/>
          <w:tblHeader/>
        </w:trPr>
        <w:tc>
          <w:tcPr>
            <w:tcW w:w="0" w:type="auto"/>
            <w:shd w:val="clear" w:color="auto" w:fill="D9D9D9" w:themeFill="background1" w:themeFillShade="D9"/>
            <w:vAlign w:val="center"/>
            <w:hideMark/>
          </w:tcPr>
          <w:p w14:paraId="752D48F8" w14:textId="77777777" w:rsidR="004207ED" w:rsidRDefault="00000000">
            <w:pPr>
              <w:jc w:val="left"/>
            </w:pPr>
            <w:r>
              <w:rPr>
                <w:b/>
                <w:bCs/>
              </w:rPr>
              <w:t>Yetki Başlığı</w:t>
            </w:r>
          </w:p>
        </w:tc>
        <w:tc>
          <w:tcPr>
            <w:tcW w:w="5110" w:type="dxa"/>
            <w:shd w:val="clear" w:color="auto" w:fill="D9D9D9" w:themeFill="background1" w:themeFillShade="D9"/>
            <w:vAlign w:val="center"/>
            <w:hideMark/>
          </w:tcPr>
          <w:p w14:paraId="655536F2" w14:textId="77777777" w:rsidR="004207ED" w:rsidRDefault="00000000">
            <w:pPr>
              <w:jc w:val="left"/>
            </w:pPr>
            <w:r>
              <w:rPr>
                <w:b/>
                <w:bCs/>
              </w:rPr>
              <w:t>Kurumsal Etkisi</w:t>
            </w:r>
          </w:p>
        </w:tc>
        <w:tc>
          <w:tcPr>
            <w:tcW w:w="5081" w:type="dxa"/>
            <w:shd w:val="clear" w:color="auto" w:fill="D9D9D9" w:themeFill="background1" w:themeFillShade="D9"/>
            <w:vAlign w:val="center"/>
            <w:hideMark/>
          </w:tcPr>
          <w:p w14:paraId="1129CEA3" w14:textId="77777777" w:rsidR="004207ED" w:rsidRDefault="00000000">
            <w:pPr>
              <w:jc w:val="left"/>
            </w:pPr>
            <w:r>
              <w:rPr>
                <w:b/>
                <w:bCs/>
              </w:rPr>
              <w:t>Dikkat Edilmesi Gereken Hususlar</w:t>
            </w:r>
          </w:p>
        </w:tc>
      </w:tr>
      <w:tr w:rsidR="004207ED" w14:paraId="49B85F1A" w14:textId="77777777">
        <w:trPr>
          <w:cantSplit/>
        </w:trPr>
        <w:tc>
          <w:tcPr>
            <w:tcW w:w="0" w:type="auto"/>
            <w:vAlign w:val="center"/>
            <w:hideMark/>
          </w:tcPr>
          <w:p w14:paraId="0685B0DC" w14:textId="77777777" w:rsidR="004207ED" w:rsidRDefault="00000000">
            <w:pPr>
              <w:jc w:val="left"/>
            </w:pPr>
            <w:r>
              <w:t>a. Mevzuattaki Yetkileri Kullanmak</w:t>
            </w:r>
          </w:p>
        </w:tc>
        <w:tc>
          <w:tcPr>
            <w:tcW w:w="5110" w:type="dxa"/>
            <w:hideMark/>
          </w:tcPr>
          <w:p w14:paraId="51DEA177" w14:textId="77777777" w:rsidR="004207ED" w:rsidRDefault="00000000">
            <w:pPr>
              <w:jc w:val="left"/>
            </w:pPr>
            <w:r>
              <w:t>Başkanlık yalnızca bu Kanunla değil, tüm ilgili mevzuatla işlem yapabilir.</w:t>
            </w:r>
          </w:p>
        </w:tc>
        <w:tc>
          <w:tcPr>
            <w:tcW w:w="5081" w:type="dxa"/>
            <w:hideMark/>
          </w:tcPr>
          <w:p w14:paraId="64E53F40" w14:textId="77777777" w:rsidR="004207ED" w:rsidRDefault="00000000">
            <w:pPr>
              <w:jc w:val="left"/>
            </w:pPr>
            <w:r>
              <w:t>Mevzuat takibi kapsamlı yapılmalı; KVKK, BTK, Ceza Hukuku gibi alanlar göz önünde bulundurulmalı.</w:t>
            </w:r>
          </w:p>
        </w:tc>
      </w:tr>
      <w:tr w:rsidR="004207ED" w14:paraId="7E61E1B7" w14:textId="77777777">
        <w:trPr>
          <w:cantSplit/>
        </w:trPr>
        <w:tc>
          <w:tcPr>
            <w:tcW w:w="0" w:type="auto"/>
            <w:vAlign w:val="center"/>
            <w:hideMark/>
          </w:tcPr>
          <w:p w14:paraId="41255504" w14:textId="77777777" w:rsidR="004207ED" w:rsidRDefault="00000000">
            <w:pPr>
              <w:jc w:val="left"/>
            </w:pPr>
            <w:r>
              <w:t>b. Tedbir Alma, Entegrasyon ve Log Aktarımı</w:t>
            </w:r>
          </w:p>
        </w:tc>
        <w:tc>
          <w:tcPr>
            <w:tcW w:w="5110" w:type="dxa"/>
            <w:hideMark/>
          </w:tcPr>
          <w:p w14:paraId="503B5BDC" w14:textId="77777777" w:rsidR="004207ED" w:rsidRDefault="00000000">
            <w:pPr>
              <w:jc w:val="left"/>
            </w:pPr>
            <w:r>
              <w:t>Başkanlık yazılım kurabilir, log ve veriyi kendi sistemlerine aktarabilir.</w:t>
            </w:r>
          </w:p>
        </w:tc>
        <w:tc>
          <w:tcPr>
            <w:tcW w:w="5081" w:type="dxa"/>
            <w:hideMark/>
          </w:tcPr>
          <w:p w14:paraId="103FE5DC" w14:textId="77777777" w:rsidR="004207ED" w:rsidRDefault="00000000">
            <w:pPr>
              <w:jc w:val="left"/>
            </w:pPr>
            <w:r>
              <w:t>Müdahale senaryoları önceden belirlenmeli; entegrasyon ve veri mahremiyeti prosedürleri tanımlanmalı.</w:t>
            </w:r>
          </w:p>
        </w:tc>
      </w:tr>
      <w:tr w:rsidR="004207ED" w14:paraId="42886D10" w14:textId="77777777">
        <w:trPr>
          <w:cantSplit/>
        </w:trPr>
        <w:tc>
          <w:tcPr>
            <w:tcW w:w="0" w:type="auto"/>
            <w:vAlign w:val="center"/>
            <w:hideMark/>
          </w:tcPr>
          <w:p w14:paraId="0C1D1D8C" w14:textId="77777777" w:rsidR="004207ED" w:rsidRDefault="00000000">
            <w:pPr>
              <w:jc w:val="left"/>
            </w:pPr>
            <w:r>
              <w:t>c. Müdahale ve Delillendirme</w:t>
            </w:r>
          </w:p>
        </w:tc>
        <w:tc>
          <w:tcPr>
            <w:tcW w:w="5110" w:type="dxa"/>
            <w:hideMark/>
          </w:tcPr>
          <w:p w14:paraId="54034545" w14:textId="77777777" w:rsidR="004207ED" w:rsidRDefault="00000000">
            <w:pPr>
              <w:jc w:val="left"/>
            </w:pPr>
            <w:r>
              <w:t>Olay anında yerinde veya uzaktan müdahale ve adli analiz yapabilir.</w:t>
            </w:r>
          </w:p>
        </w:tc>
        <w:tc>
          <w:tcPr>
            <w:tcW w:w="5081" w:type="dxa"/>
            <w:hideMark/>
          </w:tcPr>
          <w:p w14:paraId="1C8557DD" w14:textId="77777777" w:rsidR="004207ED" w:rsidRDefault="00000000">
            <w:pPr>
              <w:jc w:val="left"/>
            </w:pPr>
            <w:r>
              <w:t>Delil zinciri korunmalı, müdahale planı hazır olmalı; güvenli veri aktarımı sağlanmalı.</w:t>
            </w:r>
          </w:p>
        </w:tc>
      </w:tr>
      <w:tr w:rsidR="004207ED" w14:paraId="31DAEC60" w14:textId="77777777">
        <w:trPr>
          <w:cantSplit/>
        </w:trPr>
        <w:tc>
          <w:tcPr>
            <w:tcW w:w="0" w:type="auto"/>
            <w:vAlign w:val="center"/>
            <w:hideMark/>
          </w:tcPr>
          <w:p w14:paraId="06CCC600" w14:textId="77777777" w:rsidR="004207ED" w:rsidRDefault="00000000">
            <w:pPr>
              <w:jc w:val="left"/>
            </w:pPr>
            <w:r>
              <w:t>ç. Bilgi, Belge, Veri ve Arşiv Talebi</w:t>
            </w:r>
          </w:p>
        </w:tc>
        <w:tc>
          <w:tcPr>
            <w:tcW w:w="5110" w:type="dxa"/>
            <w:hideMark/>
          </w:tcPr>
          <w:p w14:paraId="78D4908A" w14:textId="77777777" w:rsidR="004207ED" w:rsidRDefault="00000000">
            <w:pPr>
              <w:jc w:val="left"/>
            </w:pPr>
            <w:r>
              <w:t>Tüm faaliyetle ilgili bilgi-belge ve sistem erişimi talep edebilir.</w:t>
            </w:r>
          </w:p>
        </w:tc>
        <w:tc>
          <w:tcPr>
            <w:tcW w:w="5081" w:type="dxa"/>
            <w:hideMark/>
          </w:tcPr>
          <w:p w14:paraId="0DB9F439" w14:textId="77777777" w:rsidR="004207ED" w:rsidRDefault="00000000">
            <w:pPr>
              <w:jc w:val="left"/>
            </w:pPr>
            <w:r>
              <w:t>Veri sınıflandırması yapılmalı; KVKK ve ticari sır korumasına uygun aktarım sağlanmalı.</w:t>
            </w:r>
          </w:p>
        </w:tc>
      </w:tr>
      <w:tr w:rsidR="004207ED" w14:paraId="2FDA4A41" w14:textId="77777777">
        <w:trPr>
          <w:cantSplit/>
        </w:trPr>
        <w:tc>
          <w:tcPr>
            <w:tcW w:w="0" w:type="auto"/>
            <w:vAlign w:val="center"/>
            <w:hideMark/>
          </w:tcPr>
          <w:p w14:paraId="36AAE529" w14:textId="77777777" w:rsidR="004207ED" w:rsidRDefault="00000000">
            <w:pPr>
              <w:jc w:val="left"/>
            </w:pPr>
            <w:r>
              <w:t>d. Log Toplama ve Analiz</w:t>
            </w:r>
          </w:p>
        </w:tc>
        <w:tc>
          <w:tcPr>
            <w:tcW w:w="5110" w:type="dxa"/>
            <w:hideMark/>
          </w:tcPr>
          <w:p w14:paraId="552617E8" w14:textId="77777777" w:rsidR="004207ED" w:rsidRDefault="00000000">
            <w:pPr>
              <w:jc w:val="left"/>
            </w:pPr>
            <w:r>
              <w:t>Logları kendi bünyesinde toplayabilir, saklayabilir, raporlayabilir.</w:t>
            </w:r>
          </w:p>
        </w:tc>
        <w:tc>
          <w:tcPr>
            <w:tcW w:w="5081" w:type="dxa"/>
            <w:hideMark/>
          </w:tcPr>
          <w:p w14:paraId="316FFA18" w14:textId="77777777" w:rsidR="004207ED" w:rsidRDefault="00000000">
            <w:pPr>
              <w:jc w:val="left"/>
            </w:pPr>
            <w:r>
              <w:t>Log bütünlüğü, erişim kontrolü, zaman damgası ve saklama politikaları hazırlanmalı.</w:t>
            </w:r>
          </w:p>
        </w:tc>
      </w:tr>
      <w:tr w:rsidR="004207ED" w14:paraId="3C3BC07D" w14:textId="77777777">
        <w:trPr>
          <w:cantSplit/>
        </w:trPr>
        <w:tc>
          <w:tcPr>
            <w:tcW w:w="0" w:type="auto"/>
            <w:vAlign w:val="center"/>
            <w:hideMark/>
          </w:tcPr>
          <w:p w14:paraId="645F69CA" w14:textId="77777777" w:rsidR="004207ED" w:rsidRDefault="00000000">
            <w:pPr>
              <w:jc w:val="left"/>
            </w:pPr>
            <w:r>
              <w:t>e. Uzman Personel Tefriki</w:t>
            </w:r>
          </w:p>
        </w:tc>
        <w:tc>
          <w:tcPr>
            <w:tcW w:w="5110" w:type="dxa"/>
            <w:hideMark/>
          </w:tcPr>
          <w:p w14:paraId="3B6A63D8" w14:textId="77777777" w:rsidR="004207ED" w:rsidRDefault="00000000">
            <w:pPr>
              <w:jc w:val="left"/>
            </w:pPr>
            <w:r>
              <w:t>Kamu veya özel sektör kurumlarına uzman personel görevlendirebilir.</w:t>
            </w:r>
          </w:p>
        </w:tc>
        <w:tc>
          <w:tcPr>
            <w:tcW w:w="5081" w:type="dxa"/>
            <w:hideMark/>
          </w:tcPr>
          <w:p w14:paraId="7B8519CD" w14:textId="77777777" w:rsidR="004207ED" w:rsidRDefault="00000000">
            <w:pPr>
              <w:jc w:val="left"/>
            </w:pPr>
            <w:r>
              <w:t>Görevli personelin erişim sınırları belirlenmeli; gizlilik protokolleri uygulanmalı.</w:t>
            </w:r>
          </w:p>
        </w:tc>
      </w:tr>
      <w:tr w:rsidR="004207ED" w14:paraId="15C01333" w14:textId="77777777">
        <w:trPr>
          <w:cantSplit/>
        </w:trPr>
        <w:tc>
          <w:tcPr>
            <w:tcW w:w="0" w:type="auto"/>
            <w:vAlign w:val="center"/>
            <w:hideMark/>
          </w:tcPr>
          <w:p w14:paraId="5B544E5B" w14:textId="77777777" w:rsidR="004207ED" w:rsidRDefault="00000000">
            <w:pPr>
              <w:jc w:val="left"/>
            </w:pPr>
            <w:r>
              <w:t>f. Uluslararası Koordinasyon</w:t>
            </w:r>
          </w:p>
        </w:tc>
        <w:tc>
          <w:tcPr>
            <w:tcW w:w="5110" w:type="dxa"/>
            <w:hideMark/>
          </w:tcPr>
          <w:p w14:paraId="4C4ED5D2" w14:textId="77777777" w:rsidR="004207ED" w:rsidRDefault="00000000">
            <w:pPr>
              <w:jc w:val="left"/>
            </w:pPr>
            <w:r>
              <w:t>Başkanlık, uluslararası ilişkiler kurabilir, kararları uygulayabilir.</w:t>
            </w:r>
          </w:p>
        </w:tc>
        <w:tc>
          <w:tcPr>
            <w:tcW w:w="5081" w:type="dxa"/>
            <w:hideMark/>
          </w:tcPr>
          <w:p w14:paraId="076DAE30" w14:textId="77777777" w:rsidR="004207ED" w:rsidRDefault="00000000">
            <w:pPr>
              <w:jc w:val="left"/>
            </w:pPr>
            <w:r>
              <w:t>Uluslararası standartlara (ENISA, ISO/IEC) uyum sağlanmalı; teknik ekipler hazır olmalı.</w:t>
            </w:r>
          </w:p>
        </w:tc>
      </w:tr>
      <w:tr w:rsidR="004207ED" w14:paraId="4487C6BB" w14:textId="77777777">
        <w:trPr>
          <w:cantSplit/>
        </w:trPr>
        <w:tc>
          <w:tcPr>
            <w:tcW w:w="0" w:type="auto"/>
            <w:vAlign w:val="center"/>
            <w:hideMark/>
          </w:tcPr>
          <w:p w14:paraId="04AD4201" w14:textId="77777777" w:rsidR="004207ED" w:rsidRDefault="00000000">
            <w:pPr>
              <w:jc w:val="left"/>
            </w:pPr>
            <w:r>
              <w:t>g. Kurumsal Sınıflandırma</w:t>
            </w:r>
          </w:p>
        </w:tc>
        <w:tc>
          <w:tcPr>
            <w:tcW w:w="5110" w:type="dxa"/>
            <w:hideMark/>
          </w:tcPr>
          <w:p w14:paraId="05C9D5DE" w14:textId="77777777" w:rsidR="004207ED" w:rsidRDefault="00000000">
            <w:pPr>
              <w:jc w:val="left"/>
            </w:pPr>
            <w:r>
              <w:t>Kurumları faaliyet/risk durumuna göre sınıflandırabilir.</w:t>
            </w:r>
          </w:p>
        </w:tc>
        <w:tc>
          <w:tcPr>
            <w:tcW w:w="5081" w:type="dxa"/>
            <w:hideMark/>
          </w:tcPr>
          <w:p w14:paraId="2B1E4D4A" w14:textId="77777777" w:rsidR="004207ED" w:rsidRDefault="00000000">
            <w:pPr>
              <w:jc w:val="left"/>
            </w:pPr>
            <w:r>
              <w:t>Kurum sınıfı netleştirilmeli, sınıfa özel yükümlülükler iç prosedürlere entegre edilmeli.</w:t>
            </w:r>
          </w:p>
        </w:tc>
      </w:tr>
      <w:tr w:rsidR="004207ED" w14:paraId="168AAC6A" w14:textId="77777777">
        <w:trPr>
          <w:cantSplit/>
        </w:trPr>
        <w:tc>
          <w:tcPr>
            <w:tcW w:w="0" w:type="auto"/>
            <w:vAlign w:val="center"/>
            <w:hideMark/>
          </w:tcPr>
          <w:p w14:paraId="27DFCC47" w14:textId="77777777" w:rsidR="004207ED" w:rsidRDefault="00000000">
            <w:pPr>
              <w:jc w:val="left"/>
            </w:pPr>
            <w:r>
              <w:t>ğ. Denetçileri Yetkilendirme</w:t>
            </w:r>
          </w:p>
        </w:tc>
        <w:tc>
          <w:tcPr>
            <w:tcW w:w="5110" w:type="dxa"/>
            <w:hideMark/>
          </w:tcPr>
          <w:p w14:paraId="4FAC7930" w14:textId="77777777" w:rsidR="004207ED" w:rsidRDefault="00000000">
            <w:pPr>
              <w:jc w:val="left"/>
            </w:pPr>
            <w:r>
              <w:t>Denetim yapacak firmaları yetkilendirip yetkilerini iptal edebilir.</w:t>
            </w:r>
          </w:p>
        </w:tc>
        <w:tc>
          <w:tcPr>
            <w:tcW w:w="5081" w:type="dxa"/>
            <w:hideMark/>
          </w:tcPr>
          <w:p w14:paraId="26B20586" w14:textId="77777777" w:rsidR="004207ED" w:rsidRDefault="00000000">
            <w:pPr>
              <w:jc w:val="left"/>
            </w:pPr>
            <w:r>
              <w:t>Sadece yetkili denetçilerle çalışılmalı; iç denetim süreçleri uyumlu yapılandırılmalı.</w:t>
            </w:r>
          </w:p>
        </w:tc>
      </w:tr>
      <w:tr w:rsidR="004207ED" w14:paraId="6B92A62F" w14:textId="77777777">
        <w:trPr>
          <w:cantSplit/>
        </w:trPr>
        <w:tc>
          <w:tcPr>
            <w:tcW w:w="0" w:type="auto"/>
            <w:vAlign w:val="center"/>
            <w:hideMark/>
          </w:tcPr>
          <w:p w14:paraId="610523F7" w14:textId="77777777" w:rsidR="004207ED" w:rsidRDefault="00000000">
            <w:pPr>
              <w:jc w:val="left"/>
            </w:pPr>
            <w:r>
              <w:t>h.  Ürün/Hizmet Kriterleri ve Bildirim</w:t>
            </w:r>
          </w:p>
        </w:tc>
        <w:tc>
          <w:tcPr>
            <w:tcW w:w="5110" w:type="dxa"/>
            <w:hideMark/>
          </w:tcPr>
          <w:p w14:paraId="1D41A32F" w14:textId="77777777" w:rsidR="004207ED" w:rsidRDefault="00000000">
            <w:pPr>
              <w:jc w:val="left"/>
            </w:pPr>
            <w:r>
              <w:t>Teknik kriterler ve bildirim esasları belirlenebilir.</w:t>
            </w:r>
          </w:p>
        </w:tc>
        <w:tc>
          <w:tcPr>
            <w:tcW w:w="5081" w:type="dxa"/>
            <w:hideMark/>
          </w:tcPr>
          <w:p w14:paraId="7A1DFD7D" w14:textId="77777777" w:rsidR="004207ED" w:rsidRDefault="00000000">
            <w:pPr>
              <w:jc w:val="left"/>
            </w:pPr>
            <w:r>
              <w:t>Tüm BT ürünleri bu kriterlerle karşılaştırılmalı; değişiklikler zamanında bildirilmelidir.</w:t>
            </w:r>
          </w:p>
        </w:tc>
      </w:tr>
      <w:tr w:rsidR="004207ED" w14:paraId="06E2D276" w14:textId="77777777">
        <w:trPr>
          <w:cantSplit/>
        </w:trPr>
        <w:tc>
          <w:tcPr>
            <w:tcW w:w="0" w:type="auto"/>
            <w:vAlign w:val="center"/>
            <w:hideMark/>
          </w:tcPr>
          <w:p w14:paraId="73FE49FD" w14:textId="77777777" w:rsidR="004207ED" w:rsidRDefault="00000000">
            <w:pPr>
              <w:jc w:val="left"/>
            </w:pPr>
            <w:r>
              <w:t>ı. Sertifikasyon, Uyum ve Yasaklama</w:t>
            </w:r>
          </w:p>
        </w:tc>
        <w:tc>
          <w:tcPr>
            <w:tcW w:w="5110" w:type="dxa"/>
            <w:hideMark/>
          </w:tcPr>
          <w:p w14:paraId="7D6964EB" w14:textId="77777777" w:rsidR="004207ED" w:rsidRDefault="00000000">
            <w:pPr>
              <w:jc w:val="left"/>
            </w:pPr>
            <w:r>
              <w:t>Güvenlik kriterlerini koyabilir; uyumsuz ürünlerin kullanımını engelleyebilir.</w:t>
            </w:r>
          </w:p>
        </w:tc>
        <w:tc>
          <w:tcPr>
            <w:tcW w:w="5081" w:type="dxa"/>
            <w:hideMark/>
          </w:tcPr>
          <w:p w14:paraId="4F518EDF" w14:textId="77777777" w:rsidR="004207ED" w:rsidRDefault="00000000">
            <w:pPr>
              <w:jc w:val="left"/>
            </w:pPr>
            <w:r>
              <w:t>Sertifikalı ürünler tercih edilmeli; alternatif planlar ve yedek ürün senaryoları hazırlanmalı.</w:t>
            </w:r>
          </w:p>
        </w:tc>
      </w:tr>
    </w:tbl>
    <w:p w14:paraId="46B0BD5A" w14:textId="77777777" w:rsidR="004207ED" w:rsidRDefault="004207ED">
      <w:pPr>
        <w:rPr>
          <w:b/>
          <w:bCs/>
        </w:rPr>
      </w:pPr>
    </w:p>
    <w:p w14:paraId="055D004A" w14:textId="77777777" w:rsidR="004207ED" w:rsidRDefault="00000000">
      <w:pPr>
        <w:pStyle w:val="Caption"/>
      </w:pPr>
      <w:r>
        <w:lastRenderedPageBreak/>
        <w:t>EK-3 Madde 7 kapsamında kurumların yerine getirmesi gereken sorumlulukları, ilgili aktörleri ve ikincil düzenlemelerle ortaya çıkabilecek yükümlülükleri içeren tablo.</w:t>
      </w:r>
    </w:p>
    <w:tbl>
      <w:tblPr>
        <w:tblStyle w:val="TableGrid"/>
        <w:tblW w:w="5000" w:type="pct"/>
        <w:tblLook w:val="04A0" w:firstRow="1" w:lastRow="0" w:firstColumn="1" w:lastColumn="0" w:noHBand="0" w:noVBand="1"/>
      </w:tblPr>
      <w:tblGrid>
        <w:gridCol w:w="1828"/>
        <w:gridCol w:w="4947"/>
        <w:gridCol w:w="2850"/>
        <w:gridCol w:w="4369"/>
      </w:tblGrid>
      <w:tr w:rsidR="004207ED" w14:paraId="6C39BFE6" w14:textId="77777777">
        <w:trPr>
          <w:cantSplit/>
          <w:trHeight w:val="499"/>
          <w:tblHeader/>
        </w:trPr>
        <w:tc>
          <w:tcPr>
            <w:tcW w:w="0" w:type="auto"/>
            <w:shd w:val="clear" w:color="auto" w:fill="D9D9D9" w:themeFill="background1" w:themeFillShade="D9"/>
            <w:vAlign w:val="center"/>
            <w:hideMark/>
          </w:tcPr>
          <w:p w14:paraId="5BE0BB26" w14:textId="77777777" w:rsidR="004207ED" w:rsidRDefault="00000000">
            <w:pPr>
              <w:jc w:val="left"/>
            </w:pPr>
            <w:r>
              <w:rPr>
                <w:b/>
                <w:bCs/>
              </w:rPr>
              <w:t>Sorumluluk Başlığı</w:t>
            </w:r>
          </w:p>
        </w:tc>
        <w:tc>
          <w:tcPr>
            <w:tcW w:w="0" w:type="auto"/>
            <w:shd w:val="clear" w:color="auto" w:fill="D9D9D9" w:themeFill="background1" w:themeFillShade="D9"/>
            <w:vAlign w:val="center"/>
            <w:hideMark/>
          </w:tcPr>
          <w:p w14:paraId="57787759" w14:textId="77777777" w:rsidR="004207ED" w:rsidRDefault="00000000">
            <w:pPr>
              <w:jc w:val="left"/>
            </w:pPr>
            <w:r>
              <w:rPr>
                <w:b/>
                <w:bCs/>
              </w:rPr>
              <w:t>Kurumsal Etkisi</w:t>
            </w:r>
          </w:p>
        </w:tc>
        <w:tc>
          <w:tcPr>
            <w:tcW w:w="0" w:type="auto"/>
            <w:shd w:val="clear" w:color="auto" w:fill="D9D9D9" w:themeFill="background1" w:themeFillShade="D9"/>
            <w:vAlign w:val="center"/>
            <w:hideMark/>
          </w:tcPr>
          <w:p w14:paraId="4387634E" w14:textId="77777777" w:rsidR="004207ED" w:rsidRDefault="00000000">
            <w:pPr>
              <w:jc w:val="left"/>
            </w:pPr>
            <w:r>
              <w:rPr>
                <w:b/>
                <w:bCs/>
              </w:rPr>
              <w:t>İlgili Aktörler</w:t>
            </w:r>
          </w:p>
        </w:tc>
        <w:tc>
          <w:tcPr>
            <w:tcW w:w="0" w:type="auto"/>
            <w:shd w:val="clear" w:color="auto" w:fill="D9D9D9" w:themeFill="background1" w:themeFillShade="D9"/>
            <w:vAlign w:val="center"/>
            <w:hideMark/>
          </w:tcPr>
          <w:p w14:paraId="3BF9763C" w14:textId="77777777" w:rsidR="004207ED" w:rsidRDefault="00000000">
            <w:pPr>
              <w:jc w:val="left"/>
            </w:pPr>
            <w:r>
              <w:rPr>
                <w:b/>
                <w:bCs/>
              </w:rPr>
              <w:t>Dikkat Edilmesi Gerekenler</w:t>
            </w:r>
          </w:p>
        </w:tc>
      </w:tr>
      <w:tr w:rsidR="004207ED" w14:paraId="7843592E" w14:textId="77777777">
        <w:trPr>
          <w:cantSplit/>
        </w:trPr>
        <w:tc>
          <w:tcPr>
            <w:tcW w:w="0" w:type="auto"/>
            <w:vAlign w:val="center"/>
            <w:hideMark/>
          </w:tcPr>
          <w:p w14:paraId="7E83CE2A" w14:textId="77777777" w:rsidR="004207ED" w:rsidRDefault="00000000">
            <w:pPr>
              <w:jc w:val="left"/>
            </w:pPr>
            <w:r>
              <w:t>a. Bilgi ve Belge Sunma</w:t>
            </w:r>
          </w:p>
        </w:tc>
        <w:tc>
          <w:tcPr>
            <w:tcW w:w="0" w:type="auto"/>
            <w:hideMark/>
          </w:tcPr>
          <w:p w14:paraId="21892BF4" w14:textId="77777777" w:rsidR="004207ED" w:rsidRDefault="00000000">
            <w:pPr>
              <w:jc w:val="left"/>
            </w:pPr>
            <w:r>
              <w:t>Başkanlık, faaliyetlerle ilgili her türlü belge, veri, bilgi ve kaydı talep edebilir. Bu taleplerin yerine getirilmemesi suç teşkil edebilir.</w:t>
            </w:r>
          </w:p>
        </w:tc>
        <w:tc>
          <w:tcPr>
            <w:tcW w:w="0" w:type="auto"/>
            <w:hideMark/>
          </w:tcPr>
          <w:p w14:paraId="2667EB83" w14:textId="77777777" w:rsidR="004207ED" w:rsidRDefault="00000000">
            <w:pPr>
              <w:jc w:val="left"/>
            </w:pPr>
            <w:r>
              <w:t>Tüm Kanun kapsamındaki aktörler (kamu, özel sektör, STK, meslek kuruluşları)</w:t>
            </w:r>
          </w:p>
        </w:tc>
        <w:tc>
          <w:tcPr>
            <w:tcW w:w="0" w:type="auto"/>
            <w:hideMark/>
          </w:tcPr>
          <w:p w14:paraId="7BC2B915" w14:textId="77777777" w:rsidR="004207ED" w:rsidRDefault="00000000">
            <w:pPr>
              <w:jc w:val="left"/>
            </w:pPr>
            <w:r>
              <w:t>Talep edilen verilerin türü, iletim yöntemi ve formatı yönetmeliklerle netleştirilebilir; bilgi sistemleri buna uyumlu olmalıdır.</w:t>
            </w:r>
          </w:p>
        </w:tc>
      </w:tr>
      <w:tr w:rsidR="004207ED" w14:paraId="4D54DFD3" w14:textId="77777777">
        <w:trPr>
          <w:cantSplit/>
        </w:trPr>
        <w:tc>
          <w:tcPr>
            <w:tcW w:w="0" w:type="auto"/>
            <w:vAlign w:val="center"/>
            <w:hideMark/>
          </w:tcPr>
          <w:p w14:paraId="4AC131F8" w14:textId="77777777" w:rsidR="004207ED" w:rsidRDefault="00000000">
            <w:pPr>
              <w:jc w:val="left"/>
            </w:pPr>
            <w:r>
              <w:t>b. Zafiyet Bildirimi ve Tedbir Alma</w:t>
            </w:r>
          </w:p>
        </w:tc>
        <w:tc>
          <w:tcPr>
            <w:tcW w:w="0" w:type="auto"/>
            <w:hideMark/>
          </w:tcPr>
          <w:p w14:paraId="70A6E576" w14:textId="77777777" w:rsidR="004207ED" w:rsidRDefault="00000000">
            <w:pPr>
              <w:jc w:val="left"/>
            </w:pPr>
            <w:r>
              <w:t>Zafiyet ve siber olaylar derhal Başkanlığa bildirilmeli, gerekli teknik önlemler alınmalıdır.</w:t>
            </w:r>
          </w:p>
        </w:tc>
        <w:tc>
          <w:tcPr>
            <w:tcW w:w="0" w:type="auto"/>
            <w:hideMark/>
          </w:tcPr>
          <w:p w14:paraId="4DBDCF0F" w14:textId="77777777" w:rsidR="004207ED" w:rsidRDefault="00000000">
            <w:pPr>
              <w:jc w:val="left"/>
            </w:pPr>
            <w:r>
              <w:t>Hizmet sunan, veri işleyen tüm gerçek/tüzel kişiler, kamu kurumları, kritik altyapılar</w:t>
            </w:r>
          </w:p>
        </w:tc>
        <w:tc>
          <w:tcPr>
            <w:tcW w:w="0" w:type="auto"/>
            <w:hideMark/>
          </w:tcPr>
          <w:p w14:paraId="05BD6192" w14:textId="77777777" w:rsidR="004207ED" w:rsidRDefault="00000000">
            <w:pPr>
              <w:jc w:val="left"/>
            </w:pPr>
            <w:r>
              <w:t>Zafiyet bildirim usulü ve zamanlaması ikincil düzenlemelerde açıklanabilir; olay yönetim sistemleri senkronize olmalıdır.</w:t>
            </w:r>
          </w:p>
        </w:tc>
      </w:tr>
      <w:tr w:rsidR="004207ED" w14:paraId="2EC2C77D" w14:textId="77777777">
        <w:trPr>
          <w:cantSplit/>
        </w:trPr>
        <w:tc>
          <w:tcPr>
            <w:tcW w:w="0" w:type="auto"/>
            <w:vAlign w:val="center"/>
            <w:hideMark/>
          </w:tcPr>
          <w:p w14:paraId="4C1B8DEC" w14:textId="77777777" w:rsidR="004207ED" w:rsidRDefault="00000000">
            <w:pPr>
              <w:jc w:val="left"/>
            </w:pPr>
            <w:r>
              <w:t>c. Yetkili Kaynaktan Güvenlik Ürünü Temini</w:t>
            </w:r>
          </w:p>
        </w:tc>
        <w:tc>
          <w:tcPr>
            <w:tcW w:w="0" w:type="auto"/>
            <w:hideMark/>
          </w:tcPr>
          <w:p w14:paraId="582082A1" w14:textId="77777777" w:rsidR="004207ED" w:rsidRDefault="00000000">
            <w:pPr>
              <w:jc w:val="left"/>
            </w:pPr>
            <w:r>
              <w:t>Kamu kurumları ve kritik altyapı işletenler için siber güvenlik ürün/hizmeti yalnızca Başkanlıkça yetkilendirilmiş kaynaklardan tedarik edilecektir. Uymayanlara yaptırım uygulanabilir.</w:t>
            </w:r>
          </w:p>
        </w:tc>
        <w:tc>
          <w:tcPr>
            <w:tcW w:w="0" w:type="auto"/>
            <w:hideMark/>
          </w:tcPr>
          <w:p w14:paraId="724049E7" w14:textId="77777777" w:rsidR="004207ED" w:rsidRDefault="00000000">
            <w:pPr>
              <w:jc w:val="left"/>
            </w:pPr>
            <w:r>
              <w:t xml:space="preserve">Kamu kurumları ve kritik altyapı işletenler. </w:t>
            </w:r>
          </w:p>
        </w:tc>
        <w:tc>
          <w:tcPr>
            <w:tcW w:w="0" w:type="auto"/>
            <w:hideMark/>
          </w:tcPr>
          <w:p w14:paraId="276026F2" w14:textId="77777777" w:rsidR="004207ED" w:rsidRDefault="00000000">
            <w:pPr>
              <w:jc w:val="left"/>
            </w:pPr>
            <w:r>
              <w:t>Yetkili firmaların listesi Başkanlıkça yayımlanabilir; teknik şartnamelere bu koşullar entegre edilmelidir. İkincil düzenlemelerde kapsam genişletilebilir.</w:t>
            </w:r>
          </w:p>
        </w:tc>
      </w:tr>
      <w:tr w:rsidR="004207ED" w14:paraId="2B82B01D" w14:textId="77777777">
        <w:trPr>
          <w:cantSplit/>
        </w:trPr>
        <w:tc>
          <w:tcPr>
            <w:tcW w:w="0" w:type="auto"/>
            <w:vAlign w:val="center"/>
            <w:hideMark/>
          </w:tcPr>
          <w:p w14:paraId="016BDB62" w14:textId="77777777" w:rsidR="004207ED" w:rsidRDefault="00000000">
            <w:pPr>
              <w:jc w:val="left"/>
            </w:pPr>
            <w:r>
              <w:t>ç. Başkanlık Onayı ile Faaliyet</w:t>
            </w:r>
          </w:p>
        </w:tc>
        <w:tc>
          <w:tcPr>
            <w:tcW w:w="0" w:type="auto"/>
            <w:hideMark/>
          </w:tcPr>
          <w:p w14:paraId="21CBF155" w14:textId="77777777" w:rsidR="004207ED" w:rsidRDefault="00000000">
            <w:pPr>
              <w:jc w:val="left"/>
            </w:pPr>
            <w:r>
              <w:t>Belirli siber güvenlik ürün ve hizmetleri için önceden Başkanlık onayı gereklidir.</w:t>
            </w:r>
          </w:p>
        </w:tc>
        <w:tc>
          <w:tcPr>
            <w:tcW w:w="0" w:type="auto"/>
            <w:hideMark/>
          </w:tcPr>
          <w:p w14:paraId="27F5FC3C" w14:textId="77777777" w:rsidR="004207ED" w:rsidRDefault="00000000">
            <w:pPr>
              <w:jc w:val="left"/>
            </w:pPr>
            <w:r>
              <w:t>Siber güvenlik faaliyeti yürüten tüm kurumlar, özellikle özel sektör hizmet sağlayıcıları</w:t>
            </w:r>
          </w:p>
        </w:tc>
        <w:tc>
          <w:tcPr>
            <w:tcW w:w="0" w:type="auto"/>
            <w:hideMark/>
          </w:tcPr>
          <w:p w14:paraId="22DA4B2D" w14:textId="77777777" w:rsidR="004207ED" w:rsidRDefault="00000000">
            <w:pPr>
              <w:jc w:val="left"/>
            </w:pPr>
            <w:r>
              <w:t>Faaliyet türleri ve onay süreçleri detaylıca düzenlenecektir. Sözleşme öncesi kontrol mekanizması oluşturulmalıdır.</w:t>
            </w:r>
          </w:p>
        </w:tc>
      </w:tr>
      <w:tr w:rsidR="004207ED" w14:paraId="7AAFEBC9" w14:textId="77777777">
        <w:trPr>
          <w:cantSplit/>
        </w:trPr>
        <w:tc>
          <w:tcPr>
            <w:tcW w:w="0" w:type="auto"/>
            <w:vAlign w:val="center"/>
            <w:hideMark/>
          </w:tcPr>
          <w:p w14:paraId="4FAB118D" w14:textId="77777777" w:rsidR="004207ED" w:rsidRDefault="00000000">
            <w:pPr>
              <w:jc w:val="left"/>
            </w:pPr>
            <w:r>
              <w:t>d. Politika ve Stratejiye Uyum</w:t>
            </w:r>
          </w:p>
        </w:tc>
        <w:tc>
          <w:tcPr>
            <w:tcW w:w="0" w:type="auto"/>
            <w:hideMark/>
          </w:tcPr>
          <w:p w14:paraId="70CD3B94" w14:textId="77777777" w:rsidR="004207ED" w:rsidRDefault="00000000">
            <w:pPr>
              <w:jc w:val="left"/>
            </w:pPr>
            <w:r>
              <w:t>Başkanlıkça yayımlanan politika, strateji ve eylem planları kurumlarda uygulanmak zorundadır.</w:t>
            </w:r>
          </w:p>
        </w:tc>
        <w:tc>
          <w:tcPr>
            <w:tcW w:w="0" w:type="auto"/>
            <w:hideMark/>
          </w:tcPr>
          <w:p w14:paraId="0C738DC3" w14:textId="77777777" w:rsidR="004207ED" w:rsidRDefault="00000000">
            <w:pPr>
              <w:jc w:val="left"/>
            </w:pPr>
            <w:r>
              <w:t>Tüm Kanun kapsamındaki aktörler</w:t>
            </w:r>
          </w:p>
        </w:tc>
        <w:tc>
          <w:tcPr>
            <w:tcW w:w="0" w:type="auto"/>
            <w:hideMark/>
          </w:tcPr>
          <w:p w14:paraId="48122205" w14:textId="77777777" w:rsidR="004207ED" w:rsidRDefault="00000000">
            <w:pPr>
              <w:jc w:val="left"/>
            </w:pPr>
            <w:r>
              <w:t>Uygulamaya dair usul ve esaslar rehber dokümanlarla desteklenebilir; performans ölçümleri talep edilebilir.</w:t>
            </w:r>
          </w:p>
        </w:tc>
      </w:tr>
    </w:tbl>
    <w:p w14:paraId="49F57348" w14:textId="77777777" w:rsidR="004207ED" w:rsidRDefault="004207ED">
      <w:pPr>
        <w:rPr>
          <w:b/>
          <w:bCs/>
        </w:rPr>
      </w:pPr>
    </w:p>
    <w:p w14:paraId="68547555" w14:textId="77777777" w:rsidR="004207ED" w:rsidRDefault="00000000">
      <w:pPr>
        <w:pStyle w:val="Caption"/>
      </w:pPr>
      <w:r>
        <w:t>EK-4 Madde 17 kapsamında hukukî koordinasyon hususları</w:t>
      </w:r>
    </w:p>
    <w:tbl>
      <w:tblPr>
        <w:tblStyle w:val="TableGrid"/>
        <w:tblW w:w="5000" w:type="pct"/>
        <w:tblLook w:val="04A0" w:firstRow="1" w:lastRow="0" w:firstColumn="1" w:lastColumn="0" w:noHBand="0" w:noVBand="1"/>
      </w:tblPr>
      <w:tblGrid>
        <w:gridCol w:w="2695"/>
        <w:gridCol w:w="3690"/>
        <w:gridCol w:w="3339"/>
        <w:gridCol w:w="4270"/>
      </w:tblGrid>
      <w:tr w:rsidR="004207ED" w14:paraId="7188582A" w14:textId="77777777">
        <w:trPr>
          <w:cantSplit/>
          <w:trHeight w:val="598"/>
          <w:tblHeader/>
        </w:trPr>
        <w:tc>
          <w:tcPr>
            <w:tcW w:w="2695" w:type="dxa"/>
            <w:shd w:val="clear" w:color="auto" w:fill="D9D9D9" w:themeFill="background1" w:themeFillShade="D9"/>
            <w:vAlign w:val="center"/>
            <w:hideMark/>
          </w:tcPr>
          <w:p w14:paraId="0B263877" w14:textId="77777777" w:rsidR="004207ED" w:rsidRDefault="00000000">
            <w:pPr>
              <w:jc w:val="left"/>
            </w:pPr>
            <w:r>
              <w:rPr>
                <w:b/>
                <w:bCs/>
              </w:rPr>
              <w:t>Süreç Aşaması</w:t>
            </w:r>
          </w:p>
        </w:tc>
        <w:tc>
          <w:tcPr>
            <w:tcW w:w="3690" w:type="dxa"/>
            <w:shd w:val="clear" w:color="auto" w:fill="D9D9D9" w:themeFill="background1" w:themeFillShade="D9"/>
            <w:vAlign w:val="center"/>
            <w:hideMark/>
          </w:tcPr>
          <w:p w14:paraId="5450E700" w14:textId="77777777" w:rsidR="004207ED" w:rsidRDefault="00000000">
            <w:pPr>
              <w:jc w:val="left"/>
            </w:pPr>
            <w:r>
              <w:rPr>
                <w:b/>
                <w:bCs/>
              </w:rPr>
              <w:t>Teknik Birimin Rolü</w:t>
            </w:r>
          </w:p>
        </w:tc>
        <w:tc>
          <w:tcPr>
            <w:tcW w:w="3339" w:type="dxa"/>
            <w:shd w:val="clear" w:color="auto" w:fill="D9D9D9" w:themeFill="background1" w:themeFillShade="D9"/>
            <w:vAlign w:val="center"/>
            <w:hideMark/>
          </w:tcPr>
          <w:p w14:paraId="3EBAC690" w14:textId="77777777" w:rsidR="004207ED" w:rsidRDefault="00000000">
            <w:pPr>
              <w:jc w:val="left"/>
            </w:pPr>
            <w:r>
              <w:rPr>
                <w:b/>
                <w:bCs/>
              </w:rPr>
              <w:t>Hukuk Biriminin Rolü</w:t>
            </w:r>
          </w:p>
        </w:tc>
        <w:tc>
          <w:tcPr>
            <w:tcW w:w="0" w:type="auto"/>
            <w:shd w:val="clear" w:color="auto" w:fill="D9D9D9" w:themeFill="background1" w:themeFillShade="D9"/>
            <w:vAlign w:val="center"/>
            <w:hideMark/>
          </w:tcPr>
          <w:p w14:paraId="1E605ACE" w14:textId="77777777" w:rsidR="004207ED" w:rsidRDefault="00000000">
            <w:pPr>
              <w:jc w:val="left"/>
            </w:pPr>
            <w:r>
              <w:rPr>
                <w:b/>
                <w:bCs/>
              </w:rPr>
              <w:t>Koordinasyon Notu</w:t>
            </w:r>
          </w:p>
        </w:tc>
      </w:tr>
      <w:tr w:rsidR="004207ED" w14:paraId="3E35858D" w14:textId="77777777">
        <w:trPr>
          <w:cantSplit/>
        </w:trPr>
        <w:tc>
          <w:tcPr>
            <w:tcW w:w="2695" w:type="dxa"/>
            <w:hideMark/>
          </w:tcPr>
          <w:p w14:paraId="16AB4077" w14:textId="77777777" w:rsidR="004207ED" w:rsidRDefault="00000000">
            <w:pPr>
              <w:jc w:val="left"/>
            </w:pPr>
            <w:r>
              <w:t>1. Tebligatın alınması</w:t>
            </w:r>
          </w:p>
        </w:tc>
        <w:tc>
          <w:tcPr>
            <w:tcW w:w="3690" w:type="dxa"/>
            <w:hideMark/>
          </w:tcPr>
          <w:p w14:paraId="42D4DCCA" w14:textId="77777777" w:rsidR="004207ED" w:rsidRDefault="00000000">
            <w:pPr>
              <w:jc w:val="left"/>
            </w:pPr>
            <w:r>
              <w:t>Başkanlıktan gelen yazının varlığını BT birimi fark edebilir; hemen hukuk birimine iletmelidir.</w:t>
            </w:r>
          </w:p>
        </w:tc>
        <w:tc>
          <w:tcPr>
            <w:tcW w:w="3339" w:type="dxa"/>
            <w:hideMark/>
          </w:tcPr>
          <w:p w14:paraId="7B26F6C3" w14:textId="77777777" w:rsidR="004207ED" w:rsidRDefault="00000000">
            <w:pPr>
              <w:jc w:val="left"/>
            </w:pPr>
            <w:r>
              <w:t>Yazının tebliğ tarihini tespit eder, savunma süresini takvime bağlar.</w:t>
            </w:r>
          </w:p>
        </w:tc>
        <w:tc>
          <w:tcPr>
            <w:tcW w:w="0" w:type="auto"/>
            <w:hideMark/>
          </w:tcPr>
          <w:p w14:paraId="20D59EB0" w14:textId="77777777" w:rsidR="004207ED" w:rsidRDefault="00000000">
            <w:pPr>
              <w:jc w:val="left"/>
            </w:pPr>
            <w:r>
              <w:t>Süreç, tebliğ tarihinden itibaren işlemeye başlar, zamanlama kritiktir.</w:t>
            </w:r>
          </w:p>
        </w:tc>
      </w:tr>
      <w:tr w:rsidR="004207ED" w14:paraId="7AC98B0D" w14:textId="77777777">
        <w:trPr>
          <w:cantSplit/>
        </w:trPr>
        <w:tc>
          <w:tcPr>
            <w:tcW w:w="2695" w:type="dxa"/>
            <w:hideMark/>
          </w:tcPr>
          <w:p w14:paraId="2651543B" w14:textId="77777777" w:rsidR="004207ED" w:rsidRDefault="00000000">
            <w:pPr>
              <w:jc w:val="left"/>
            </w:pPr>
            <w:r>
              <w:t>2. Teknik olay açıklaması</w:t>
            </w:r>
          </w:p>
        </w:tc>
        <w:tc>
          <w:tcPr>
            <w:tcW w:w="3690" w:type="dxa"/>
            <w:hideMark/>
          </w:tcPr>
          <w:p w14:paraId="19192564" w14:textId="77777777" w:rsidR="004207ED" w:rsidRDefault="00000000">
            <w:pPr>
              <w:jc w:val="left"/>
            </w:pPr>
            <w:r>
              <w:t>İhlalin türü, kapsamı, süresi, etkisi ve alınan önlemleri raporlar.</w:t>
            </w:r>
          </w:p>
        </w:tc>
        <w:tc>
          <w:tcPr>
            <w:tcW w:w="3339" w:type="dxa"/>
            <w:hideMark/>
          </w:tcPr>
          <w:p w14:paraId="74BC2B84" w14:textId="77777777" w:rsidR="004207ED" w:rsidRDefault="00000000">
            <w:pPr>
              <w:jc w:val="left"/>
            </w:pPr>
            <w:r>
              <w:t>Teknik raporu hukuki dile çevirerek savunma metnini oluşturur.</w:t>
            </w:r>
          </w:p>
        </w:tc>
        <w:tc>
          <w:tcPr>
            <w:tcW w:w="0" w:type="auto"/>
            <w:hideMark/>
          </w:tcPr>
          <w:p w14:paraId="71DE5E03" w14:textId="77777777" w:rsidR="004207ED" w:rsidRDefault="00000000">
            <w:pPr>
              <w:jc w:val="left"/>
            </w:pPr>
            <w:r>
              <w:t>Savunma teknik gerekçeye dayalı olmazsa idari ceza kaçınılmaz olur.</w:t>
            </w:r>
          </w:p>
        </w:tc>
      </w:tr>
      <w:tr w:rsidR="004207ED" w14:paraId="209372CA" w14:textId="77777777">
        <w:trPr>
          <w:cantSplit/>
        </w:trPr>
        <w:tc>
          <w:tcPr>
            <w:tcW w:w="2695" w:type="dxa"/>
            <w:hideMark/>
          </w:tcPr>
          <w:p w14:paraId="20E87C91" w14:textId="77777777" w:rsidR="004207ED" w:rsidRDefault="00000000">
            <w:pPr>
              <w:jc w:val="left"/>
            </w:pPr>
            <w:r>
              <w:lastRenderedPageBreak/>
              <w:t>3. Tekerrür veya zarar durumu analizi</w:t>
            </w:r>
          </w:p>
        </w:tc>
        <w:tc>
          <w:tcPr>
            <w:tcW w:w="3690" w:type="dxa"/>
            <w:hideMark/>
          </w:tcPr>
          <w:p w14:paraId="11FF907C" w14:textId="77777777" w:rsidR="004207ED" w:rsidRDefault="00000000">
            <w:pPr>
              <w:jc w:val="left"/>
            </w:pPr>
            <w:r>
              <w:t>Daha önce benzer ihlal oldu mu? Veya bir kazanç/zarar ortaya çıktı mı? Bunları belgelemelidir.</w:t>
            </w:r>
          </w:p>
        </w:tc>
        <w:tc>
          <w:tcPr>
            <w:tcW w:w="3339" w:type="dxa"/>
            <w:hideMark/>
          </w:tcPr>
          <w:p w14:paraId="1456954E" w14:textId="77777777" w:rsidR="004207ED" w:rsidRDefault="00000000">
            <w:pPr>
              <w:jc w:val="left"/>
            </w:pPr>
            <w:r>
              <w:t>Tekrar olup olmadığını ve varsa zararın boyutunu hukuki değerlendirmeye yansıtır.</w:t>
            </w:r>
          </w:p>
        </w:tc>
        <w:tc>
          <w:tcPr>
            <w:tcW w:w="0" w:type="auto"/>
            <w:hideMark/>
          </w:tcPr>
          <w:p w14:paraId="58AA83E9" w14:textId="77777777" w:rsidR="004207ED" w:rsidRDefault="00000000">
            <w:pPr>
              <w:jc w:val="left"/>
            </w:pPr>
            <w:r>
              <w:t>Bu analiz, cezanın artırımlı uygulanıp uygulanmayacağını belirler.</w:t>
            </w:r>
          </w:p>
        </w:tc>
      </w:tr>
      <w:tr w:rsidR="004207ED" w14:paraId="5B79FEB4" w14:textId="77777777">
        <w:trPr>
          <w:cantSplit/>
        </w:trPr>
        <w:tc>
          <w:tcPr>
            <w:tcW w:w="2695" w:type="dxa"/>
            <w:hideMark/>
          </w:tcPr>
          <w:p w14:paraId="53A76D7F" w14:textId="77777777" w:rsidR="004207ED" w:rsidRDefault="00000000">
            <w:pPr>
              <w:jc w:val="left"/>
            </w:pPr>
            <w:r>
              <w:t>4. Savunmanın sunulması</w:t>
            </w:r>
          </w:p>
        </w:tc>
        <w:tc>
          <w:tcPr>
            <w:tcW w:w="3690" w:type="dxa"/>
            <w:hideMark/>
          </w:tcPr>
          <w:p w14:paraId="5920913A" w14:textId="77777777" w:rsidR="004207ED" w:rsidRDefault="00000000">
            <w:pPr>
              <w:jc w:val="left"/>
            </w:pPr>
            <w:r>
              <w:t>Gerekirse BT yetkilisi destek belge üretir veya teknik mütalaa sunar.</w:t>
            </w:r>
          </w:p>
        </w:tc>
        <w:tc>
          <w:tcPr>
            <w:tcW w:w="3339" w:type="dxa"/>
            <w:hideMark/>
          </w:tcPr>
          <w:p w14:paraId="51705415" w14:textId="77777777" w:rsidR="004207ED" w:rsidRDefault="00000000">
            <w:pPr>
              <w:jc w:val="left"/>
            </w:pPr>
            <w:r>
              <w:t>Resmî savunmayı hazırlar ve 30 gün içinde Başkanlığa sunar.</w:t>
            </w:r>
          </w:p>
        </w:tc>
        <w:tc>
          <w:tcPr>
            <w:tcW w:w="0" w:type="auto"/>
            <w:hideMark/>
          </w:tcPr>
          <w:p w14:paraId="5D5686B0" w14:textId="77777777" w:rsidR="004207ED" w:rsidRDefault="00000000">
            <w:pPr>
              <w:jc w:val="left"/>
            </w:pPr>
            <w:r>
              <w:t>Belgeler ve argümanlar birlikte sunulursa savunma daha etkili olur.</w:t>
            </w:r>
          </w:p>
        </w:tc>
      </w:tr>
      <w:tr w:rsidR="004207ED" w14:paraId="1C320F80" w14:textId="77777777">
        <w:trPr>
          <w:cantSplit/>
        </w:trPr>
        <w:tc>
          <w:tcPr>
            <w:tcW w:w="2695" w:type="dxa"/>
            <w:hideMark/>
          </w:tcPr>
          <w:p w14:paraId="722D2763" w14:textId="77777777" w:rsidR="004207ED" w:rsidRDefault="00000000">
            <w:pPr>
              <w:jc w:val="left"/>
            </w:pPr>
            <w:r>
              <w:t>5. Ceza kararı sonrası ödeme süreci</w:t>
            </w:r>
          </w:p>
        </w:tc>
        <w:tc>
          <w:tcPr>
            <w:tcW w:w="3690" w:type="dxa"/>
            <w:hideMark/>
          </w:tcPr>
          <w:p w14:paraId="494D05AA" w14:textId="77777777" w:rsidR="004207ED" w:rsidRDefault="00000000">
            <w:pPr>
              <w:jc w:val="left"/>
            </w:pPr>
            <w:r>
              <w:t>Mali işler birimiyle koordinasyon sağlayabilir; fatura/mutabakat sunabilir.</w:t>
            </w:r>
          </w:p>
        </w:tc>
        <w:tc>
          <w:tcPr>
            <w:tcW w:w="3339" w:type="dxa"/>
            <w:hideMark/>
          </w:tcPr>
          <w:p w14:paraId="2ADF189C" w14:textId="77777777" w:rsidR="004207ED" w:rsidRDefault="00000000">
            <w:pPr>
              <w:jc w:val="left"/>
            </w:pPr>
            <w:r>
              <w:t>Kesinleşen cezanın ödeme sürecini takip eder, gerektiğinde taksitlendirme veya itiraz yollarını değerlendirir.</w:t>
            </w:r>
          </w:p>
        </w:tc>
        <w:tc>
          <w:tcPr>
            <w:tcW w:w="0" w:type="auto"/>
            <w:hideMark/>
          </w:tcPr>
          <w:p w14:paraId="4BBFE7F2" w14:textId="77777777" w:rsidR="004207ED" w:rsidRDefault="00000000">
            <w:pPr>
              <w:jc w:val="left"/>
            </w:pPr>
            <w:r>
              <w:t>Cezanın süresinde ödenmemesi vergi dairesine geçişi tetikler.</w:t>
            </w:r>
          </w:p>
        </w:tc>
      </w:tr>
      <w:tr w:rsidR="004207ED" w14:paraId="1E431101" w14:textId="77777777">
        <w:trPr>
          <w:cantSplit/>
        </w:trPr>
        <w:tc>
          <w:tcPr>
            <w:tcW w:w="2695" w:type="dxa"/>
            <w:hideMark/>
          </w:tcPr>
          <w:p w14:paraId="47895A25" w14:textId="77777777" w:rsidR="004207ED" w:rsidRDefault="00000000">
            <w:pPr>
              <w:jc w:val="left"/>
            </w:pPr>
            <w:r>
              <w:t>6. Yargı yoluna başvuru (itiraz)</w:t>
            </w:r>
          </w:p>
        </w:tc>
        <w:tc>
          <w:tcPr>
            <w:tcW w:w="3690" w:type="dxa"/>
            <w:hideMark/>
          </w:tcPr>
          <w:p w14:paraId="7B542391" w14:textId="77777777" w:rsidR="004207ED" w:rsidRDefault="00000000">
            <w:pPr>
              <w:jc w:val="left"/>
            </w:pPr>
            <w:r>
              <w:t>BT birimi, teknik kanıtları (log, mail, sistem kayıtları) arşivden çıkarır.</w:t>
            </w:r>
          </w:p>
        </w:tc>
        <w:tc>
          <w:tcPr>
            <w:tcW w:w="3339" w:type="dxa"/>
            <w:hideMark/>
          </w:tcPr>
          <w:p w14:paraId="65E5619E" w14:textId="77777777" w:rsidR="004207ED" w:rsidRDefault="00000000">
            <w:pPr>
              <w:jc w:val="left"/>
            </w:pPr>
            <w:r>
              <w:t>Dava dilekçesini hazırlar, teknik verilerle desteklenen hukuki argüman geliştirir.</w:t>
            </w:r>
          </w:p>
        </w:tc>
        <w:tc>
          <w:tcPr>
            <w:tcW w:w="0" w:type="auto"/>
            <w:hideMark/>
          </w:tcPr>
          <w:p w14:paraId="2BDED2A0" w14:textId="77777777" w:rsidR="004207ED" w:rsidRDefault="00000000">
            <w:pPr>
              <w:jc w:val="left"/>
            </w:pPr>
            <w:r>
              <w:t>Davanın başarısı, teknik verinin açık ve delil niteliğinde sunulmasına bağlıdır.</w:t>
            </w:r>
          </w:p>
        </w:tc>
      </w:tr>
      <w:tr w:rsidR="004207ED" w14:paraId="5346DFDC" w14:textId="77777777">
        <w:trPr>
          <w:cantSplit/>
        </w:trPr>
        <w:tc>
          <w:tcPr>
            <w:tcW w:w="2695" w:type="dxa"/>
            <w:hideMark/>
          </w:tcPr>
          <w:p w14:paraId="0DF014C7" w14:textId="77777777" w:rsidR="004207ED" w:rsidRDefault="00000000">
            <w:pPr>
              <w:jc w:val="left"/>
            </w:pPr>
            <w:r>
              <w:t>7. Süreç sonrası iç denetim ve önleyici eylem</w:t>
            </w:r>
          </w:p>
        </w:tc>
        <w:tc>
          <w:tcPr>
            <w:tcW w:w="3690" w:type="dxa"/>
            <w:hideMark/>
          </w:tcPr>
          <w:p w14:paraId="4E59DFB9" w14:textId="77777777" w:rsidR="004207ED" w:rsidRDefault="00000000">
            <w:pPr>
              <w:jc w:val="left"/>
            </w:pPr>
            <w:r>
              <w:t>İhlale neden olan süreçleri analiz eder, prosedür önerisi geliştirir.</w:t>
            </w:r>
          </w:p>
        </w:tc>
        <w:tc>
          <w:tcPr>
            <w:tcW w:w="3339" w:type="dxa"/>
            <w:hideMark/>
          </w:tcPr>
          <w:p w14:paraId="68E89658" w14:textId="77777777" w:rsidR="004207ED" w:rsidRDefault="00000000">
            <w:pPr>
              <w:jc w:val="left"/>
            </w:pPr>
            <w:r>
              <w:t>İdari açıdan riskli alanlara ilişkin politika güncellemesi önerir.</w:t>
            </w:r>
          </w:p>
        </w:tc>
        <w:tc>
          <w:tcPr>
            <w:tcW w:w="0" w:type="auto"/>
            <w:hideMark/>
          </w:tcPr>
          <w:p w14:paraId="3DDC9B84" w14:textId="77777777" w:rsidR="004207ED" w:rsidRDefault="00000000">
            <w:pPr>
              <w:jc w:val="left"/>
            </w:pPr>
            <w:r>
              <w:t>Kurum, gelecekteki ihlaller için daha dirençli hale gelir.</w:t>
            </w:r>
          </w:p>
        </w:tc>
      </w:tr>
    </w:tbl>
    <w:p w14:paraId="6106CAA5" w14:textId="77777777" w:rsidR="004207ED" w:rsidRDefault="004207ED">
      <w:pPr>
        <w:rPr>
          <w:b/>
          <w:bCs/>
        </w:rPr>
      </w:pPr>
    </w:p>
    <w:p w14:paraId="5C98FFF8" w14:textId="77777777" w:rsidR="004207ED" w:rsidRDefault="00000000">
      <w:pPr>
        <w:pStyle w:val="Caption"/>
      </w:pPr>
      <w:r>
        <w:t>EK-5 Kanun ile Uluslararası Standart ve Düzenlemeler Arasındaki İlişkiler</w:t>
      </w:r>
    </w:p>
    <w:tbl>
      <w:tblPr>
        <w:tblStyle w:val="TableGrid"/>
        <w:tblW w:w="5000" w:type="pct"/>
        <w:tblLook w:val="04A0" w:firstRow="1" w:lastRow="0" w:firstColumn="1" w:lastColumn="0" w:noHBand="0" w:noVBand="1"/>
      </w:tblPr>
      <w:tblGrid>
        <w:gridCol w:w="2284"/>
        <w:gridCol w:w="2273"/>
        <w:gridCol w:w="4401"/>
        <w:gridCol w:w="5036"/>
      </w:tblGrid>
      <w:tr w:rsidR="004207ED" w14:paraId="26005454" w14:textId="77777777">
        <w:trPr>
          <w:cantSplit/>
          <w:trHeight w:val="589"/>
          <w:tblHeader/>
        </w:trPr>
        <w:tc>
          <w:tcPr>
            <w:tcW w:w="0" w:type="auto"/>
            <w:shd w:val="clear" w:color="auto" w:fill="D9D9D9" w:themeFill="background1" w:themeFillShade="D9"/>
            <w:vAlign w:val="center"/>
            <w:hideMark/>
          </w:tcPr>
          <w:p w14:paraId="74A0B9BD" w14:textId="77777777" w:rsidR="004207ED" w:rsidRDefault="00000000">
            <w:pPr>
              <w:jc w:val="left"/>
            </w:pPr>
            <w:r>
              <w:rPr>
                <w:b/>
                <w:bCs/>
              </w:rPr>
              <w:t>Standart / Mevzuat</w:t>
            </w:r>
          </w:p>
        </w:tc>
        <w:tc>
          <w:tcPr>
            <w:tcW w:w="0" w:type="auto"/>
            <w:shd w:val="clear" w:color="auto" w:fill="D9D9D9" w:themeFill="background1" w:themeFillShade="D9"/>
            <w:vAlign w:val="center"/>
            <w:hideMark/>
          </w:tcPr>
          <w:p w14:paraId="55027009" w14:textId="77777777" w:rsidR="004207ED" w:rsidRDefault="00000000">
            <w:pPr>
              <w:jc w:val="left"/>
            </w:pPr>
            <w:r>
              <w:rPr>
                <w:b/>
                <w:bCs/>
              </w:rPr>
              <w:t>İlişkili Kanun Maddeleri</w:t>
            </w:r>
          </w:p>
        </w:tc>
        <w:tc>
          <w:tcPr>
            <w:tcW w:w="0" w:type="auto"/>
            <w:shd w:val="clear" w:color="auto" w:fill="D9D9D9" w:themeFill="background1" w:themeFillShade="D9"/>
            <w:vAlign w:val="center"/>
            <w:hideMark/>
          </w:tcPr>
          <w:p w14:paraId="5990E428" w14:textId="77777777" w:rsidR="004207ED" w:rsidRDefault="00000000">
            <w:pPr>
              <w:jc w:val="left"/>
            </w:pPr>
            <w:r>
              <w:rPr>
                <w:b/>
                <w:bCs/>
              </w:rPr>
              <w:t>İlişki Biçimi</w:t>
            </w:r>
          </w:p>
        </w:tc>
        <w:tc>
          <w:tcPr>
            <w:tcW w:w="0" w:type="auto"/>
            <w:shd w:val="clear" w:color="auto" w:fill="D9D9D9" w:themeFill="background1" w:themeFillShade="D9"/>
            <w:vAlign w:val="center"/>
            <w:hideMark/>
          </w:tcPr>
          <w:p w14:paraId="268DB909" w14:textId="77777777" w:rsidR="004207ED" w:rsidRDefault="00000000">
            <w:pPr>
              <w:jc w:val="left"/>
            </w:pPr>
            <w:r>
              <w:rPr>
                <w:b/>
                <w:bCs/>
              </w:rPr>
              <w:t>Ortaya Çıkabilecek Sonuçlar</w:t>
            </w:r>
          </w:p>
        </w:tc>
      </w:tr>
      <w:tr w:rsidR="004207ED" w14:paraId="7C0D3162" w14:textId="77777777">
        <w:trPr>
          <w:cantSplit/>
        </w:trPr>
        <w:tc>
          <w:tcPr>
            <w:tcW w:w="0" w:type="auto"/>
            <w:vAlign w:val="center"/>
            <w:hideMark/>
          </w:tcPr>
          <w:p w14:paraId="75AFEDFC" w14:textId="77777777" w:rsidR="004207ED" w:rsidRDefault="00000000">
            <w:pPr>
              <w:jc w:val="left"/>
            </w:pPr>
            <w:r>
              <w:t>ISO/IEC 27001 (Bilgi Güvenliği Yönetim Sistemi)</w:t>
            </w:r>
          </w:p>
        </w:tc>
        <w:tc>
          <w:tcPr>
            <w:tcW w:w="0" w:type="auto"/>
            <w:hideMark/>
          </w:tcPr>
          <w:p w14:paraId="7949C3B8" w14:textId="77777777" w:rsidR="004207ED" w:rsidRDefault="00000000">
            <w:pPr>
              <w:jc w:val="left"/>
            </w:pPr>
            <w:r>
              <w:t>Madde 4 (İlkeler), Madde 5/ç, 6/ı, 7/b, 8</w:t>
            </w:r>
          </w:p>
        </w:tc>
        <w:tc>
          <w:tcPr>
            <w:tcW w:w="0" w:type="auto"/>
            <w:hideMark/>
          </w:tcPr>
          <w:p w14:paraId="1DE66EB2" w14:textId="77777777" w:rsidR="004207ED" w:rsidRDefault="00000000">
            <w:pPr>
              <w:jc w:val="left"/>
            </w:pPr>
            <w:r>
              <w:t>Risk yönetimi, envanter, politika geliştirme ve sürekli iyileştirme ilkeleri Kanun ile birebir örtüşür.</w:t>
            </w:r>
          </w:p>
        </w:tc>
        <w:tc>
          <w:tcPr>
            <w:tcW w:w="0" w:type="auto"/>
            <w:hideMark/>
          </w:tcPr>
          <w:p w14:paraId="2C315817" w14:textId="77777777" w:rsidR="004207ED" w:rsidRDefault="00000000">
            <w:pPr>
              <w:jc w:val="left"/>
            </w:pPr>
            <w:r>
              <w:t>ISO 27001'e uygun olan kurumlar yeni yükümlülükleri daha hızlı yerine getirir; danışmanlık ve sertifikasyon pazarı genişler.</w:t>
            </w:r>
          </w:p>
        </w:tc>
      </w:tr>
      <w:tr w:rsidR="004207ED" w14:paraId="06BD860F" w14:textId="77777777">
        <w:trPr>
          <w:cantSplit/>
        </w:trPr>
        <w:tc>
          <w:tcPr>
            <w:tcW w:w="0" w:type="auto"/>
            <w:vAlign w:val="center"/>
            <w:hideMark/>
          </w:tcPr>
          <w:p w14:paraId="212C844D" w14:textId="77777777" w:rsidR="004207ED" w:rsidRDefault="00000000">
            <w:pPr>
              <w:jc w:val="left"/>
            </w:pPr>
            <w:r>
              <w:t>KVKK (Kişisel Verilerin Korunması Kanunu)</w:t>
            </w:r>
          </w:p>
        </w:tc>
        <w:tc>
          <w:tcPr>
            <w:tcW w:w="0" w:type="auto"/>
            <w:hideMark/>
          </w:tcPr>
          <w:p w14:paraId="43DC2FA6" w14:textId="77777777" w:rsidR="004207ED" w:rsidRDefault="00000000">
            <w:pPr>
              <w:jc w:val="left"/>
            </w:pPr>
            <w:r>
              <w:t>Madde 6/ç, 6/d, 6/ı (Veri, log ve kişisel bilgi işlemesi)</w:t>
            </w:r>
          </w:p>
        </w:tc>
        <w:tc>
          <w:tcPr>
            <w:tcW w:w="0" w:type="auto"/>
            <w:hideMark/>
          </w:tcPr>
          <w:p w14:paraId="711CDD8D" w14:textId="77777777" w:rsidR="004207ED" w:rsidRDefault="00000000">
            <w:pPr>
              <w:jc w:val="left"/>
            </w:pPr>
            <w:r>
              <w:t>Kanun, veri toplama ve log kayıtlarının Başkanlıkla paylaşımını düzenlerken KVKK ile potansiyel etkileşimler yaratır.</w:t>
            </w:r>
          </w:p>
        </w:tc>
        <w:tc>
          <w:tcPr>
            <w:tcW w:w="0" w:type="auto"/>
            <w:hideMark/>
          </w:tcPr>
          <w:p w14:paraId="7B6C59CA" w14:textId="77777777" w:rsidR="004207ED" w:rsidRDefault="00000000">
            <w:pPr>
              <w:jc w:val="left"/>
            </w:pPr>
            <w:r>
              <w:t>Veri sınıflandırma, anonimleştirme ve paylaşım süreçleri için KVKK uyumluluk danışmanlığı önem kazanır.</w:t>
            </w:r>
          </w:p>
        </w:tc>
      </w:tr>
      <w:tr w:rsidR="004207ED" w14:paraId="098B7508" w14:textId="77777777">
        <w:trPr>
          <w:cantSplit/>
        </w:trPr>
        <w:tc>
          <w:tcPr>
            <w:tcW w:w="0" w:type="auto"/>
            <w:vAlign w:val="center"/>
            <w:hideMark/>
          </w:tcPr>
          <w:p w14:paraId="2FCCA1AD" w14:textId="77777777" w:rsidR="004207ED" w:rsidRDefault="00000000">
            <w:pPr>
              <w:jc w:val="left"/>
            </w:pPr>
            <w:r>
              <w:t>GDPR (AB Genel Veri Koruma Tüzüğü)</w:t>
            </w:r>
          </w:p>
        </w:tc>
        <w:tc>
          <w:tcPr>
            <w:tcW w:w="0" w:type="auto"/>
            <w:hideMark/>
          </w:tcPr>
          <w:p w14:paraId="5863347A" w14:textId="77777777" w:rsidR="004207ED" w:rsidRDefault="00000000">
            <w:pPr>
              <w:jc w:val="left"/>
            </w:pPr>
            <w:r>
              <w:t>Madde 6/ç, 6/d, Madde 8, Madde 16</w:t>
            </w:r>
          </w:p>
        </w:tc>
        <w:tc>
          <w:tcPr>
            <w:tcW w:w="0" w:type="auto"/>
            <w:hideMark/>
          </w:tcPr>
          <w:p w14:paraId="70E102DC" w14:textId="77777777" w:rsidR="004207ED" w:rsidRDefault="00000000">
            <w:pPr>
              <w:jc w:val="left"/>
            </w:pPr>
            <w:r>
              <w:t>Veri aktarımı, ihlal bildirimi, denetim ve veri imhası süreçleri GDPR ile paralel şekilde yapılandırılmıştır.</w:t>
            </w:r>
          </w:p>
        </w:tc>
        <w:tc>
          <w:tcPr>
            <w:tcW w:w="0" w:type="auto"/>
            <w:hideMark/>
          </w:tcPr>
          <w:p w14:paraId="0337AA43" w14:textId="77777777" w:rsidR="004207ED" w:rsidRDefault="00000000">
            <w:pPr>
              <w:jc w:val="left"/>
            </w:pPr>
            <w:r>
              <w:t>Uluslararası hizmet veren şirketler için GDPR ve Kanun uyumunun birlikte sağlanması kritik hâle gelir; çapraz regülasyon danışmanlığı gelişir.</w:t>
            </w:r>
          </w:p>
        </w:tc>
      </w:tr>
      <w:tr w:rsidR="004207ED" w14:paraId="57A75F7B" w14:textId="77777777">
        <w:trPr>
          <w:cantSplit/>
        </w:trPr>
        <w:tc>
          <w:tcPr>
            <w:tcW w:w="0" w:type="auto"/>
            <w:vAlign w:val="center"/>
            <w:hideMark/>
          </w:tcPr>
          <w:p w14:paraId="46155939" w14:textId="77777777" w:rsidR="004207ED" w:rsidRDefault="00000000">
            <w:pPr>
              <w:jc w:val="left"/>
            </w:pPr>
            <w:r>
              <w:lastRenderedPageBreak/>
              <w:t>NIST CSF (NIST Siber Güvenlik Çerçevesi)</w:t>
            </w:r>
          </w:p>
        </w:tc>
        <w:tc>
          <w:tcPr>
            <w:tcW w:w="0" w:type="auto"/>
            <w:hideMark/>
          </w:tcPr>
          <w:p w14:paraId="3C0CBBB6" w14:textId="77777777" w:rsidR="004207ED" w:rsidRDefault="00000000">
            <w:pPr>
              <w:jc w:val="left"/>
            </w:pPr>
            <w:r>
              <w:t>Madde 5/b, 5/ç, 5/d, 6/f</w:t>
            </w:r>
          </w:p>
        </w:tc>
        <w:tc>
          <w:tcPr>
            <w:tcW w:w="0" w:type="auto"/>
            <w:hideMark/>
          </w:tcPr>
          <w:p w14:paraId="4F8A01C5" w14:textId="77777777" w:rsidR="004207ED" w:rsidRDefault="00000000">
            <w:pPr>
              <w:jc w:val="left"/>
            </w:pPr>
            <w:r>
              <w:t>Tespit, müdahale, iyileştirme ve siber olgunluk ölçümü yaklaşımları Kanun'da doğrudan uygulanmaktadır.</w:t>
            </w:r>
          </w:p>
        </w:tc>
        <w:tc>
          <w:tcPr>
            <w:tcW w:w="0" w:type="auto"/>
            <w:hideMark/>
          </w:tcPr>
          <w:p w14:paraId="7C72B56F" w14:textId="77777777" w:rsidR="004207ED" w:rsidRDefault="00000000">
            <w:pPr>
              <w:jc w:val="left"/>
            </w:pPr>
            <w:r>
              <w:t>NIST uyumlu altyapı kurmuş firmalar avantajlıdır; olgunluk analizi ve boşluk analizi hizmetleri yaygınlaşır.</w:t>
            </w:r>
          </w:p>
        </w:tc>
      </w:tr>
      <w:tr w:rsidR="004207ED" w14:paraId="1E3AF769" w14:textId="77777777">
        <w:trPr>
          <w:cantSplit/>
        </w:trPr>
        <w:tc>
          <w:tcPr>
            <w:tcW w:w="0" w:type="auto"/>
            <w:vAlign w:val="center"/>
            <w:hideMark/>
          </w:tcPr>
          <w:p w14:paraId="4B06CAC6" w14:textId="77777777" w:rsidR="004207ED" w:rsidRDefault="00000000">
            <w:pPr>
              <w:jc w:val="left"/>
            </w:pPr>
            <w:r>
              <w:t>SOC 2 / SOC for Cybersecurity</w:t>
            </w:r>
          </w:p>
        </w:tc>
        <w:tc>
          <w:tcPr>
            <w:tcW w:w="0" w:type="auto"/>
            <w:hideMark/>
          </w:tcPr>
          <w:p w14:paraId="5E9DE6A5" w14:textId="77777777" w:rsidR="004207ED" w:rsidRDefault="00000000">
            <w:pPr>
              <w:jc w:val="left"/>
            </w:pPr>
            <w:r>
              <w:t>Madde 8, Madde 5/ğ</w:t>
            </w:r>
          </w:p>
        </w:tc>
        <w:tc>
          <w:tcPr>
            <w:tcW w:w="0" w:type="auto"/>
            <w:hideMark/>
          </w:tcPr>
          <w:p w14:paraId="6AA6242D" w14:textId="77777777" w:rsidR="004207ED" w:rsidRDefault="00000000">
            <w:pPr>
              <w:jc w:val="left"/>
            </w:pPr>
            <w:r>
              <w:t>Denetim, raporlama ve bilgi sistemleri üzerindeki kontrol süreçleri ile benzerlik taşır.</w:t>
            </w:r>
          </w:p>
        </w:tc>
        <w:tc>
          <w:tcPr>
            <w:tcW w:w="0" w:type="auto"/>
            <w:hideMark/>
          </w:tcPr>
          <w:p w14:paraId="02C6C332" w14:textId="77777777" w:rsidR="004207ED" w:rsidRDefault="00000000">
            <w:pPr>
              <w:jc w:val="left"/>
            </w:pPr>
            <w:r>
              <w:t>Kritik altyapılar için SOC tabanlı raporlama sistemleri kullanılabilir; denetim yazılımı, araçları ve metodolojileri gelişir.</w:t>
            </w:r>
          </w:p>
        </w:tc>
      </w:tr>
    </w:tbl>
    <w:p w14:paraId="57322AFF" w14:textId="77777777" w:rsidR="004207ED" w:rsidRDefault="004207ED">
      <w:pPr>
        <w:rPr>
          <w:b/>
          <w:bCs/>
        </w:rPr>
      </w:pPr>
    </w:p>
    <w:sectPr w:rsidR="004207ED">
      <w:pgSz w:w="16838" w:h="11906" w:orient="landscape"/>
      <w:pgMar w:top="1417" w:right="1417" w:bottom="1417" w:left="1417"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922BDFF" w14:textId="77777777" w:rsidR="000C4080" w:rsidRDefault="000C4080" w:rsidP="00D35A6D">
      <w:pPr>
        <w:spacing w:after="0"/>
      </w:pPr>
      <w:r>
        <w:separator/>
      </w:r>
    </w:p>
  </w:endnote>
  <w:endnote w:type="continuationSeparator" w:id="0">
    <w:p w14:paraId="5CD17EE2" w14:textId="77777777" w:rsidR="000C4080" w:rsidRDefault="000C4080" w:rsidP="00D35A6D">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2071839188"/>
      <w:docPartObj>
        <w:docPartGallery w:val="Page Numbers (Bottom of Page)"/>
        <w:docPartUnique/>
      </w:docPartObj>
    </w:sdtPr>
    <w:sdtContent>
      <w:p w14:paraId="614EB5B8" w14:textId="77777777" w:rsidR="00D40D38" w:rsidRDefault="00D40D38">
        <w:pPr>
          <w:pStyle w:val="Footer"/>
          <w:jc w:val="center"/>
        </w:pPr>
      </w:p>
      <w:tbl>
        <w:tblPr>
          <w:tblStyle w:val="TableGridLight"/>
          <w:tblW w:w="0" w:type="auto"/>
          <w:tblLook w:val="04A0" w:firstRow="1" w:lastRow="0" w:firstColumn="1" w:lastColumn="0" w:noHBand="0" w:noVBand="1"/>
        </w:tblPr>
        <w:tblGrid>
          <w:gridCol w:w="1530"/>
          <w:gridCol w:w="6655"/>
          <w:gridCol w:w="877"/>
        </w:tblGrid>
        <w:tr w:rsidR="00D40D38" w14:paraId="1D3C5C94" w14:textId="77777777" w:rsidTr="004E3439">
          <w:tc>
            <w:tcPr>
              <w:tcW w:w="1530" w:type="dxa"/>
            </w:tcPr>
            <w:p w14:paraId="505229E7" w14:textId="77777777" w:rsidR="00D40D38" w:rsidRDefault="00D40D38" w:rsidP="00D40D38">
              <w:pPr>
                <w:jc w:val="center"/>
                <w:rPr>
                  <w:sz w:val="18"/>
                  <w:szCs w:val="18"/>
                  <w:shd w:val="clear" w:color="auto" w:fill="FFFFFF"/>
                </w:rPr>
              </w:pPr>
              <w:r>
                <w:drawing>
                  <wp:inline distT="0" distB="0" distL="0" distR="0" wp14:anchorId="2FB85F9A" wp14:editId="4F385583">
                    <wp:extent cx="752475" cy="508871"/>
                    <wp:effectExtent l="0" t="0" r="0" b="5715"/>
                    <wp:docPr id="1276276523" name="Resim 1764584380" descr="logo içeren bir resim&#10;&#10;Açıklama otomatik olarak oluşturuldu"/>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Resim 1764584380" descr="logo içeren bir resim&#10;&#10;Açıklama otomatik olarak oluşturuldu"/>
                            <pic:cNvPicPr>
                              <a:picLocks noChangeAspect="1" noChangeArrowheads="1"/>
                            </pic:cNvPicPr>
                          </pic:nvPicPr>
                          <pic:blipFill>
                            <a:blip r:embed="rId1"/>
                            <a:stretch>
                              <a:fillRect/>
                            </a:stretch>
                          </pic:blipFill>
                          <pic:spPr bwMode="auto">
                            <a:xfrm>
                              <a:off x="0" y="0"/>
                              <a:ext cx="755094" cy="510642"/>
                            </a:xfrm>
                            <a:prstGeom prst="rect">
                              <a:avLst/>
                            </a:prstGeom>
                          </pic:spPr>
                        </pic:pic>
                      </a:graphicData>
                    </a:graphic>
                  </wp:inline>
                </w:drawing>
              </w:r>
            </w:p>
          </w:tc>
          <w:tc>
            <w:tcPr>
              <w:tcW w:w="6655" w:type="dxa"/>
              <w:vAlign w:val="center"/>
            </w:tcPr>
            <w:p w14:paraId="7B1E6020" w14:textId="77777777" w:rsidR="00D40D38" w:rsidRPr="00D40D38" w:rsidRDefault="00D40D38" w:rsidP="00D40D38">
              <w:pPr>
                <w:jc w:val="center"/>
                <w:rPr>
                  <w:sz w:val="18"/>
                  <w:szCs w:val="18"/>
                  <w:shd w:val="clear" w:color="auto" w:fill="FFFFFF"/>
                </w:rPr>
              </w:pPr>
              <w:r w:rsidRPr="00D40D38">
                <w:rPr>
                  <w:sz w:val="18"/>
                  <w:szCs w:val="18"/>
                  <w:shd w:val="clear" w:color="auto" w:fill="FFFFFF"/>
                </w:rPr>
                <w:t>CyberArts Siber Güvenlik ve Danışmanlık A.Ş.</w:t>
              </w:r>
            </w:p>
            <w:p w14:paraId="575AAA54" w14:textId="77777777" w:rsidR="00D40D38" w:rsidRPr="00D40D38" w:rsidRDefault="00D40D38" w:rsidP="00D40D38">
              <w:pPr>
                <w:jc w:val="center"/>
                <w:rPr>
                  <w:sz w:val="18"/>
                  <w:szCs w:val="18"/>
                  <w:shd w:val="clear" w:color="auto" w:fill="FFFFFF"/>
                </w:rPr>
              </w:pPr>
              <w:proofErr w:type="spellStart"/>
              <w:r w:rsidRPr="00D40D38">
                <w:rPr>
                  <w:sz w:val="18"/>
                  <w:szCs w:val="18"/>
                  <w:shd w:val="clear" w:color="auto" w:fill="FFFFFF"/>
                </w:rPr>
                <w:t>Quasar</w:t>
              </w:r>
              <w:proofErr w:type="spellEnd"/>
              <w:r w:rsidRPr="00D40D38">
                <w:rPr>
                  <w:sz w:val="18"/>
                  <w:szCs w:val="18"/>
                  <w:shd w:val="clear" w:color="auto" w:fill="FFFFFF"/>
                </w:rPr>
                <w:t xml:space="preserve"> İstanbul Fulya Mah. Büyükdere Cad. No: 76, 34394 Mecidiyeköy Şişli – İSTANBUL</w:t>
              </w:r>
            </w:p>
            <w:p w14:paraId="4C453859" w14:textId="77777777" w:rsidR="00D40D38" w:rsidRPr="00D40D38" w:rsidRDefault="00D40D38" w:rsidP="00D40D38">
              <w:pPr>
                <w:jc w:val="center"/>
                <w:rPr>
                  <w:sz w:val="18"/>
                  <w:szCs w:val="18"/>
                </w:rPr>
              </w:pPr>
              <w:r w:rsidRPr="00D40D38">
                <w:rPr>
                  <w:sz w:val="18"/>
                  <w:szCs w:val="18"/>
                </w:rPr>
                <w:t xml:space="preserve">info@cyberartspro.com / </w:t>
              </w:r>
              <w:hyperlink r:id="rId2" w:history="1">
                <w:r w:rsidRPr="00D40D38">
                  <w:rPr>
                    <w:rStyle w:val="Hyperlink"/>
                    <w:sz w:val="18"/>
                    <w:szCs w:val="18"/>
                  </w:rPr>
                  <w:t>www.cyberartspro.com</w:t>
                </w:r>
              </w:hyperlink>
            </w:p>
          </w:tc>
          <w:tc>
            <w:tcPr>
              <w:tcW w:w="877" w:type="dxa"/>
              <w:vAlign w:val="center"/>
            </w:tcPr>
            <w:sdt>
              <w:sdtPr>
                <w:id w:val="1195117948"/>
                <w:docPartObj>
                  <w:docPartGallery w:val="Page Numbers (Bottom of Page)"/>
                  <w:docPartUnique/>
                </w:docPartObj>
              </w:sdtPr>
              <w:sdtContent>
                <w:p w14:paraId="168F9463" w14:textId="77777777" w:rsidR="00D40D38" w:rsidRPr="00D40D38" w:rsidRDefault="00D40D38" w:rsidP="00D40D38">
                  <w:pPr>
                    <w:pStyle w:val="Footer"/>
                    <w:jc w:val="center"/>
                  </w:pPr>
                  <w:r>
                    <w:fldChar w:fldCharType="begin"/>
                  </w:r>
                  <w:r>
                    <w:instrText xml:space="preserve"> PAGE   \* MERGEFORMAT </w:instrText>
                  </w:r>
                  <w:r>
                    <w:fldChar w:fldCharType="separate"/>
                  </w:r>
                  <w:r>
                    <w:t>2</w:t>
                  </w:r>
                  <w:r>
                    <w:fldChar w:fldCharType="end"/>
                  </w:r>
                </w:p>
              </w:sdtContent>
            </w:sdt>
          </w:tc>
        </w:tr>
      </w:tbl>
      <w:p w14:paraId="7AAAA608" w14:textId="4302E66D" w:rsidR="004207ED" w:rsidRDefault="00000000">
        <w:pPr>
          <w:pStyle w:val="Footer"/>
          <w:jc w:val="center"/>
        </w:pP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131E04E" w14:textId="77777777" w:rsidR="00D40D38" w:rsidRDefault="00D40D38" w:rsidP="00D40D38">
    <w:pPr>
      <w:spacing w:after="0"/>
      <w:jc w:val="center"/>
      <w:rPr>
        <w:sz w:val="18"/>
        <w:szCs w:val="18"/>
        <w:shd w:val="clear" w:color="auto" w:fill="FFFFFF"/>
      </w:rPr>
    </w:pPr>
  </w:p>
  <w:tbl>
    <w:tblPr>
      <w:tblStyle w:val="TableGridLight"/>
      <w:tblW w:w="0" w:type="auto"/>
      <w:tblLook w:val="04A0" w:firstRow="1" w:lastRow="0" w:firstColumn="1" w:lastColumn="0" w:noHBand="0" w:noVBand="1"/>
    </w:tblPr>
    <w:tblGrid>
      <w:gridCol w:w="1530"/>
      <w:gridCol w:w="6655"/>
      <w:gridCol w:w="877"/>
    </w:tblGrid>
    <w:tr w:rsidR="00D40D38" w14:paraId="7763ADC7" w14:textId="13EA3E57" w:rsidTr="00D40D38">
      <w:tc>
        <w:tcPr>
          <w:tcW w:w="1530" w:type="dxa"/>
        </w:tcPr>
        <w:p w14:paraId="488C1B89" w14:textId="45510271" w:rsidR="00D40D38" w:rsidRDefault="00D40D38" w:rsidP="00D40D38">
          <w:pPr>
            <w:jc w:val="center"/>
            <w:rPr>
              <w:sz w:val="18"/>
              <w:szCs w:val="18"/>
              <w:shd w:val="clear" w:color="auto" w:fill="FFFFFF"/>
            </w:rPr>
          </w:pPr>
          <w:r>
            <w:drawing>
              <wp:inline distT="0" distB="0" distL="0" distR="0" wp14:anchorId="4FD785F7" wp14:editId="1A3B2834">
                <wp:extent cx="752475" cy="508871"/>
                <wp:effectExtent l="0" t="0" r="0" b="5715"/>
                <wp:docPr id="2" name="Resim 1764584380" descr="logo içeren bir resim&#10;&#10;Açıklama otomatik olarak oluşturuldu"/>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Resim 1764584380" descr="logo içeren bir resim&#10;&#10;Açıklama otomatik olarak oluşturuldu"/>
                        <pic:cNvPicPr>
                          <a:picLocks noChangeAspect="1" noChangeArrowheads="1"/>
                        </pic:cNvPicPr>
                      </pic:nvPicPr>
                      <pic:blipFill>
                        <a:blip r:embed="rId1"/>
                        <a:stretch>
                          <a:fillRect/>
                        </a:stretch>
                      </pic:blipFill>
                      <pic:spPr bwMode="auto">
                        <a:xfrm>
                          <a:off x="0" y="0"/>
                          <a:ext cx="755094" cy="510642"/>
                        </a:xfrm>
                        <a:prstGeom prst="rect">
                          <a:avLst/>
                        </a:prstGeom>
                      </pic:spPr>
                    </pic:pic>
                  </a:graphicData>
                </a:graphic>
              </wp:inline>
            </w:drawing>
          </w:r>
        </w:p>
      </w:tc>
      <w:tc>
        <w:tcPr>
          <w:tcW w:w="6655" w:type="dxa"/>
          <w:vAlign w:val="center"/>
        </w:tcPr>
        <w:p w14:paraId="164940A8" w14:textId="77777777" w:rsidR="00D40D38" w:rsidRPr="00D40D38" w:rsidRDefault="00D40D38" w:rsidP="00D40D38">
          <w:pPr>
            <w:jc w:val="center"/>
            <w:rPr>
              <w:sz w:val="18"/>
              <w:szCs w:val="18"/>
              <w:shd w:val="clear" w:color="auto" w:fill="FFFFFF"/>
            </w:rPr>
          </w:pPr>
          <w:r w:rsidRPr="00D40D38">
            <w:rPr>
              <w:sz w:val="18"/>
              <w:szCs w:val="18"/>
              <w:shd w:val="clear" w:color="auto" w:fill="FFFFFF"/>
            </w:rPr>
            <w:t>CyberArts Siber Güvenlik ve Danışmanlık A.Ş.</w:t>
          </w:r>
        </w:p>
        <w:p w14:paraId="134226A7" w14:textId="77777777" w:rsidR="00D40D38" w:rsidRPr="00D40D38" w:rsidRDefault="00D40D38" w:rsidP="00D40D38">
          <w:pPr>
            <w:jc w:val="center"/>
            <w:rPr>
              <w:sz w:val="18"/>
              <w:szCs w:val="18"/>
              <w:shd w:val="clear" w:color="auto" w:fill="FFFFFF"/>
            </w:rPr>
          </w:pPr>
          <w:proofErr w:type="spellStart"/>
          <w:r w:rsidRPr="00D40D38">
            <w:rPr>
              <w:sz w:val="18"/>
              <w:szCs w:val="18"/>
              <w:shd w:val="clear" w:color="auto" w:fill="FFFFFF"/>
            </w:rPr>
            <w:t>Quasar</w:t>
          </w:r>
          <w:proofErr w:type="spellEnd"/>
          <w:r w:rsidRPr="00D40D38">
            <w:rPr>
              <w:sz w:val="18"/>
              <w:szCs w:val="18"/>
              <w:shd w:val="clear" w:color="auto" w:fill="FFFFFF"/>
            </w:rPr>
            <w:t xml:space="preserve"> İstanbul Fulya Mah. Büyükdere Cad. No: 76, 34394 Mecidiyeköy Şişli – İSTANBUL</w:t>
          </w:r>
        </w:p>
        <w:p w14:paraId="42093C86" w14:textId="644BF7FA" w:rsidR="00D40D38" w:rsidRPr="00D40D38" w:rsidRDefault="00D40D38" w:rsidP="00D40D38">
          <w:pPr>
            <w:jc w:val="center"/>
            <w:rPr>
              <w:sz w:val="18"/>
              <w:szCs w:val="18"/>
            </w:rPr>
          </w:pPr>
          <w:r w:rsidRPr="00D40D38">
            <w:rPr>
              <w:sz w:val="18"/>
              <w:szCs w:val="18"/>
            </w:rPr>
            <w:t xml:space="preserve">info@cyberartspro.com / </w:t>
          </w:r>
          <w:hyperlink r:id="rId2" w:history="1">
            <w:r w:rsidRPr="00D40D38">
              <w:rPr>
                <w:rStyle w:val="Hyperlink"/>
                <w:sz w:val="18"/>
                <w:szCs w:val="18"/>
              </w:rPr>
              <w:t>www.cyberartspro.com</w:t>
            </w:r>
          </w:hyperlink>
        </w:p>
      </w:tc>
      <w:tc>
        <w:tcPr>
          <w:tcW w:w="877" w:type="dxa"/>
          <w:vAlign w:val="center"/>
        </w:tcPr>
        <w:sdt>
          <w:sdtPr>
            <w:id w:val="-1250115552"/>
            <w:docPartObj>
              <w:docPartGallery w:val="Page Numbers (Bottom of Page)"/>
              <w:docPartUnique/>
            </w:docPartObj>
          </w:sdtPr>
          <w:sdtContent>
            <w:p w14:paraId="1C664EB3" w14:textId="4639AA5C" w:rsidR="00D40D38" w:rsidRPr="00D40D38" w:rsidRDefault="00D40D38" w:rsidP="00D40D38">
              <w:pPr>
                <w:pStyle w:val="Footer"/>
                <w:jc w:val="center"/>
              </w:pPr>
              <w:r>
                <w:fldChar w:fldCharType="begin"/>
              </w:r>
              <w:r>
                <w:instrText xml:space="preserve"> PAGE   \* MERGEFORMAT </w:instrText>
              </w:r>
              <w:r>
                <w:fldChar w:fldCharType="separate"/>
              </w:r>
              <w:r>
                <w:t>2</w:t>
              </w:r>
              <w:r>
                <w:fldChar w:fldCharType="end"/>
              </w:r>
            </w:p>
          </w:sdtContent>
        </w:sdt>
      </w:tc>
    </w:tr>
  </w:tbl>
  <w:p w14:paraId="158718D6" w14:textId="1EAAB75E" w:rsidR="00D40D38" w:rsidRPr="00D40D38" w:rsidRDefault="00D40D38" w:rsidP="00D40D38">
    <w:pPr>
      <w:spacing w:after="0"/>
      <w:jc w:val="center"/>
      <w:rPr>
        <w:sz w:val="18"/>
        <w:szCs w:val="18"/>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E358F0B" w14:textId="77777777" w:rsidR="000C4080" w:rsidRDefault="000C4080" w:rsidP="00D35A6D">
      <w:pPr>
        <w:spacing w:after="0"/>
      </w:pPr>
      <w:r>
        <w:separator/>
      </w:r>
    </w:p>
  </w:footnote>
  <w:footnote w:type="continuationSeparator" w:id="0">
    <w:p w14:paraId="18617F22" w14:textId="77777777" w:rsidR="000C4080" w:rsidRDefault="000C4080" w:rsidP="00D35A6D">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A7B23D3" w14:textId="0234F96A" w:rsidR="00D40D38" w:rsidRDefault="00D40D38">
    <w:pPr>
      <w:pStyle w:val="Header"/>
    </w:pPr>
  </w:p>
  <w:p w14:paraId="13C9F259" w14:textId="77777777" w:rsidR="00D40D38" w:rsidRDefault="00D40D38">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968752352"/>
      <w:placeholder>
        <w:docPart w:val="6E0C64F6E86045FAA7B5DF2636BF8871"/>
      </w:placeholder>
      <w:temporary/>
      <w:showingPlcHdr/>
      <w15:appearance w15:val="hidden"/>
    </w:sdtPr>
    <w:sdtContent>
      <w:p w14:paraId="7D495D65" w14:textId="77777777" w:rsidR="00D40D38" w:rsidRDefault="00D40D38">
        <w:pPr>
          <w:pStyle w:val="Header"/>
        </w:pPr>
        <w:r>
          <w:t>[Type here]</w:t>
        </w:r>
      </w:p>
    </w:sdtContent>
  </w:sdt>
  <w:p w14:paraId="4D468D64" w14:textId="77777777" w:rsidR="00D40D38" w:rsidRDefault="00D40D38">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B30B1F"/>
    <w:multiLevelType w:val="hybridMultilevel"/>
    <w:tmpl w:val="A4C83890"/>
    <w:lvl w:ilvl="0" w:tplc="7A14DC50">
      <w:start w:val="1"/>
      <w:numFmt w:val="bullet"/>
      <w:pStyle w:val="Bullet"/>
      <w:lvlText w:val=""/>
      <w:lvlJc w:val="left"/>
      <w:pPr>
        <w:ind w:left="360" w:hanging="360"/>
      </w:pPr>
      <w:rPr>
        <w:rFonts w:ascii="Symbol" w:hAnsi="Symbol" w:hint="default"/>
      </w:rPr>
    </w:lvl>
    <w:lvl w:ilvl="1" w:tplc="041F0003" w:tentative="1">
      <w:start w:val="1"/>
      <w:numFmt w:val="bullet"/>
      <w:lvlText w:val="o"/>
      <w:lvlJc w:val="left"/>
      <w:pPr>
        <w:ind w:left="720" w:hanging="360"/>
      </w:pPr>
      <w:rPr>
        <w:rFonts w:ascii="Courier New" w:hAnsi="Courier New" w:hint="default"/>
      </w:rPr>
    </w:lvl>
    <w:lvl w:ilvl="2" w:tplc="041F0005" w:tentative="1">
      <w:start w:val="1"/>
      <w:numFmt w:val="bullet"/>
      <w:lvlText w:val=""/>
      <w:lvlJc w:val="left"/>
      <w:pPr>
        <w:ind w:left="1080" w:hanging="360"/>
      </w:pPr>
      <w:rPr>
        <w:rFonts w:ascii="Wingdings" w:hAnsi="Wingdings" w:hint="default"/>
      </w:rPr>
    </w:lvl>
    <w:lvl w:ilvl="3" w:tplc="041F0001" w:tentative="1">
      <w:start w:val="1"/>
      <w:numFmt w:val="bullet"/>
      <w:lvlText w:val=""/>
      <w:lvlJc w:val="left"/>
      <w:pPr>
        <w:ind w:left="1440" w:hanging="360"/>
      </w:pPr>
      <w:rPr>
        <w:rFonts w:ascii="Symbol" w:hAnsi="Symbol" w:hint="default"/>
      </w:rPr>
    </w:lvl>
    <w:lvl w:ilvl="4" w:tplc="041F0003" w:tentative="1">
      <w:start w:val="1"/>
      <w:numFmt w:val="bullet"/>
      <w:lvlText w:val="o"/>
      <w:lvlJc w:val="left"/>
      <w:pPr>
        <w:ind w:left="1800" w:hanging="360"/>
      </w:pPr>
      <w:rPr>
        <w:rFonts w:ascii="Courier New" w:hAnsi="Courier New" w:hint="default"/>
      </w:rPr>
    </w:lvl>
    <w:lvl w:ilvl="5" w:tplc="041F0005" w:tentative="1">
      <w:start w:val="1"/>
      <w:numFmt w:val="bullet"/>
      <w:lvlText w:val=""/>
      <w:lvlJc w:val="left"/>
      <w:pPr>
        <w:ind w:left="2160" w:hanging="360"/>
      </w:pPr>
      <w:rPr>
        <w:rFonts w:ascii="Wingdings" w:hAnsi="Wingdings" w:hint="default"/>
      </w:rPr>
    </w:lvl>
    <w:lvl w:ilvl="6" w:tplc="041F0001" w:tentative="1">
      <w:start w:val="1"/>
      <w:numFmt w:val="bullet"/>
      <w:lvlText w:val=""/>
      <w:lvlJc w:val="left"/>
      <w:pPr>
        <w:ind w:left="2520" w:hanging="360"/>
      </w:pPr>
      <w:rPr>
        <w:rFonts w:ascii="Symbol" w:hAnsi="Symbol" w:hint="default"/>
      </w:rPr>
    </w:lvl>
    <w:lvl w:ilvl="7" w:tplc="041F0003" w:tentative="1">
      <w:start w:val="1"/>
      <w:numFmt w:val="bullet"/>
      <w:lvlText w:val="o"/>
      <w:lvlJc w:val="left"/>
      <w:pPr>
        <w:ind w:left="2880" w:hanging="360"/>
      </w:pPr>
      <w:rPr>
        <w:rFonts w:ascii="Courier New" w:hAnsi="Courier New" w:hint="default"/>
      </w:rPr>
    </w:lvl>
    <w:lvl w:ilvl="8" w:tplc="041F0005" w:tentative="1">
      <w:start w:val="1"/>
      <w:numFmt w:val="bullet"/>
      <w:lvlText w:val=""/>
      <w:lvlJc w:val="left"/>
      <w:pPr>
        <w:ind w:left="3240" w:hanging="360"/>
      </w:pPr>
      <w:rPr>
        <w:rFonts w:ascii="Wingdings" w:hAnsi="Wingdings" w:hint="default"/>
      </w:rPr>
    </w:lvl>
  </w:abstractNum>
  <w:abstractNum w:abstractNumId="1" w15:restartNumberingAfterBreak="0">
    <w:nsid w:val="0D192D41"/>
    <w:multiLevelType w:val="multilevel"/>
    <w:tmpl w:val="C0C28D54"/>
    <w:lvl w:ilvl="0">
      <w:start w:val="1"/>
      <w:numFmt w:val="decimal"/>
      <w:pStyle w:val="Heading1"/>
      <w:suff w:val="space"/>
      <w:lvlText w:val="%1."/>
      <w:lvlJc w:val="left"/>
      <w:pPr>
        <w:ind w:left="0" w:firstLine="0"/>
      </w:pPr>
      <w:rPr>
        <w:rFonts w:hint="default"/>
        <w:b/>
        <w:bCs/>
      </w:rPr>
    </w:lvl>
    <w:lvl w:ilvl="1">
      <w:start w:val="1"/>
      <w:numFmt w:val="decimal"/>
      <w:pStyle w:val="Heading2"/>
      <w:isLgl/>
      <w:suff w:val="space"/>
      <w:lvlText w:val="%1.%2."/>
      <w:lvlJc w:val="left"/>
      <w:pPr>
        <w:ind w:left="0" w:firstLine="0"/>
      </w:pPr>
      <w:rPr>
        <w:rFonts w:hint="default"/>
        <w:b/>
        <w:bCs/>
      </w:rPr>
    </w:lvl>
    <w:lvl w:ilvl="2">
      <w:start w:val="1"/>
      <w:numFmt w:val="decimal"/>
      <w:pStyle w:val="Heading3"/>
      <w:isLgl/>
      <w:suff w:val="space"/>
      <w:lvlText w:val="%1.%2.%3."/>
      <w:lvlJc w:val="left"/>
      <w:pPr>
        <w:ind w:left="0" w:firstLine="0"/>
      </w:pPr>
      <w:rPr>
        <w:rFonts w:hint="default"/>
        <w:b/>
        <w:bCs/>
      </w:rPr>
    </w:lvl>
    <w:lvl w:ilvl="3">
      <w:start w:val="1"/>
      <w:numFmt w:val="decimal"/>
      <w:pStyle w:val="Heading4"/>
      <w:isLgl/>
      <w:suff w:val="space"/>
      <w:lvlText w:val="%1.%2.%3.%4."/>
      <w:lvlJc w:val="left"/>
      <w:pPr>
        <w:ind w:left="0" w:firstLine="0"/>
      </w:pPr>
      <w:rPr>
        <w:rFonts w:hint="default"/>
        <w:b/>
        <w:bCs/>
      </w:rPr>
    </w:lvl>
    <w:lvl w:ilvl="4">
      <w:start w:val="1"/>
      <w:numFmt w:val="decimal"/>
      <w:pStyle w:val="Heading5"/>
      <w:isLgl/>
      <w:suff w:val="space"/>
      <w:lvlText w:val="%1.%2.%3.%4.%5."/>
      <w:lvlJc w:val="left"/>
      <w:pPr>
        <w:ind w:left="0" w:firstLine="0"/>
      </w:pPr>
      <w:rPr>
        <w:rFonts w:hint="default"/>
        <w:b/>
        <w:bCs/>
      </w:rPr>
    </w:lvl>
    <w:lvl w:ilvl="5">
      <w:start w:val="1"/>
      <w:numFmt w:val="decimal"/>
      <w:pStyle w:val="Heading6"/>
      <w:isLgl/>
      <w:suff w:val="space"/>
      <w:lvlText w:val="%1.%2.%3.%4.%5.%6."/>
      <w:lvlJc w:val="left"/>
      <w:pPr>
        <w:ind w:left="0" w:firstLine="0"/>
      </w:pPr>
      <w:rPr>
        <w:rFonts w:hint="default"/>
        <w:b/>
        <w:bCs/>
      </w:rPr>
    </w:lvl>
    <w:lvl w:ilvl="6">
      <w:start w:val="1"/>
      <w:numFmt w:val="decimal"/>
      <w:pStyle w:val="Heading7"/>
      <w:isLgl/>
      <w:suff w:val="space"/>
      <w:lvlText w:val="%1.%2.%3.%4.%5.%6.%7."/>
      <w:lvlJc w:val="left"/>
      <w:pPr>
        <w:ind w:left="0" w:firstLine="0"/>
      </w:pPr>
      <w:rPr>
        <w:rFonts w:hint="default"/>
      </w:rPr>
    </w:lvl>
    <w:lvl w:ilvl="7">
      <w:start w:val="1"/>
      <w:numFmt w:val="decimal"/>
      <w:pStyle w:val="Heading8"/>
      <w:isLgl/>
      <w:suff w:val="space"/>
      <w:lvlText w:val="%1.%2.%3.%4.%5.%6.%7.%8."/>
      <w:lvlJc w:val="left"/>
      <w:pPr>
        <w:ind w:left="0" w:firstLine="0"/>
      </w:pPr>
      <w:rPr>
        <w:rFonts w:hint="default"/>
      </w:rPr>
    </w:lvl>
    <w:lvl w:ilvl="8">
      <w:start w:val="1"/>
      <w:numFmt w:val="decimal"/>
      <w:pStyle w:val="Heading9"/>
      <w:isLgl/>
      <w:suff w:val="space"/>
      <w:lvlText w:val="%1.%2.%3.%4.%5.%6.%7.%8.%9."/>
      <w:lvlJc w:val="left"/>
      <w:pPr>
        <w:ind w:left="0" w:firstLine="0"/>
      </w:pPr>
      <w:rPr>
        <w:rFonts w:hint="default"/>
      </w:rPr>
    </w:lvl>
  </w:abstractNum>
  <w:num w:numId="1" w16cid:durableId="721638035">
    <w:abstractNumId w:val="1"/>
  </w:num>
  <w:num w:numId="2" w16cid:durableId="1424643103">
    <w:abstractNumId w:val="0"/>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linkStyles/>
  <w:defaultTabStop w:val="709"/>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F518F"/>
    <w:rsid w:val="000C4080"/>
    <w:rsid w:val="004207ED"/>
    <w:rsid w:val="00784C37"/>
    <w:rsid w:val="007B5F8B"/>
    <w:rsid w:val="00A23365"/>
    <w:rsid w:val="00A82A0F"/>
    <w:rsid w:val="00BF518F"/>
    <w:rsid w:val="00D40D38"/>
    <w:rsid w:val="00FE331E"/>
  </w:rsids>
  <m:mathPr>
    <m:mathFont m:val="Cambria Math"/>
    <m:brkBin m:val="before"/>
    <m:brkBinSub m:val="--"/>
    <m:smallFrac m:val="0"/>
    <m:dispDef/>
    <m:lMargin m:val="0"/>
    <m:rMargin m:val="0"/>
    <m:defJc m:val="centerGroup"/>
    <m:wrapIndent m:val="1440"/>
    <m:intLim m:val="subSup"/>
    <m:naryLim m:val="undOvr"/>
  </m:mathPr>
  <w:themeFontLang w:val="tr-TR"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EA7888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Calibri" w:eastAsia="Calibri" w:hAnsi="Calibri" w:cs="Calibri"/>
        <w:sz w:val="22"/>
        <w:szCs w:val="22"/>
        <w:lang w:val="tr-TR" w:eastAsia="tr-TR" w:bidi="ar-SA"/>
      </w:rPr>
    </w:rPrDefault>
    <w:pPrDefault>
      <w:pPr>
        <w:spacing w:after="12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jc w:val="both"/>
    </w:pPr>
  </w:style>
  <w:style w:type="paragraph" w:styleId="Heading1">
    <w:name w:val="heading 1"/>
    <w:basedOn w:val="Normal"/>
    <w:next w:val="Normal"/>
    <w:link w:val="Heading1Char"/>
    <w:uiPriority w:val="9"/>
    <w:qFormat/>
    <w:pPr>
      <w:keepNext/>
      <w:keepLines/>
      <w:numPr>
        <w:numId w:val="1"/>
      </w:numPr>
      <w:spacing w:before="360"/>
      <w:jc w:val="left"/>
      <w:outlineLvl w:val="0"/>
    </w:pPr>
    <w:rPr>
      <w:b/>
      <w:bCs/>
      <w:sz w:val="28"/>
      <w:szCs w:val="28"/>
    </w:rPr>
  </w:style>
  <w:style w:type="paragraph" w:styleId="Heading2">
    <w:name w:val="heading 2"/>
    <w:basedOn w:val="Normal"/>
    <w:next w:val="Normal"/>
    <w:link w:val="Heading2Char"/>
    <w:uiPriority w:val="9"/>
    <w:qFormat/>
    <w:pPr>
      <w:keepNext/>
      <w:keepLines/>
      <w:numPr>
        <w:ilvl w:val="1"/>
        <w:numId w:val="1"/>
      </w:numPr>
      <w:spacing w:before="280"/>
      <w:jc w:val="left"/>
      <w:outlineLvl w:val="1"/>
    </w:pPr>
    <w:rPr>
      <w:b/>
      <w:bCs/>
      <w:sz w:val="26"/>
      <w:szCs w:val="26"/>
    </w:rPr>
  </w:style>
  <w:style w:type="paragraph" w:styleId="Heading3">
    <w:name w:val="heading 3"/>
    <w:basedOn w:val="Normal"/>
    <w:next w:val="Normal"/>
    <w:link w:val="Heading3Char"/>
    <w:uiPriority w:val="9"/>
    <w:qFormat/>
    <w:pPr>
      <w:keepNext/>
      <w:keepLines/>
      <w:numPr>
        <w:ilvl w:val="2"/>
        <w:numId w:val="1"/>
      </w:numPr>
      <w:spacing w:before="240"/>
      <w:jc w:val="left"/>
      <w:outlineLvl w:val="2"/>
    </w:pPr>
    <w:rPr>
      <w:b/>
      <w:bCs/>
      <w:sz w:val="24"/>
      <w:szCs w:val="24"/>
    </w:rPr>
  </w:style>
  <w:style w:type="paragraph" w:styleId="Heading4">
    <w:name w:val="heading 4"/>
    <w:basedOn w:val="Normal"/>
    <w:next w:val="Normal"/>
    <w:link w:val="Heading4Char"/>
    <w:uiPriority w:val="9"/>
    <w:qFormat/>
    <w:pPr>
      <w:keepNext/>
      <w:keepLines/>
      <w:numPr>
        <w:ilvl w:val="3"/>
        <w:numId w:val="1"/>
      </w:numPr>
      <w:spacing w:before="200"/>
      <w:jc w:val="left"/>
      <w:outlineLvl w:val="3"/>
    </w:pPr>
    <w:rPr>
      <w:b/>
      <w:bCs/>
    </w:rPr>
  </w:style>
  <w:style w:type="paragraph" w:styleId="Heading5">
    <w:name w:val="heading 5"/>
    <w:basedOn w:val="Normal"/>
    <w:next w:val="Normal"/>
    <w:link w:val="Heading5Char"/>
    <w:uiPriority w:val="9"/>
    <w:qFormat/>
    <w:pPr>
      <w:keepNext/>
      <w:keepLines/>
      <w:numPr>
        <w:ilvl w:val="4"/>
        <w:numId w:val="1"/>
      </w:numPr>
      <w:spacing w:before="160"/>
      <w:jc w:val="left"/>
      <w:outlineLvl w:val="4"/>
    </w:pPr>
    <w:rPr>
      <w:b/>
      <w:bCs/>
    </w:rPr>
  </w:style>
  <w:style w:type="paragraph" w:styleId="Heading6">
    <w:name w:val="heading 6"/>
    <w:basedOn w:val="Normal"/>
    <w:next w:val="Normal"/>
    <w:link w:val="Heading6Char"/>
    <w:uiPriority w:val="9"/>
    <w:qFormat/>
    <w:pPr>
      <w:keepNext/>
      <w:keepLines/>
      <w:numPr>
        <w:ilvl w:val="5"/>
        <w:numId w:val="1"/>
      </w:numPr>
      <w:spacing w:before="160"/>
      <w:jc w:val="left"/>
      <w:outlineLvl w:val="5"/>
    </w:pPr>
    <w:rPr>
      <w:b/>
      <w:bCs/>
    </w:rPr>
  </w:style>
  <w:style w:type="paragraph" w:styleId="Heading7">
    <w:name w:val="heading 7"/>
    <w:basedOn w:val="Normal"/>
    <w:next w:val="Normal"/>
    <w:link w:val="Heading7Char"/>
    <w:uiPriority w:val="9"/>
    <w:qFormat/>
    <w:pPr>
      <w:keepNext/>
      <w:keepLines/>
      <w:numPr>
        <w:ilvl w:val="6"/>
        <w:numId w:val="1"/>
      </w:numPr>
      <w:spacing w:before="160"/>
      <w:jc w:val="left"/>
      <w:outlineLvl w:val="6"/>
    </w:pPr>
    <w:rPr>
      <w:b/>
      <w:bCs/>
    </w:rPr>
  </w:style>
  <w:style w:type="paragraph" w:styleId="Heading8">
    <w:name w:val="heading 8"/>
    <w:basedOn w:val="Normal"/>
    <w:next w:val="Normal"/>
    <w:link w:val="Heading8Char"/>
    <w:uiPriority w:val="9"/>
    <w:qFormat/>
    <w:pPr>
      <w:keepNext/>
      <w:keepLines/>
      <w:numPr>
        <w:ilvl w:val="7"/>
        <w:numId w:val="1"/>
      </w:numPr>
      <w:spacing w:before="160"/>
      <w:jc w:val="left"/>
      <w:outlineLvl w:val="7"/>
    </w:pPr>
    <w:rPr>
      <w:b/>
      <w:bCs/>
    </w:rPr>
  </w:style>
  <w:style w:type="paragraph" w:styleId="Heading9">
    <w:name w:val="heading 9"/>
    <w:basedOn w:val="Normal"/>
    <w:next w:val="Normal"/>
    <w:link w:val="Heading9Char"/>
    <w:uiPriority w:val="9"/>
    <w:qFormat/>
    <w:pPr>
      <w:keepNext/>
      <w:keepLines/>
      <w:numPr>
        <w:ilvl w:val="8"/>
        <w:numId w:val="1"/>
      </w:numPr>
      <w:spacing w:before="160"/>
      <w:jc w:val="left"/>
      <w:outlineLvl w:val="8"/>
    </w:pPr>
    <w:rPr>
      <w:b/>
      <w:b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Calibri" w:eastAsia="Calibri" w:hAnsi="Calibri" w:cs="Calibri"/>
      <w:b/>
      <w:bCs/>
      <w:sz w:val="28"/>
      <w:szCs w:val="28"/>
    </w:rPr>
  </w:style>
  <w:style w:type="character" w:customStyle="1" w:styleId="Heading2Char">
    <w:name w:val="Heading 2 Char"/>
    <w:basedOn w:val="DefaultParagraphFont"/>
    <w:link w:val="Heading2"/>
    <w:uiPriority w:val="9"/>
    <w:rPr>
      <w:rFonts w:ascii="Calibri" w:eastAsia="Calibri" w:hAnsi="Calibri" w:cs="Calibri"/>
      <w:b/>
      <w:bCs/>
      <w:sz w:val="26"/>
      <w:szCs w:val="26"/>
    </w:rPr>
  </w:style>
  <w:style w:type="character" w:customStyle="1" w:styleId="Heading3Char">
    <w:name w:val="Heading 3 Char"/>
    <w:basedOn w:val="DefaultParagraphFont"/>
    <w:link w:val="Heading3"/>
    <w:uiPriority w:val="9"/>
    <w:rPr>
      <w:rFonts w:ascii="Calibri" w:eastAsia="Calibri" w:hAnsi="Calibri" w:cs="Calibri"/>
      <w:b/>
      <w:bCs/>
      <w:sz w:val="24"/>
      <w:szCs w:val="24"/>
    </w:rPr>
  </w:style>
  <w:style w:type="character" w:customStyle="1" w:styleId="Heading4Char">
    <w:name w:val="Heading 4 Char"/>
    <w:basedOn w:val="DefaultParagraphFont"/>
    <w:link w:val="Heading4"/>
    <w:uiPriority w:val="9"/>
    <w:rPr>
      <w:rFonts w:ascii="Calibri" w:eastAsia="Calibri" w:hAnsi="Calibri" w:cs="Calibri"/>
      <w:b/>
      <w:bCs/>
      <w:sz w:val="22"/>
      <w:szCs w:val="22"/>
    </w:rPr>
  </w:style>
  <w:style w:type="character" w:customStyle="1" w:styleId="Heading5Char">
    <w:name w:val="Heading 5 Char"/>
    <w:basedOn w:val="DefaultParagraphFont"/>
    <w:link w:val="Heading5"/>
    <w:uiPriority w:val="9"/>
    <w:rPr>
      <w:rFonts w:ascii="Calibri" w:eastAsia="Calibri" w:hAnsi="Calibri" w:cs="Calibri"/>
      <w:b/>
      <w:bCs/>
      <w:sz w:val="22"/>
      <w:szCs w:val="22"/>
    </w:rPr>
  </w:style>
  <w:style w:type="character" w:customStyle="1" w:styleId="Heading6Char">
    <w:name w:val="Heading 6 Char"/>
    <w:basedOn w:val="DefaultParagraphFont"/>
    <w:link w:val="Heading6"/>
    <w:uiPriority w:val="9"/>
    <w:rPr>
      <w:rFonts w:ascii="Calibri" w:eastAsia="Calibri" w:hAnsi="Calibri" w:cs="Calibri"/>
      <w:b/>
      <w:bCs/>
      <w:sz w:val="22"/>
      <w:szCs w:val="22"/>
    </w:rPr>
  </w:style>
  <w:style w:type="character" w:customStyle="1" w:styleId="Heading7Char">
    <w:name w:val="Heading 7 Char"/>
    <w:basedOn w:val="DefaultParagraphFont"/>
    <w:link w:val="Heading7"/>
    <w:uiPriority w:val="9"/>
    <w:rPr>
      <w:rFonts w:ascii="Calibri" w:eastAsia="Calibri" w:hAnsi="Calibri" w:cs="Calibri"/>
      <w:b/>
      <w:bCs/>
      <w:sz w:val="22"/>
      <w:szCs w:val="22"/>
    </w:rPr>
  </w:style>
  <w:style w:type="character" w:customStyle="1" w:styleId="Heading8Char">
    <w:name w:val="Heading 8 Char"/>
    <w:basedOn w:val="DefaultParagraphFont"/>
    <w:link w:val="Heading8"/>
    <w:uiPriority w:val="9"/>
    <w:rPr>
      <w:rFonts w:ascii="Calibri" w:eastAsia="Calibri" w:hAnsi="Calibri" w:cs="Calibri"/>
      <w:b/>
      <w:bCs/>
      <w:sz w:val="22"/>
      <w:szCs w:val="22"/>
    </w:rPr>
  </w:style>
  <w:style w:type="character" w:customStyle="1" w:styleId="Heading9Char">
    <w:name w:val="Heading 9 Char"/>
    <w:basedOn w:val="DefaultParagraphFont"/>
    <w:link w:val="Heading9"/>
    <w:uiPriority w:val="9"/>
    <w:rPr>
      <w:rFonts w:ascii="Calibri" w:eastAsia="Calibri" w:hAnsi="Calibri" w:cs="Calibri"/>
      <w:b/>
      <w:bCs/>
      <w:sz w:val="22"/>
      <w:szCs w:val="22"/>
    </w:rPr>
  </w:style>
  <w:style w:type="paragraph" w:styleId="Title">
    <w:name w:val="Title"/>
    <w:basedOn w:val="Normal"/>
    <w:next w:val="Normal"/>
    <w:link w:val="TitleChar"/>
    <w:uiPriority w:val="10"/>
    <w:qFormat/>
    <w:pPr>
      <w:jc w:val="center"/>
    </w:pPr>
    <w:rPr>
      <w:b/>
      <w:bCs/>
      <w:sz w:val="40"/>
      <w:szCs w:val="40"/>
    </w:rPr>
  </w:style>
  <w:style w:type="character" w:customStyle="1" w:styleId="TitleChar">
    <w:name w:val="Title Char"/>
    <w:basedOn w:val="DefaultParagraphFont"/>
    <w:link w:val="Title"/>
    <w:uiPriority w:val="10"/>
    <w:rPr>
      <w:rFonts w:ascii="Calibri" w:eastAsia="Calibri" w:hAnsi="Calibri" w:cs="Calibri"/>
      <w:b/>
      <w:bCs/>
      <w:sz w:val="40"/>
      <w:szCs w:val="40"/>
    </w:rPr>
  </w:style>
  <w:style w:type="paragraph" w:styleId="ListParagraph">
    <w:name w:val="List Paragraph"/>
    <w:basedOn w:val="Normal"/>
    <w:uiPriority w:val="34"/>
    <w:qFormat/>
    <w:pPr>
      <w:ind w:left="720"/>
      <w:contextualSpacing/>
    </w:pPr>
  </w:style>
  <w:style w:type="paragraph" w:customStyle="1" w:styleId="Bullet">
    <w:name w:val="Bullet"/>
    <w:basedOn w:val="Normal"/>
    <w:next w:val="Normal"/>
    <w:link w:val="BulletChar"/>
    <w:qFormat/>
    <w:pPr>
      <w:numPr>
        <w:numId w:val="2"/>
      </w:numPr>
      <w:spacing w:after="60"/>
    </w:pPr>
  </w:style>
  <w:style w:type="character" w:customStyle="1" w:styleId="BulletChar">
    <w:name w:val="Bullet Char"/>
    <w:basedOn w:val="DefaultParagraphFont"/>
    <w:link w:val="Bullet"/>
    <w:rPr>
      <w:rFonts w:ascii="Calibri" w:eastAsia="Calibri" w:hAnsi="Calibri" w:cs="Calibri"/>
      <w:sz w:val="22"/>
      <w:szCs w:val="22"/>
    </w:rPr>
  </w:style>
  <w:style w:type="character" w:styleId="Strong">
    <w:name w:val="Strong"/>
    <w:basedOn w:val="DefaultParagraphFont"/>
    <w:uiPriority w:val="22"/>
    <w:qFormat/>
    <w:rPr>
      <w:b/>
      <w:bCs/>
    </w:rPr>
  </w:style>
  <w:style w:type="paragraph" w:styleId="Header">
    <w:name w:val="header"/>
    <w:basedOn w:val="Normal"/>
    <w:link w:val="HeaderChar"/>
    <w:uiPriority w:val="99"/>
    <w:unhideWhenUsed/>
    <w:pPr>
      <w:tabs>
        <w:tab w:val="center" w:pos="4536"/>
        <w:tab w:val="right" w:pos="9072"/>
      </w:tabs>
      <w:spacing w:after="0"/>
      <w:jc w:val="left"/>
    </w:pPr>
    <w:rPr>
      <w:sz w:val="18"/>
      <w:szCs w:val="18"/>
    </w:rPr>
  </w:style>
  <w:style w:type="character" w:customStyle="1" w:styleId="HeaderChar">
    <w:name w:val="Header Char"/>
    <w:basedOn w:val="DefaultParagraphFont"/>
    <w:link w:val="Header"/>
    <w:uiPriority w:val="99"/>
    <w:rPr>
      <w:rFonts w:ascii="Calibri" w:eastAsia="Calibri" w:hAnsi="Calibri" w:cs="Calibri"/>
      <w:sz w:val="18"/>
      <w:szCs w:val="18"/>
    </w:rPr>
  </w:style>
  <w:style w:type="paragraph" w:styleId="Footer">
    <w:name w:val="footer"/>
    <w:basedOn w:val="Normal"/>
    <w:link w:val="FooterChar"/>
    <w:uiPriority w:val="99"/>
    <w:unhideWhenUsed/>
    <w:pPr>
      <w:tabs>
        <w:tab w:val="center" w:pos="4536"/>
        <w:tab w:val="right" w:pos="9072"/>
      </w:tabs>
      <w:spacing w:after="0"/>
      <w:jc w:val="left"/>
    </w:pPr>
    <w:rPr>
      <w:sz w:val="18"/>
      <w:szCs w:val="18"/>
    </w:rPr>
  </w:style>
  <w:style w:type="character" w:customStyle="1" w:styleId="FooterChar">
    <w:name w:val="Footer Char"/>
    <w:basedOn w:val="DefaultParagraphFont"/>
    <w:link w:val="Footer"/>
    <w:uiPriority w:val="99"/>
    <w:rPr>
      <w:rFonts w:ascii="Calibri" w:eastAsia="Calibri" w:hAnsi="Calibri" w:cs="Calibri"/>
      <w:sz w:val="18"/>
      <w:szCs w:val="18"/>
    </w:rPr>
  </w:style>
  <w:style w:type="table" w:styleId="TableGrid">
    <w:name w:val="Table Grid"/>
    <w:basedOn w:val="TableNormal"/>
    <w:uiPriority w:val="39"/>
    <w:pPr>
      <w:spacing w:before="40" w:after="40"/>
    </w:pPr>
    <w:rPr>
      <w:sz w:val="20"/>
      <w:szCs w:val="20"/>
    </w:rPr>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TOCHeading">
    <w:name w:val="TOC Heading"/>
    <w:basedOn w:val="Normal"/>
    <w:next w:val="Normal"/>
    <w:uiPriority w:val="39"/>
    <w:unhideWhenUsed/>
    <w:qFormat/>
    <w:pPr>
      <w:keepNext/>
      <w:keepLines/>
      <w:spacing w:after="240"/>
      <w:jc w:val="left"/>
    </w:pPr>
    <w:rPr>
      <w:b/>
      <w:bCs/>
      <w:sz w:val="28"/>
      <w:szCs w:val="28"/>
    </w:rPr>
  </w:style>
  <w:style w:type="paragraph" w:styleId="TOC1">
    <w:name w:val="toc 1"/>
    <w:basedOn w:val="Normal"/>
    <w:next w:val="Normal"/>
    <w:autoRedefine/>
    <w:uiPriority w:val="39"/>
    <w:unhideWhenUsed/>
    <w:pPr>
      <w:tabs>
        <w:tab w:val="right" w:leader="dot" w:pos="9072"/>
      </w:tabs>
      <w:spacing w:after="60"/>
      <w:jc w:val="left"/>
    </w:pPr>
    <w:rPr>
      <w:b/>
      <w:bCs/>
      <w:noProof/>
    </w:rPr>
  </w:style>
  <w:style w:type="paragraph" w:styleId="TOC2">
    <w:name w:val="toc 2"/>
    <w:basedOn w:val="Normal"/>
    <w:next w:val="Normal"/>
    <w:autoRedefine/>
    <w:uiPriority w:val="39"/>
    <w:unhideWhenUsed/>
    <w:pPr>
      <w:tabs>
        <w:tab w:val="right" w:leader="dot" w:pos="9072"/>
      </w:tabs>
      <w:spacing w:after="40"/>
      <w:ind w:left="240"/>
      <w:jc w:val="left"/>
    </w:pPr>
    <w:rPr>
      <w:noProof/>
    </w:rPr>
  </w:style>
  <w:style w:type="paragraph" w:styleId="TOC3">
    <w:name w:val="toc 3"/>
    <w:basedOn w:val="Normal"/>
    <w:next w:val="Normal"/>
    <w:autoRedefine/>
    <w:uiPriority w:val="39"/>
    <w:unhideWhenUsed/>
    <w:pPr>
      <w:tabs>
        <w:tab w:val="right" w:leader="dot" w:pos="9072"/>
      </w:tabs>
      <w:spacing w:after="40"/>
      <w:ind w:left="480"/>
      <w:jc w:val="left"/>
    </w:pPr>
    <w:rPr>
      <w:noProof/>
    </w:rPr>
  </w:style>
  <w:style w:type="character" w:styleId="Hyperlink">
    <w:name w:val="Hyperlink"/>
    <w:basedOn w:val="DefaultParagraphFont"/>
    <w:uiPriority w:val="99"/>
    <w:unhideWhenUsed/>
    <w:rPr>
      <w:color w:val="auto"/>
      <w:u w:val="none"/>
    </w:rPr>
  </w:style>
  <w:style w:type="paragraph" w:styleId="Caption">
    <w:name w:val="caption"/>
    <w:basedOn w:val="Normal"/>
    <w:next w:val="Normal"/>
    <w:uiPriority w:val="35"/>
    <w:unhideWhenUsed/>
    <w:qFormat/>
    <w:pPr>
      <w:keepNext/>
      <w:spacing w:before="120"/>
      <w:jc w:val="left"/>
    </w:pPr>
    <w:rPr>
      <w:b/>
      <w:bCs/>
      <w:sz w:val="20"/>
      <w:szCs w:val="20"/>
    </w:rPr>
  </w:style>
  <w:style w:type="character" w:styleId="PlaceholderText">
    <w:name w:val="Placeholder Text"/>
    <w:basedOn w:val="DefaultParagraphFont"/>
    <w:uiPriority w:val="99"/>
    <w:semiHidden/>
    <w:rPr>
      <w:color w:val="808080"/>
    </w:rPr>
  </w:style>
  <w:style w:type="character" w:styleId="UnresolvedMention">
    <w:name w:val="Unresolved Mention"/>
    <w:basedOn w:val="DefaultParagraphFont"/>
    <w:uiPriority w:val="99"/>
    <w:semiHidden/>
    <w:unhideWhenUsed/>
    <w:rPr>
      <w:color w:val="605E5C"/>
      <w:shd w:val="clear" w:color="auto" w:fill="E1DFDD"/>
    </w:rPr>
  </w:style>
  <w:style w:type="table" w:styleId="TableGridLight">
    <w:name w:val="Grid Table Light"/>
    <w:basedOn w:val="TableNormal"/>
    <w:uiPriority w:val="40"/>
    <w:rsid w:val="00D40D38"/>
    <w:pPr>
      <w:spacing w:after="0"/>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7853986">
      <w:bodyDiv w:val="1"/>
      <w:marLeft w:val="0"/>
      <w:marRight w:val="0"/>
      <w:marTop w:val="0"/>
      <w:marBottom w:val="0"/>
      <w:divBdr>
        <w:top w:val="none" w:sz="0" w:space="0" w:color="auto"/>
        <w:left w:val="none" w:sz="0" w:space="0" w:color="auto"/>
        <w:bottom w:val="none" w:sz="0" w:space="0" w:color="auto"/>
        <w:right w:val="none" w:sz="0" w:space="0" w:color="auto"/>
      </w:divBdr>
    </w:div>
    <w:div w:id="20397011">
      <w:bodyDiv w:val="1"/>
      <w:marLeft w:val="0"/>
      <w:marRight w:val="0"/>
      <w:marTop w:val="0"/>
      <w:marBottom w:val="0"/>
      <w:divBdr>
        <w:top w:val="none" w:sz="0" w:space="0" w:color="auto"/>
        <w:left w:val="none" w:sz="0" w:space="0" w:color="auto"/>
        <w:bottom w:val="none" w:sz="0" w:space="0" w:color="auto"/>
        <w:right w:val="none" w:sz="0" w:space="0" w:color="auto"/>
      </w:divBdr>
    </w:div>
    <w:div w:id="23135867">
      <w:bodyDiv w:val="1"/>
      <w:marLeft w:val="0"/>
      <w:marRight w:val="0"/>
      <w:marTop w:val="0"/>
      <w:marBottom w:val="0"/>
      <w:divBdr>
        <w:top w:val="none" w:sz="0" w:space="0" w:color="auto"/>
        <w:left w:val="none" w:sz="0" w:space="0" w:color="auto"/>
        <w:bottom w:val="none" w:sz="0" w:space="0" w:color="auto"/>
        <w:right w:val="none" w:sz="0" w:space="0" w:color="auto"/>
      </w:divBdr>
    </w:div>
    <w:div w:id="27609405">
      <w:bodyDiv w:val="1"/>
      <w:marLeft w:val="0"/>
      <w:marRight w:val="0"/>
      <w:marTop w:val="0"/>
      <w:marBottom w:val="0"/>
      <w:divBdr>
        <w:top w:val="none" w:sz="0" w:space="0" w:color="auto"/>
        <w:left w:val="none" w:sz="0" w:space="0" w:color="auto"/>
        <w:bottom w:val="none" w:sz="0" w:space="0" w:color="auto"/>
        <w:right w:val="none" w:sz="0" w:space="0" w:color="auto"/>
      </w:divBdr>
    </w:div>
    <w:div w:id="42171066">
      <w:bodyDiv w:val="1"/>
      <w:marLeft w:val="0"/>
      <w:marRight w:val="0"/>
      <w:marTop w:val="0"/>
      <w:marBottom w:val="0"/>
      <w:divBdr>
        <w:top w:val="none" w:sz="0" w:space="0" w:color="auto"/>
        <w:left w:val="none" w:sz="0" w:space="0" w:color="auto"/>
        <w:bottom w:val="none" w:sz="0" w:space="0" w:color="auto"/>
        <w:right w:val="none" w:sz="0" w:space="0" w:color="auto"/>
      </w:divBdr>
    </w:div>
    <w:div w:id="54015163">
      <w:bodyDiv w:val="1"/>
      <w:marLeft w:val="0"/>
      <w:marRight w:val="0"/>
      <w:marTop w:val="0"/>
      <w:marBottom w:val="0"/>
      <w:divBdr>
        <w:top w:val="none" w:sz="0" w:space="0" w:color="auto"/>
        <w:left w:val="none" w:sz="0" w:space="0" w:color="auto"/>
        <w:bottom w:val="none" w:sz="0" w:space="0" w:color="auto"/>
        <w:right w:val="none" w:sz="0" w:space="0" w:color="auto"/>
      </w:divBdr>
    </w:div>
    <w:div w:id="54207809">
      <w:bodyDiv w:val="1"/>
      <w:marLeft w:val="0"/>
      <w:marRight w:val="0"/>
      <w:marTop w:val="0"/>
      <w:marBottom w:val="0"/>
      <w:divBdr>
        <w:top w:val="none" w:sz="0" w:space="0" w:color="auto"/>
        <w:left w:val="none" w:sz="0" w:space="0" w:color="auto"/>
        <w:bottom w:val="none" w:sz="0" w:space="0" w:color="auto"/>
        <w:right w:val="none" w:sz="0" w:space="0" w:color="auto"/>
      </w:divBdr>
    </w:div>
    <w:div w:id="68818216">
      <w:bodyDiv w:val="1"/>
      <w:marLeft w:val="0"/>
      <w:marRight w:val="0"/>
      <w:marTop w:val="0"/>
      <w:marBottom w:val="0"/>
      <w:divBdr>
        <w:top w:val="none" w:sz="0" w:space="0" w:color="auto"/>
        <w:left w:val="none" w:sz="0" w:space="0" w:color="auto"/>
        <w:bottom w:val="none" w:sz="0" w:space="0" w:color="auto"/>
        <w:right w:val="none" w:sz="0" w:space="0" w:color="auto"/>
      </w:divBdr>
    </w:div>
    <w:div w:id="78722585">
      <w:bodyDiv w:val="1"/>
      <w:marLeft w:val="0"/>
      <w:marRight w:val="0"/>
      <w:marTop w:val="0"/>
      <w:marBottom w:val="0"/>
      <w:divBdr>
        <w:top w:val="none" w:sz="0" w:space="0" w:color="auto"/>
        <w:left w:val="none" w:sz="0" w:space="0" w:color="auto"/>
        <w:bottom w:val="none" w:sz="0" w:space="0" w:color="auto"/>
        <w:right w:val="none" w:sz="0" w:space="0" w:color="auto"/>
      </w:divBdr>
    </w:div>
    <w:div w:id="93405554">
      <w:bodyDiv w:val="1"/>
      <w:marLeft w:val="0"/>
      <w:marRight w:val="0"/>
      <w:marTop w:val="0"/>
      <w:marBottom w:val="0"/>
      <w:divBdr>
        <w:top w:val="none" w:sz="0" w:space="0" w:color="auto"/>
        <w:left w:val="none" w:sz="0" w:space="0" w:color="auto"/>
        <w:bottom w:val="none" w:sz="0" w:space="0" w:color="auto"/>
        <w:right w:val="none" w:sz="0" w:space="0" w:color="auto"/>
      </w:divBdr>
    </w:div>
    <w:div w:id="100688892">
      <w:bodyDiv w:val="1"/>
      <w:marLeft w:val="0"/>
      <w:marRight w:val="0"/>
      <w:marTop w:val="0"/>
      <w:marBottom w:val="0"/>
      <w:divBdr>
        <w:top w:val="none" w:sz="0" w:space="0" w:color="auto"/>
        <w:left w:val="none" w:sz="0" w:space="0" w:color="auto"/>
        <w:bottom w:val="none" w:sz="0" w:space="0" w:color="auto"/>
        <w:right w:val="none" w:sz="0" w:space="0" w:color="auto"/>
      </w:divBdr>
    </w:div>
    <w:div w:id="118383213">
      <w:bodyDiv w:val="1"/>
      <w:marLeft w:val="0"/>
      <w:marRight w:val="0"/>
      <w:marTop w:val="0"/>
      <w:marBottom w:val="0"/>
      <w:divBdr>
        <w:top w:val="none" w:sz="0" w:space="0" w:color="auto"/>
        <w:left w:val="none" w:sz="0" w:space="0" w:color="auto"/>
        <w:bottom w:val="none" w:sz="0" w:space="0" w:color="auto"/>
        <w:right w:val="none" w:sz="0" w:space="0" w:color="auto"/>
      </w:divBdr>
    </w:div>
    <w:div w:id="121459621">
      <w:bodyDiv w:val="1"/>
      <w:marLeft w:val="0"/>
      <w:marRight w:val="0"/>
      <w:marTop w:val="0"/>
      <w:marBottom w:val="0"/>
      <w:divBdr>
        <w:top w:val="none" w:sz="0" w:space="0" w:color="auto"/>
        <w:left w:val="none" w:sz="0" w:space="0" w:color="auto"/>
        <w:bottom w:val="none" w:sz="0" w:space="0" w:color="auto"/>
        <w:right w:val="none" w:sz="0" w:space="0" w:color="auto"/>
      </w:divBdr>
      <w:divsChild>
        <w:div w:id="92095415">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27821694">
      <w:bodyDiv w:val="1"/>
      <w:marLeft w:val="0"/>
      <w:marRight w:val="0"/>
      <w:marTop w:val="0"/>
      <w:marBottom w:val="0"/>
      <w:divBdr>
        <w:top w:val="none" w:sz="0" w:space="0" w:color="auto"/>
        <w:left w:val="none" w:sz="0" w:space="0" w:color="auto"/>
        <w:bottom w:val="none" w:sz="0" w:space="0" w:color="auto"/>
        <w:right w:val="none" w:sz="0" w:space="0" w:color="auto"/>
      </w:divBdr>
      <w:divsChild>
        <w:div w:id="536046022">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49374103">
      <w:bodyDiv w:val="1"/>
      <w:marLeft w:val="0"/>
      <w:marRight w:val="0"/>
      <w:marTop w:val="0"/>
      <w:marBottom w:val="0"/>
      <w:divBdr>
        <w:top w:val="none" w:sz="0" w:space="0" w:color="auto"/>
        <w:left w:val="none" w:sz="0" w:space="0" w:color="auto"/>
        <w:bottom w:val="none" w:sz="0" w:space="0" w:color="auto"/>
        <w:right w:val="none" w:sz="0" w:space="0" w:color="auto"/>
      </w:divBdr>
    </w:div>
    <w:div w:id="168297530">
      <w:bodyDiv w:val="1"/>
      <w:marLeft w:val="0"/>
      <w:marRight w:val="0"/>
      <w:marTop w:val="0"/>
      <w:marBottom w:val="0"/>
      <w:divBdr>
        <w:top w:val="none" w:sz="0" w:space="0" w:color="auto"/>
        <w:left w:val="none" w:sz="0" w:space="0" w:color="auto"/>
        <w:bottom w:val="none" w:sz="0" w:space="0" w:color="auto"/>
        <w:right w:val="none" w:sz="0" w:space="0" w:color="auto"/>
      </w:divBdr>
    </w:div>
    <w:div w:id="189496270">
      <w:bodyDiv w:val="1"/>
      <w:marLeft w:val="0"/>
      <w:marRight w:val="0"/>
      <w:marTop w:val="0"/>
      <w:marBottom w:val="0"/>
      <w:divBdr>
        <w:top w:val="none" w:sz="0" w:space="0" w:color="auto"/>
        <w:left w:val="none" w:sz="0" w:space="0" w:color="auto"/>
        <w:bottom w:val="none" w:sz="0" w:space="0" w:color="auto"/>
        <w:right w:val="none" w:sz="0" w:space="0" w:color="auto"/>
      </w:divBdr>
    </w:div>
    <w:div w:id="212159707">
      <w:bodyDiv w:val="1"/>
      <w:marLeft w:val="0"/>
      <w:marRight w:val="0"/>
      <w:marTop w:val="0"/>
      <w:marBottom w:val="0"/>
      <w:divBdr>
        <w:top w:val="none" w:sz="0" w:space="0" w:color="auto"/>
        <w:left w:val="none" w:sz="0" w:space="0" w:color="auto"/>
        <w:bottom w:val="none" w:sz="0" w:space="0" w:color="auto"/>
        <w:right w:val="none" w:sz="0" w:space="0" w:color="auto"/>
      </w:divBdr>
    </w:div>
    <w:div w:id="213587559">
      <w:bodyDiv w:val="1"/>
      <w:marLeft w:val="0"/>
      <w:marRight w:val="0"/>
      <w:marTop w:val="0"/>
      <w:marBottom w:val="0"/>
      <w:divBdr>
        <w:top w:val="none" w:sz="0" w:space="0" w:color="auto"/>
        <w:left w:val="none" w:sz="0" w:space="0" w:color="auto"/>
        <w:bottom w:val="none" w:sz="0" w:space="0" w:color="auto"/>
        <w:right w:val="none" w:sz="0" w:space="0" w:color="auto"/>
      </w:divBdr>
    </w:div>
    <w:div w:id="222180272">
      <w:bodyDiv w:val="1"/>
      <w:marLeft w:val="0"/>
      <w:marRight w:val="0"/>
      <w:marTop w:val="0"/>
      <w:marBottom w:val="0"/>
      <w:divBdr>
        <w:top w:val="none" w:sz="0" w:space="0" w:color="auto"/>
        <w:left w:val="none" w:sz="0" w:space="0" w:color="auto"/>
        <w:bottom w:val="none" w:sz="0" w:space="0" w:color="auto"/>
        <w:right w:val="none" w:sz="0" w:space="0" w:color="auto"/>
      </w:divBdr>
    </w:div>
    <w:div w:id="238099550">
      <w:bodyDiv w:val="1"/>
      <w:marLeft w:val="0"/>
      <w:marRight w:val="0"/>
      <w:marTop w:val="0"/>
      <w:marBottom w:val="0"/>
      <w:divBdr>
        <w:top w:val="none" w:sz="0" w:space="0" w:color="auto"/>
        <w:left w:val="none" w:sz="0" w:space="0" w:color="auto"/>
        <w:bottom w:val="none" w:sz="0" w:space="0" w:color="auto"/>
        <w:right w:val="none" w:sz="0" w:space="0" w:color="auto"/>
      </w:divBdr>
    </w:div>
    <w:div w:id="239024751">
      <w:bodyDiv w:val="1"/>
      <w:marLeft w:val="0"/>
      <w:marRight w:val="0"/>
      <w:marTop w:val="0"/>
      <w:marBottom w:val="0"/>
      <w:divBdr>
        <w:top w:val="none" w:sz="0" w:space="0" w:color="auto"/>
        <w:left w:val="none" w:sz="0" w:space="0" w:color="auto"/>
        <w:bottom w:val="none" w:sz="0" w:space="0" w:color="auto"/>
        <w:right w:val="none" w:sz="0" w:space="0" w:color="auto"/>
      </w:divBdr>
    </w:div>
    <w:div w:id="267929555">
      <w:bodyDiv w:val="1"/>
      <w:marLeft w:val="0"/>
      <w:marRight w:val="0"/>
      <w:marTop w:val="0"/>
      <w:marBottom w:val="0"/>
      <w:divBdr>
        <w:top w:val="none" w:sz="0" w:space="0" w:color="auto"/>
        <w:left w:val="none" w:sz="0" w:space="0" w:color="auto"/>
        <w:bottom w:val="none" w:sz="0" w:space="0" w:color="auto"/>
        <w:right w:val="none" w:sz="0" w:space="0" w:color="auto"/>
      </w:divBdr>
    </w:div>
    <w:div w:id="281035361">
      <w:bodyDiv w:val="1"/>
      <w:marLeft w:val="0"/>
      <w:marRight w:val="0"/>
      <w:marTop w:val="0"/>
      <w:marBottom w:val="0"/>
      <w:divBdr>
        <w:top w:val="none" w:sz="0" w:space="0" w:color="auto"/>
        <w:left w:val="none" w:sz="0" w:space="0" w:color="auto"/>
        <w:bottom w:val="none" w:sz="0" w:space="0" w:color="auto"/>
        <w:right w:val="none" w:sz="0" w:space="0" w:color="auto"/>
      </w:divBdr>
    </w:div>
    <w:div w:id="285162608">
      <w:bodyDiv w:val="1"/>
      <w:marLeft w:val="0"/>
      <w:marRight w:val="0"/>
      <w:marTop w:val="0"/>
      <w:marBottom w:val="0"/>
      <w:divBdr>
        <w:top w:val="none" w:sz="0" w:space="0" w:color="auto"/>
        <w:left w:val="none" w:sz="0" w:space="0" w:color="auto"/>
        <w:bottom w:val="none" w:sz="0" w:space="0" w:color="auto"/>
        <w:right w:val="none" w:sz="0" w:space="0" w:color="auto"/>
      </w:divBdr>
    </w:div>
    <w:div w:id="300312245">
      <w:bodyDiv w:val="1"/>
      <w:marLeft w:val="0"/>
      <w:marRight w:val="0"/>
      <w:marTop w:val="0"/>
      <w:marBottom w:val="0"/>
      <w:divBdr>
        <w:top w:val="none" w:sz="0" w:space="0" w:color="auto"/>
        <w:left w:val="none" w:sz="0" w:space="0" w:color="auto"/>
        <w:bottom w:val="none" w:sz="0" w:space="0" w:color="auto"/>
        <w:right w:val="none" w:sz="0" w:space="0" w:color="auto"/>
      </w:divBdr>
    </w:div>
    <w:div w:id="310915449">
      <w:bodyDiv w:val="1"/>
      <w:marLeft w:val="0"/>
      <w:marRight w:val="0"/>
      <w:marTop w:val="0"/>
      <w:marBottom w:val="0"/>
      <w:divBdr>
        <w:top w:val="none" w:sz="0" w:space="0" w:color="auto"/>
        <w:left w:val="none" w:sz="0" w:space="0" w:color="auto"/>
        <w:bottom w:val="none" w:sz="0" w:space="0" w:color="auto"/>
        <w:right w:val="none" w:sz="0" w:space="0" w:color="auto"/>
      </w:divBdr>
    </w:div>
    <w:div w:id="323049728">
      <w:bodyDiv w:val="1"/>
      <w:marLeft w:val="0"/>
      <w:marRight w:val="0"/>
      <w:marTop w:val="0"/>
      <w:marBottom w:val="0"/>
      <w:divBdr>
        <w:top w:val="none" w:sz="0" w:space="0" w:color="auto"/>
        <w:left w:val="none" w:sz="0" w:space="0" w:color="auto"/>
        <w:bottom w:val="none" w:sz="0" w:space="0" w:color="auto"/>
        <w:right w:val="none" w:sz="0" w:space="0" w:color="auto"/>
      </w:divBdr>
    </w:div>
    <w:div w:id="328100823">
      <w:bodyDiv w:val="1"/>
      <w:marLeft w:val="0"/>
      <w:marRight w:val="0"/>
      <w:marTop w:val="0"/>
      <w:marBottom w:val="0"/>
      <w:divBdr>
        <w:top w:val="none" w:sz="0" w:space="0" w:color="auto"/>
        <w:left w:val="none" w:sz="0" w:space="0" w:color="auto"/>
        <w:bottom w:val="none" w:sz="0" w:space="0" w:color="auto"/>
        <w:right w:val="none" w:sz="0" w:space="0" w:color="auto"/>
      </w:divBdr>
    </w:div>
    <w:div w:id="334068657">
      <w:bodyDiv w:val="1"/>
      <w:marLeft w:val="0"/>
      <w:marRight w:val="0"/>
      <w:marTop w:val="0"/>
      <w:marBottom w:val="0"/>
      <w:divBdr>
        <w:top w:val="none" w:sz="0" w:space="0" w:color="auto"/>
        <w:left w:val="none" w:sz="0" w:space="0" w:color="auto"/>
        <w:bottom w:val="none" w:sz="0" w:space="0" w:color="auto"/>
        <w:right w:val="none" w:sz="0" w:space="0" w:color="auto"/>
      </w:divBdr>
    </w:div>
    <w:div w:id="338508295">
      <w:bodyDiv w:val="1"/>
      <w:marLeft w:val="0"/>
      <w:marRight w:val="0"/>
      <w:marTop w:val="0"/>
      <w:marBottom w:val="0"/>
      <w:divBdr>
        <w:top w:val="none" w:sz="0" w:space="0" w:color="auto"/>
        <w:left w:val="none" w:sz="0" w:space="0" w:color="auto"/>
        <w:bottom w:val="none" w:sz="0" w:space="0" w:color="auto"/>
        <w:right w:val="none" w:sz="0" w:space="0" w:color="auto"/>
      </w:divBdr>
    </w:div>
    <w:div w:id="341662815">
      <w:bodyDiv w:val="1"/>
      <w:marLeft w:val="0"/>
      <w:marRight w:val="0"/>
      <w:marTop w:val="0"/>
      <w:marBottom w:val="0"/>
      <w:divBdr>
        <w:top w:val="none" w:sz="0" w:space="0" w:color="auto"/>
        <w:left w:val="none" w:sz="0" w:space="0" w:color="auto"/>
        <w:bottom w:val="none" w:sz="0" w:space="0" w:color="auto"/>
        <w:right w:val="none" w:sz="0" w:space="0" w:color="auto"/>
      </w:divBdr>
    </w:div>
    <w:div w:id="367145065">
      <w:bodyDiv w:val="1"/>
      <w:marLeft w:val="0"/>
      <w:marRight w:val="0"/>
      <w:marTop w:val="0"/>
      <w:marBottom w:val="0"/>
      <w:divBdr>
        <w:top w:val="none" w:sz="0" w:space="0" w:color="auto"/>
        <w:left w:val="none" w:sz="0" w:space="0" w:color="auto"/>
        <w:bottom w:val="none" w:sz="0" w:space="0" w:color="auto"/>
        <w:right w:val="none" w:sz="0" w:space="0" w:color="auto"/>
      </w:divBdr>
    </w:div>
    <w:div w:id="397553106">
      <w:bodyDiv w:val="1"/>
      <w:marLeft w:val="0"/>
      <w:marRight w:val="0"/>
      <w:marTop w:val="0"/>
      <w:marBottom w:val="0"/>
      <w:divBdr>
        <w:top w:val="none" w:sz="0" w:space="0" w:color="auto"/>
        <w:left w:val="none" w:sz="0" w:space="0" w:color="auto"/>
        <w:bottom w:val="none" w:sz="0" w:space="0" w:color="auto"/>
        <w:right w:val="none" w:sz="0" w:space="0" w:color="auto"/>
      </w:divBdr>
    </w:div>
    <w:div w:id="412892648">
      <w:bodyDiv w:val="1"/>
      <w:marLeft w:val="0"/>
      <w:marRight w:val="0"/>
      <w:marTop w:val="0"/>
      <w:marBottom w:val="0"/>
      <w:divBdr>
        <w:top w:val="none" w:sz="0" w:space="0" w:color="auto"/>
        <w:left w:val="none" w:sz="0" w:space="0" w:color="auto"/>
        <w:bottom w:val="none" w:sz="0" w:space="0" w:color="auto"/>
        <w:right w:val="none" w:sz="0" w:space="0" w:color="auto"/>
      </w:divBdr>
    </w:div>
    <w:div w:id="444691092">
      <w:bodyDiv w:val="1"/>
      <w:marLeft w:val="0"/>
      <w:marRight w:val="0"/>
      <w:marTop w:val="0"/>
      <w:marBottom w:val="0"/>
      <w:divBdr>
        <w:top w:val="none" w:sz="0" w:space="0" w:color="auto"/>
        <w:left w:val="none" w:sz="0" w:space="0" w:color="auto"/>
        <w:bottom w:val="none" w:sz="0" w:space="0" w:color="auto"/>
        <w:right w:val="none" w:sz="0" w:space="0" w:color="auto"/>
      </w:divBdr>
    </w:div>
    <w:div w:id="454057817">
      <w:bodyDiv w:val="1"/>
      <w:marLeft w:val="0"/>
      <w:marRight w:val="0"/>
      <w:marTop w:val="0"/>
      <w:marBottom w:val="0"/>
      <w:divBdr>
        <w:top w:val="none" w:sz="0" w:space="0" w:color="auto"/>
        <w:left w:val="none" w:sz="0" w:space="0" w:color="auto"/>
        <w:bottom w:val="none" w:sz="0" w:space="0" w:color="auto"/>
        <w:right w:val="none" w:sz="0" w:space="0" w:color="auto"/>
      </w:divBdr>
    </w:div>
    <w:div w:id="462816124">
      <w:bodyDiv w:val="1"/>
      <w:marLeft w:val="0"/>
      <w:marRight w:val="0"/>
      <w:marTop w:val="0"/>
      <w:marBottom w:val="0"/>
      <w:divBdr>
        <w:top w:val="none" w:sz="0" w:space="0" w:color="auto"/>
        <w:left w:val="none" w:sz="0" w:space="0" w:color="auto"/>
        <w:bottom w:val="none" w:sz="0" w:space="0" w:color="auto"/>
        <w:right w:val="none" w:sz="0" w:space="0" w:color="auto"/>
      </w:divBdr>
    </w:div>
    <w:div w:id="471218464">
      <w:bodyDiv w:val="1"/>
      <w:marLeft w:val="0"/>
      <w:marRight w:val="0"/>
      <w:marTop w:val="0"/>
      <w:marBottom w:val="0"/>
      <w:divBdr>
        <w:top w:val="none" w:sz="0" w:space="0" w:color="auto"/>
        <w:left w:val="none" w:sz="0" w:space="0" w:color="auto"/>
        <w:bottom w:val="none" w:sz="0" w:space="0" w:color="auto"/>
        <w:right w:val="none" w:sz="0" w:space="0" w:color="auto"/>
      </w:divBdr>
      <w:divsChild>
        <w:div w:id="1593316668">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479688255">
      <w:bodyDiv w:val="1"/>
      <w:marLeft w:val="0"/>
      <w:marRight w:val="0"/>
      <w:marTop w:val="0"/>
      <w:marBottom w:val="0"/>
      <w:divBdr>
        <w:top w:val="none" w:sz="0" w:space="0" w:color="auto"/>
        <w:left w:val="none" w:sz="0" w:space="0" w:color="auto"/>
        <w:bottom w:val="none" w:sz="0" w:space="0" w:color="auto"/>
        <w:right w:val="none" w:sz="0" w:space="0" w:color="auto"/>
      </w:divBdr>
    </w:div>
    <w:div w:id="487215464">
      <w:bodyDiv w:val="1"/>
      <w:marLeft w:val="0"/>
      <w:marRight w:val="0"/>
      <w:marTop w:val="0"/>
      <w:marBottom w:val="0"/>
      <w:divBdr>
        <w:top w:val="none" w:sz="0" w:space="0" w:color="auto"/>
        <w:left w:val="none" w:sz="0" w:space="0" w:color="auto"/>
        <w:bottom w:val="none" w:sz="0" w:space="0" w:color="auto"/>
        <w:right w:val="none" w:sz="0" w:space="0" w:color="auto"/>
      </w:divBdr>
    </w:div>
    <w:div w:id="497425822">
      <w:bodyDiv w:val="1"/>
      <w:marLeft w:val="0"/>
      <w:marRight w:val="0"/>
      <w:marTop w:val="0"/>
      <w:marBottom w:val="0"/>
      <w:divBdr>
        <w:top w:val="none" w:sz="0" w:space="0" w:color="auto"/>
        <w:left w:val="none" w:sz="0" w:space="0" w:color="auto"/>
        <w:bottom w:val="none" w:sz="0" w:space="0" w:color="auto"/>
        <w:right w:val="none" w:sz="0" w:space="0" w:color="auto"/>
      </w:divBdr>
    </w:div>
    <w:div w:id="506600011">
      <w:bodyDiv w:val="1"/>
      <w:marLeft w:val="0"/>
      <w:marRight w:val="0"/>
      <w:marTop w:val="0"/>
      <w:marBottom w:val="0"/>
      <w:divBdr>
        <w:top w:val="none" w:sz="0" w:space="0" w:color="auto"/>
        <w:left w:val="none" w:sz="0" w:space="0" w:color="auto"/>
        <w:bottom w:val="none" w:sz="0" w:space="0" w:color="auto"/>
        <w:right w:val="none" w:sz="0" w:space="0" w:color="auto"/>
      </w:divBdr>
    </w:div>
    <w:div w:id="508835781">
      <w:bodyDiv w:val="1"/>
      <w:marLeft w:val="0"/>
      <w:marRight w:val="0"/>
      <w:marTop w:val="0"/>
      <w:marBottom w:val="0"/>
      <w:divBdr>
        <w:top w:val="none" w:sz="0" w:space="0" w:color="auto"/>
        <w:left w:val="none" w:sz="0" w:space="0" w:color="auto"/>
        <w:bottom w:val="none" w:sz="0" w:space="0" w:color="auto"/>
        <w:right w:val="none" w:sz="0" w:space="0" w:color="auto"/>
      </w:divBdr>
    </w:div>
    <w:div w:id="539123785">
      <w:bodyDiv w:val="1"/>
      <w:marLeft w:val="0"/>
      <w:marRight w:val="0"/>
      <w:marTop w:val="0"/>
      <w:marBottom w:val="0"/>
      <w:divBdr>
        <w:top w:val="none" w:sz="0" w:space="0" w:color="auto"/>
        <w:left w:val="none" w:sz="0" w:space="0" w:color="auto"/>
        <w:bottom w:val="none" w:sz="0" w:space="0" w:color="auto"/>
        <w:right w:val="none" w:sz="0" w:space="0" w:color="auto"/>
      </w:divBdr>
      <w:divsChild>
        <w:div w:id="429086541">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546332319">
      <w:bodyDiv w:val="1"/>
      <w:marLeft w:val="0"/>
      <w:marRight w:val="0"/>
      <w:marTop w:val="0"/>
      <w:marBottom w:val="0"/>
      <w:divBdr>
        <w:top w:val="none" w:sz="0" w:space="0" w:color="auto"/>
        <w:left w:val="none" w:sz="0" w:space="0" w:color="auto"/>
        <w:bottom w:val="none" w:sz="0" w:space="0" w:color="auto"/>
        <w:right w:val="none" w:sz="0" w:space="0" w:color="auto"/>
      </w:divBdr>
    </w:div>
    <w:div w:id="581069562">
      <w:bodyDiv w:val="1"/>
      <w:marLeft w:val="0"/>
      <w:marRight w:val="0"/>
      <w:marTop w:val="0"/>
      <w:marBottom w:val="0"/>
      <w:divBdr>
        <w:top w:val="none" w:sz="0" w:space="0" w:color="auto"/>
        <w:left w:val="none" w:sz="0" w:space="0" w:color="auto"/>
        <w:bottom w:val="none" w:sz="0" w:space="0" w:color="auto"/>
        <w:right w:val="none" w:sz="0" w:space="0" w:color="auto"/>
      </w:divBdr>
      <w:divsChild>
        <w:div w:id="838929769">
          <w:blockQuote w:val="1"/>
          <w:marLeft w:val="720"/>
          <w:marRight w:val="720"/>
          <w:marTop w:val="100"/>
          <w:marBottom w:val="100"/>
          <w:divBdr>
            <w:top w:val="none" w:sz="0" w:space="0" w:color="auto"/>
            <w:left w:val="none" w:sz="0" w:space="0" w:color="auto"/>
            <w:bottom w:val="none" w:sz="0" w:space="0" w:color="auto"/>
            <w:right w:val="none" w:sz="0" w:space="0" w:color="auto"/>
          </w:divBdr>
        </w:div>
        <w:div w:id="1183935806">
          <w:blockQuote w:val="1"/>
          <w:marLeft w:val="720"/>
          <w:marRight w:val="720"/>
          <w:marTop w:val="100"/>
          <w:marBottom w:val="100"/>
          <w:divBdr>
            <w:top w:val="none" w:sz="0" w:space="0" w:color="auto"/>
            <w:left w:val="none" w:sz="0" w:space="0" w:color="auto"/>
            <w:bottom w:val="none" w:sz="0" w:space="0" w:color="auto"/>
            <w:right w:val="none" w:sz="0" w:space="0" w:color="auto"/>
          </w:divBdr>
        </w:div>
        <w:div w:id="1325476406">
          <w:blockQuote w:val="1"/>
          <w:marLeft w:val="720"/>
          <w:marRight w:val="720"/>
          <w:marTop w:val="100"/>
          <w:marBottom w:val="100"/>
          <w:divBdr>
            <w:top w:val="none" w:sz="0" w:space="0" w:color="auto"/>
            <w:left w:val="none" w:sz="0" w:space="0" w:color="auto"/>
            <w:bottom w:val="none" w:sz="0" w:space="0" w:color="auto"/>
            <w:right w:val="none" w:sz="0" w:space="0" w:color="auto"/>
          </w:divBdr>
        </w:div>
        <w:div w:id="1713076078">
          <w:blockQuote w:val="1"/>
          <w:marLeft w:val="720"/>
          <w:marRight w:val="720"/>
          <w:marTop w:val="100"/>
          <w:marBottom w:val="100"/>
          <w:divBdr>
            <w:top w:val="none" w:sz="0" w:space="0" w:color="auto"/>
            <w:left w:val="none" w:sz="0" w:space="0" w:color="auto"/>
            <w:bottom w:val="none" w:sz="0" w:space="0" w:color="auto"/>
            <w:right w:val="none" w:sz="0" w:space="0" w:color="auto"/>
          </w:divBdr>
        </w:div>
        <w:div w:id="1861312048">
          <w:blockQuote w:val="1"/>
          <w:marLeft w:val="720"/>
          <w:marRight w:val="720"/>
          <w:marTop w:val="100"/>
          <w:marBottom w:val="100"/>
          <w:divBdr>
            <w:top w:val="none" w:sz="0" w:space="0" w:color="auto"/>
            <w:left w:val="none" w:sz="0" w:space="0" w:color="auto"/>
            <w:bottom w:val="none" w:sz="0" w:space="0" w:color="auto"/>
            <w:right w:val="none" w:sz="0" w:space="0" w:color="auto"/>
          </w:divBdr>
        </w:div>
        <w:div w:id="2124376899">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583145443">
      <w:bodyDiv w:val="1"/>
      <w:marLeft w:val="0"/>
      <w:marRight w:val="0"/>
      <w:marTop w:val="0"/>
      <w:marBottom w:val="0"/>
      <w:divBdr>
        <w:top w:val="none" w:sz="0" w:space="0" w:color="auto"/>
        <w:left w:val="none" w:sz="0" w:space="0" w:color="auto"/>
        <w:bottom w:val="none" w:sz="0" w:space="0" w:color="auto"/>
        <w:right w:val="none" w:sz="0" w:space="0" w:color="auto"/>
      </w:divBdr>
      <w:divsChild>
        <w:div w:id="1224829507">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584075459">
      <w:bodyDiv w:val="1"/>
      <w:marLeft w:val="0"/>
      <w:marRight w:val="0"/>
      <w:marTop w:val="0"/>
      <w:marBottom w:val="0"/>
      <w:divBdr>
        <w:top w:val="none" w:sz="0" w:space="0" w:color="auto"/>
        <w:left w:val="none" w:sz="0" w:space="0" w:color="auto"/>
        <w:bottom w:val="none" w:sz="0" w:space="0" w:color="auto"/>
        <w:right w:val="none" w:sz="0" w:space="0" w:color="auto"/>
      </w:divBdr>
    </w:div>
    <w:div w:id="610665644">
      <w:bodyDiv w:val="1"/>
      <w:marLeft w:val="0"/>
      <w:marRight w:val="0"/>
      <w:marTop w:val="0"/>
      <w:marBottom w:val="0"/>
      <w:divBdr>
        <w:top w:val="none" w:sz="0" w:space="0" w:color="auto"/>
        <w:left w:val="none" w:sz="0" w:space="0" w:color="auto"/>
        <w:bottom w:val="none" w:sz="0" w:space="0" w:color="auto"/>
        <w:right w:val="none" w:sz="0" w:space="0" w:color="auto"/>
      </w:divBdr>
    </w:div>
    <w:div w:id="616914023">
      <w:bodyDiv w:val="1"/>
      <w:marLeft w:val="0"/>
      <w:marRight w:val="0"/>
      <w:marTop w:val="0"/>
      <w:marBottom w:val="0"/>
      <w:divBdr>
        <w:top w:val="none" w:sz="0" w:space="0" w:color="auto"/>
        <w:left w:val="none" w:sz="0" w:space="0" w:color="auto"/>
        <w:bottom w:val="none" w:sz="0" w:space="0" w:color="auto"/>
        <w:right w:val="none" w:sz="0" w:space="0" w:color="auto"/>
      </w:divBdr>
    </w:div>
    <w:div w:id="638072489">
      <w:bodyDiv w:val="1"/>
      <w:marLeft w:val="0"/>
      <w:marRight w:val="0"/>
      <w:marTop w:val="0"/>
      <w:marBottom w:val="0"/>
      <w:divBdr>
        <w:top w:val="none" w:sz="0" w:space="0" w:color="auto"/>
        <w:left w:val="none" w:sz="0" w:space="0" w:color="auto"/>
        <w:bottom w:val="none" w:sz="0" w:space="0" w:color="auto"/>
        <w:right w:val="none" w:sz="0" w:space="0" w:color="auto"/>
      </w:divBdr>
    </w:div>
    <w:div w:id="645164282">
      <w:bodyDiv w:val="1"/>
      <w:marLeft w:val="0"/>
      <w:marRight w:val="0"/>
      <w:marTop w:val="0"/>
      <w:marBottom w:val="0"/>
      <w:divBdr>
        <w:top w:val="none" w:sz="0" w:space="0" w:color="auto"/>
        <w:left w:val="none" w:sz="0" w:space="0" w:color="auto"/>
        <w:bottom w:val="none" w:sz="0" w:space="0" w:color="auto"/>
        <w:right w:val="none" w:sz="0" w:space="0" w:color="auto"/>
      </w:divBdr>
    </w:div>
    <w:div w:id="656808070">
      <w:bodyDiv w:val="1"/>
      <w:marLeft w:val="0"/>
      <w:marRight w:val="0"/>
      <w:marTop w:val="0"/>
      <w:marBottom w:val="0"/>
      <w:divBdr>
        <w:top w:val="none" w:sz="0" w:space="0" w:color="auto"/>
        <w:left w:val="none" w:sz="0" w:space="0" w:color="auto"/>
        <w:bottom w:val="none" w:sz="0" w:space="0" w:color="auto"/>
        <w:right w:val="none" w:sz="0" w:space="0" w:color="auto"/>
      </w:divBdr>
    </w:div>
    <w:div w:id="671372884">
      <w:bodyDiv w:val="1"/>
      <w:marLeft w:val="0"/>
      <w:marRight w:val="0"/>
      <w:marTop w:val="0"/>
      <w:marBottom w:val="0"/>
      <w:divBdr>
        <w:top w:val="none" w:sz="0" w:space="0" w:color="auto"/>
        <w:left w:val="none" w:sz="0" w:space="0" w:color="auto"/>
        <w:bottom w:val="none" w:sz="0" w:space="0" w:color="auto"/>
        <w:right w:val="none" w:sz="0" w:space="0" w:color="auto"/>
      </w:divBdr>
      <w:divsChild>
        <w:div w:id="2017689290">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703599514">
      <w:bodyDiv w:val="1"/>
      <w:marLeft w:val="0"/>
      <w:marRight w:val="0"/>
      <w:marTop w:val="0"/>
      <w:marBottom w:val="0"/>
      <w:divBdr>
        <w:top w:val="none" w:sz="0" w:space="0" w:color="auto"/>
        <w:left w:val="none" w:sz="0" w:space="0" w:color="auto"/>
        <w:bottom w:val="none" w:sz="0" w:space="0" w:color="auto"/>
        <w:right w:val="none" w:sz="0" w:space="0" w:color="auto"/>
      </w:divBdr>
    </w:div>
    <w:div w:id="714500759">
      <w:bodyDiv w:val="1"/>
      <w:marLeft w:val="0"/>
      <w:marRight w:val="0"/>
      <w:marTop w:val="0"/>
      <w:marBottom w:val="0"/>
      <w:divBdr>
        <w:top w:val="none" w:sz="0" w:space="0" w:color="auto"/>
        <w:left w:val="none" w:sz="0" w:space="0" w:color="auto"/>
        <w:bottom w:val="none" w:sz="0" w:space="0" w:color="auto"/>
        <w:right w:val="none" w:sz="0" w:space="0" w:color="auto"/>
      </w:divBdr>
    </w:div>
    <w:div w:id="715008669">
      <w:bodyDiv w:val="1"/>
      <w:marLeft w:val="0"/>
      <w:marRight w:val="0"/>
      <w:marTop w:val="0"/>
      <w:marBottom w:val="0"/>
      <w:divBdr>
        <w:top w:val="none" w:sz="0" w:space="0" w:color="auto"/>
        <w:left w:val="none" w:sz="0" w:space="0" w:color="auto"/>
        <w:bottom w:val="none" w:sz="0" w:space="0" w:color="auto"/>
        <w:right w:val="none" w:sz="0" w:space="0" w:color="auto"/>
      </w:divBdr>
    </w:div>
    <w:div w:id="719551956">
      <w:bodyDiv w:val="1"/>
      <w:marLeft w:val="0"/>
      <w:marRight w:val="0"/>
      <w:marTop w:val="0"/>
      <w:marBottom w:val="0"/>
      <w:divBdr>
        <w:top w:val="none" w:sz="0" w:space="0" w:color="auto"/>
        <w:left w:val="none" w:sz="0" w:space="0" w:color="auto"/>
        <w:bottom w:val="none" w:sz="0" w:space="0" w:color="auto"/>
        <w:right w:val="none" w:sz="0" w:space="0" w:color="auto"/>
      </w:divBdr>
    </w:div>
    <w:div w:id="728457787">
      <w:bodyDiv w:val="1"/>
      <w:marLeft w:val="0"/>
      <w:marRight w:val="0"/>
      <w:marTop w:val="0"/>
      <w:marBottom w:val="0"/>
      <w:divBdr>
        <w:top w:val="none" w:sz="0" w:space="0" w:color="auto"/>
        <w:left w:val="none" w:sz="0" w:space="0" w:color="auto"/>
        <w:bottom w:val="none" w:sz="0" w:space="0" w:color="auto"/>
        <w:right w:val="none" w:sz="0" w:space="0" w:color="auto"/>
      </w:divBdr>
    </w:div>
    <w:div w:id="748428621">
      <w:bodyDiv w:val="1"/>
      <w:marLeft w:val="0"/>
      <w:marRight w:val="0"/>
      <w:marTop w:val="0"/>
      <w:marBottom w:val="0"/>
      <w:divBdr>
        <w:top w:val="none" w:sz="0" w:space="0" w:color="auto"/>
        <w:left w:val="none" w:sz="0" w:space="0" w:color="auto"/>
        <w:bottom w:val="none" w:sz="0" w:space="0" w:color="auto"/>
        <w:right w:val="none" w:sz="0" w:space="0" w:color="auto"/>
      </w:divBdr>
      <w:divsChild>
        <w:div w:id="582685572">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760636885">
      <w:bodyDiv w:val="1"/>
      <w:marLeft w:val="0"/>
      <w:marRight w:val="0"/>
      <w:marTop w:val="0"/>
      <w:marBottom w:val="0"/>
      <w:divBdr>
        <w:top w:val="none" w:sz="0" w:space="0" w:color="auto"/>
        <w:left w:val="none" w:sz="0" w:space="0" w:color="auto"/>
        <w:bottom w:val="none" w:sz="0" w:space="0" w:color="auto"/>
        <w:right w:val="none" w:sz="0" w:space="0" w:color="auto"/>
      </w:divBdr>
      <w:divsChild>
        <w:div w:id="1186670686">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763040714">
      <w:bodyDiv w:val="1"/>
      <w:marLeft w:val="0"/>
      <w:marRight w:val="0"/>
      <w:marTop w:val="0"/>
      <w:marBottom w:val="0"/>
      <w:divBdr>
        <w:top w:val="none" w:sz="0" w:space="0" w:color="auto"/>
        <w:left w:val="none" w:sz="0" w:space="0" w:color="auto"/>
        <w:bottom w:val="none" w:sz="0" w:space="0" w:color="auto"/>
        <w:right w:val="none" w:sz="0" w:space="0" w:color="auto"/>
      </w:divBdr>
    </w:div>
    <w:div w:id="771899232">
      <w:bodyDiv w:val="1"/>
      <w:marLeft w:val="0"/>
      <w:marRight w:val="0"/>
      <w:marTop w:val="0"/>
      <w:marBottom w:val="0"/>
      <w:divBdr>
        <w:top w:val="none" w:sz="0" w:space="0" w:color="auto"/>
        <w:left w:val="none" w:sz="0" w:space="0" w:color="auto"/>
        <w:bottom w:val="none" w:sz="0" w:space="0" w:color="auto"/>
        <w:right w:val="none" w:sz="0" w:space="0" w:color="auto"/>
      </w:divBdr>
    </w:div>
    <w:div w:id="779489158">
      <w:bodyDiv w:val="1"/>
      <w:marLeft w:val="0"/>
      <w:marRight w:val="0"/>
      <w:marTop w:val="0"/>
      <w:marBottom w:val="0"/>
      <w:divBdr>
        <w:top w:val="none" w:sz="0" w:space="0" w:color="auto"/>
        <w:left w:val="none" w:sz="0" w:space="0" w:color="auto"/>
        <w:bottom w:val="none" w:sz="0" w:space="0" w:color="auto"/>
        <w:right w:val="none" w:sz="0" w:space="0" w:color="auto"/>
      </w:divBdr>
    </w:div>
    <w:div w:id="795639806">
      <w:bodyDiv w:val="1"/>
      <w:marLeft w:val="0"/>
      <w:marRight w:val="0"/>
      <w:marTop w:val="0"/>
      <w:marBottom w:val="0"/>
      <w:divBdr>
        <w:top w:val="none" w:sz="0" w:space="0" w:color="auto"/>
        <w:left w:val="none" w:sz="0" w:space="0" w:color="auto"/>
        <w:bottom w:val="none" w:sz="0" w:space="0" w:color="auto"/>
        <w:right w:val="none" w:sz="0" w:space="0" w:color="auto"/>
      </w:divBdr>
    </w:div>
    <w:div w:id="803473988">
      <w:bodyDiv w:val="1"/>
      <w:marLeft w:val="0"/>
      <w:marRight w:val="0"/>
      <w:marTop w:val="0"/>
      <w:marBottom w:val="0"/>
      <w:divBdr>
        <w:top w:val="none" w:sz="0" w:space="0" w:color="auto"/>
        <w:left w:val="none" w:sz="0" w:space="0" w:color="auto"/>
        <w:bottom w:val="none" w:sz="0" w:space="0" w:color="auto"/>
        <w:right w:val="none" w:sz="0" w:space="0" w:color="auto"/>
      </w:divBdr>
    </w:div>
    <w:div w:id="803693093">
      <w:bodyDiv w:val="1"/>
      <w:marLeft w:val="0"/>
      <w:marRight w:val="0"/>
      <w:marTop w:val="0"/>
      <w:marBottom w:val="0"/>
      <w:divBdr>
        <w:top w:val="none" w:sz="0" w:space="0" w:color="auto"/>
        <w:left w:val="none" w:sz="0" w:space="0" w:color="auto"/>
        <w:bottom w:val="none" w:sz="0" w:space="0" w:color="auto"/>
        <w:right w:val="none" w:sz="0" w:space="0" w:color="auto"/>
      </w:divBdr>
    </w:div>
    <w:div w:id="829563091">
      <w:bodyDiv w:val="1"/>
      <w:marLeft w:val="0"/>
      <w:marRight w:val="0"/>
      <w:marTop w:val="0"/>
      <w:marBottom w:val="0"/>
      <w:divBdr>
        <w:top w:val="none" w:sz="0" w:space="0" w:color="auto"/>
        <w:left w:val="none" w:sz="0" w:space="0" w:color="auto"/>
        <w:bottom w:val="none" w:sz="0" w:space="0" w:color="auto"/>
        <w:right w:val="none" w:sz="0" w:space="0" w:color="auto"/>
      </w:divBdr>
    </w:div>
    <w:div w:id="845485957">
      <w:bodyDiv w:val="1"/>
      <w:marLeft w:val="0"/>
      <w:marRight w:val="0"/>
      <w:marTop w:val="0"/>
      <w:marBottom w:val="0"/>
      <w:divBdr>
        <w:top w:val="none" w:sz="0" w:space="0" w:color="auto"/>
        <w:left w:val="none" w:sz="0" w:space="0" w:color="auto"/>
        <w:bottom w:val="none" w:sz="0" w:space="0" w:color="auto"/>
        <w:right w:val="none" w:sz="0" w:space="0" w:color="auto"/>
      </w:divBdr>
      <w:divsChild>
        <w:div w:id="330372392">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871303029">
      <w:bodyDiv w:val="1"/>
      <w:marLeft w:val="0"/>
      <w:marRight w:val="0"/>
      <w:marTop w:val="0"/>
      <w:marBottom w:val="0"/>
      <w:divBdr>
        <w:top w:val="none" w:sz="0" w:space="0" w:color="auto"/>
        <w:left w:val="none" w:sz="0" w:space="0" w:color="auto"/>
        <w:bottom w:val="none" w:sz="0" w:space="0" w:color="auto"/>
        <w:right w:val="none" w:sz="0" w:space="0" w:color="auto"/>
      </w:divBdr>
    </w:div>
    <w:div w:id="878083375">
      <w:bodyDiv w:val="1"/>
      <w:marLeft w:val="0"/>
      <w:marRight w:val="0"/>
      <w:marTop w:val="0"/>
      <w:marBottom w:val="0"/>
      <w:divBdr>
        <w:top w:val="none" w:sz="0" w:space="0" w:color="auto"/>
        <w:left w:val="none" w:sz="0" w:space="0" w:color="auto"/>
        <w:bottom w:val="none" w:sz="0" w:space="0" w:color="auto"/>
        <w:right w:val="none" w:sz="0" w:space="0" w:color="auto"/>
      </w:divBdr>
    </w:div>
    <w:div w:id="879319176">
      <w:bodyDiv w:val="1"/>
      <w:marLeft w:val="0"/>
      <w:marRight w:val="0"/>
      <w:marTop w:val="0"/>
      <w:marBottom w:val="0"/>
      <w:divBdr>
        <w:top w:val="none" w:sz="0" w:space="0" w:color="auto"/>
        <w:left w:val="none" w:sz="0" w:space="0" w:color="auto"/>
        <w:bottom w:val="none" w:sz="0" w:space="0" w:color="auto"/>
        <w:right w:val="none" w:sz="0" w:space="0" w:color="auto"/>
      </w:divBdr>
    </w:div>
    <w:div w:id="910508240">
      <w:bodyDiv w:val="1"/>
      <w:marLeft w:val="0"/>
      <w:marRight w:val="0"/>
      <w:marTop w:val="0"/>
      <w:marBottom w:val="0"/>
      <w:divBdr>
        <w:top w:val="none" w:sz="0" w:space="0" w:color="auto"/>
        <w:left w:val="none" w:sz="0" w:space="0" w:color="auto"/>
        <w:bottom w:val="none" w:sz="0" w:space="0" w:color="auto"/>
        <w:right w:val="none" w:sz="0" w:space="0" w:color="auto"/>
      </w:divBdr>
    </w:div>
    <w:div w:id="932249804">
      <w:bodyDiv w:val="1"/>
      <w:marLeft w:val="0"/>
      <w:marRight w:val="0"/>
      <w:marTop w:val="0"/>
      <w:marBottom w:val="0"/>
      <w:divBdr>
        <w:top w:val="none" w:sz="0" w:space="0" w:color="auto"/>
        <w:left w:val="none" w:sz="0" w:space="0" w:color="auto"/>
        <w:bottom w:val="none" w:sz="0" w:space="0" w:color="auto"/>
        <w:right w:val="none" w:sz="0" w:space="0" w:color="auto"/>
      </w:divBdr>
    </w:div>
    <w:div w:id="942345542">
      <w:bodyDiv w:val="1"/>
      <w:marLeft w:val="0"/>
      <w:marRight w:val="0"/>
      <w:marTop w:val="0"/>
      <w:marBottom w:val="0"/>
      <w:divBdr>
        <w:top w:val="none" w:sz="0" w:space="0" w:color="auto"/>
        <w:left w:val="none" w:sz="0" w:space="0" w:color="auto"/>
        <w:bottom w:val="none" w:sz="0" w:space="0" w:color="auto"/>
        <w:right w:val="none" w:sz="0" w:space="0" w:color="auto"/>
      </w:divBdr>
    </w:div>
    <w:div w:id="948050340">
      <w:bodyDiv w:val="1"/>
      <w:marLeft w:val="0"/>
      <w:marRight w:val="0"/>
      <w:marTop w:val="0"/>
      <w:marBottom w:val="0"/>
      <w:divBdr>
        <w:top w:val="none" w:sz="0" w:space="0" w:color="auto"/>
        <w:left w:val="none" w:sz="0" w:space="0" w:color="auto"/>
        <w:bottom w:val="none" w:sz="0" w:space="0" w:color="auto"/>
        <w:right w:val="none" w:sz="0" w:space="0" w:color="auto"/>
      </w:divBdr>
    </w:div>
    <w:div w:id="950354643">
      <w:bodyDiv w:val="1"/>
      <w:marLeft w:val="0"/>
      <w:marRight w:val="0"/>
      <w:marTop w:val="0"/>
      <w:marBottom w:val="0"/>
      <w:divBdr>
        <w:top w:val="none" w:sz="0" w:space="0" w:color="auto"/>
        <w:left w:val="none" w:sz="0" w:space="0" w:color="auto"/>
        <w:bottom w:val="none" w:sz="0" w:space="0" w:color="auto"/>
        <w:right w:val="none" w:sz="0" w:space="0" w:color="auto"/>
      </w:divBdr>
      <w:divsChild>
        <w:div w:id="552157038">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955673576">
      <w:bodyDiv w:val="1"/>
      <w:marLeft w:val="0"/>
      <w:marRight w:val="0"/>
      <w:marTop w:val="0"/>
      <w:marBottom w:val="0"/>
      <w:divBdr>
        <w:top w:val="none" w:sz="0" w:space="0" w:color="auto"/>
        <w:left w:val="none" w:sz="0" w:space="0" w:color="auto"/>
        <w:bottom w:val="none" w:sz="0" w:space="0" w:color="auto"/>
        <w:right w:val="none" w:sz="0" w:space="0" w:color="auto"/>
      </w:divBdr>
      <w:divsChild>
        <w:div w:id="62915782">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967904327">
      <w:bodyDiv w:val="1"/>
      <w:marLeft w:val="0"/>
      <w:marRight w:val="0"/>
      <w:marTop w:val="0"/>
      <w:marBottom w:val="0"/>
      <w:divBdr>
        <w:top w:val="none" w:sz="0" w:space="0" w:color="auto"/>
        <w:left w:val="none" w:sz="0" w:space="0" w:color="auto"/>
        <w:bottom w:val="none" w:sz="0" w:space="0" w:color="auto"/>
        <w:right w:val="none" w:sz="0" w:space="0" w:color="auto"/>
      </w:divBdr>
    </w:div>
    <w:div w:id="987444855">
      <w:bodyDiv w:val="1"/>
      <w:marLeft w:val="0"/>
      <w:marRight w:val="0"/>
      <w:marTop w:val="0"/>
      <w:marBottom w:val="0"/>
      <w:divBdr>
        <w:top w:val="none" w:sz="0" w:space="0" w:color="auto"/>
        <w:left w:val="none" w:sz="0" w:space="0" w:color="auto"/>
        <w:bottom w:val="none" w:sz="0" w:space="0" w:color="auto"/>
        <w:right w:val="none" w:sz="0" w:space="0" w:color="auto"/>
      </w:divBdr>
    </w:div>
    <w:div w:id="991062689">
      <w:bodyDiv w:val="1"/>
      <w:marLeft w:val="0"/>
      <w:marRight w:val="0"/>
      <w:marTop w:val="0"/>
      <w:marBottom w:val="0"/>
      <w:divBdr>
        <w:top w:val="none" w:sz="0" w:space="0" w:color="auto"/>
        <w:left w:val="none" w:sz="0" w:space="0" w:color="auto"/>
        <w:bottom w:val="none" w:sz="0" w:space="0" w:color="auto"/>
        <w:right w:val="none" w:sz="0" w:space="0" w:color="auto"/>
      </w:divBdr>
    </w:div>
    <w:div w:id="1000038651">
      <w:bodyDiv w:val="1"/>
      <w:marLeft w:val="0"/>
      <w:marRight w:val="0"/>
      <w:marTop w:val="0"/>
      <w:marBottom w:val="0"/>
      <w:divBdr>
        <w:top w:val="none" w:sz="0" w:space="0" w:color="auto"/>
        <w:left w:val="none" w:sz="0" w:space="0" w:color="auto"/>
        <w:bottom w:val="none" w:sz="0" w:space="0" w:color="auto"/>
        <w:right w:val="none" w:sz="0" w:space="0" w:color="auto"/>
      </w:divBdr>
    </w:div>
    <w:div w:id="1042294085">
      <w:bodyDiv w:val="1"/>
      <w:marLeft w:val="0"/>
      <w:marRight w:val="0"/>
      <w:marTop w:val="0"/>
      <w:marBottom w:val="0"/>
      <w:divBdr>
        <w:top w:val="none" w:sz="0" w:space="0" w:color="auto"/>
        <w:left w:val="none" w:sz="0" w:space="0" w:color="auto"/>
        <w:bottom w:val="none" w:sz="0" w:space="0" w:color="auto"/>
        <w:right w:val="none" w:sz="0" w:space="0" w:color="auto"/>
      </w:divBdr>
    </w:div>
    <w:div w:id="1075199547">
      <w:bodyDiv w:val="1"/>
      <w:marLeft w:val="0"/>
      <w:marRight w:val="0"/>
      <w:marTop w:val="0"/>
      <w:marBottom w:val="0"/>
      <w:divBdr>
        <w:top w:val="none" w:sz="0" w:space="0" w:color="auto"/>
        <w:left w:val="none" w:sz="0" w:space="0" w:color="auto"/>
        <w:bottom w:val="none" w:sz="0" w:space="0" w:color="auto"/>
        <w:right w:val="none" w:sz="0" w:space="0" w:color="auto"/>
      </w:divBdr>
      <w:divsChild>
        <w:div w:id="1059868112">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097678362">
      <w:bodyDiv w:val="1"/>
      <w:marLeft w:val="0"/>
      <w:marRight w:val="0"/>
      <w:marTop w:val="0"/>
      <w:marBottom w:val="0"/>
      <w:divBdr>
        <w:top w:val="none" w:sz="0" w:space="0" w:color="auto"/>
        <w:left w:val="none" w:sz="0" w:space="0" w:color="auto"/>
        <w:bottom w:val="none" w:sz="0" w:space="0" w:color="auto"/>
        <w:right w:val="none" w:sz="0" w:space="0" w:color="auto"/>
      </w:divBdr>
    </w:div>
    <w:div w:id="1097796099">
      <w:bodyDiv w:val="1"/>
      <w:marLeft w:val="0"/>
      <w:marRight w:val="0"/>
      <w:marTop w:val="0"/>
      <w:marBottom w:val="0"/>
      <w:divBdr>
        <w:top w:val="none" w:sz="0" w:space="0" w:color="auto"/>
        <w:left w:val="none" w:sz="0" w:space="0" w:color="auto"/>
        <w:bottom w:val="none" w:sz="0" w:space="0" w:color="auto"/>
        <w:right w:val="none" w:sz="0" w:space="0" w:color="auto"/>
      </w:divBdr>
    </w:div>
    <w:div w:id="1102412935">
      <w:bodyDiv w:val="1"/>
      <w:marLeft w:val="0"/>
      <w:marRight w:val="0"/>
      <w:marTop w:val="0"/>
      <w:marBottom w:val="0"/>
      <w:divBdr>
        <w:top w:val="none" w:sz="0" w:space="0" w:color="auto"/>
        <w:left w:val="none" w:sz="0" w:space="0" w:color="auto"/>
        <w:bottom w:val="none" w:sz="0" w:space="0" w:color="auto"/>
        <w:right w:val="none" w:sz="0" w:space="0" w:color="auto"/>
      </w:divBdr>
      <w:divsChild>
        <w:div w:id="756025325">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115441029">
      <w:bodyDiv w:val="1"/>
      <w:marLeft w:val="0"/>
      <w:marRight w:val="0"/>
      <w:marTop w:val="0"/>
      <w:marBottom w:val="0"/>
      <w:divBdr>
        <w:top w:val="none" w:sz="0" w:space="0" w:color="auto"/>
        <w:left w:val="none" w:sz="0" w:space="0" w:color="auto"/>
        <w:bottom w:val="none" w:sz="0" w:space="0" w:color="auto"/>
        <w:right w:val="none" w:sz="0" w:space="0" w:color="auto"/>
      </w:divBdr>
    </w:div>
    <w:div w:id="1127554222">
      <w:bodyDiv w:val="1"/>
      <w:marLeft w:val="0"/>
      <w:marRight w:val="0"/>
      <w:marTop w:val="0"/>
      <w:marBottom w:val="0"/>
      <w:divBdr>
        <w:top w:val="none" w:sz="0" w:space="0" w:color="auto"/>
        <w:left w:val="none" w:sz="0" w:space="0" w:color="auto"/>
        <w:bottom w:val="none" w:sz="0" w:space="0" w:color="auto"/>
        <w:right w:val="none" w:sz="0" w:space="0" w:color="auto"/>
      </w:divBdr>
    </w:div>
    <w:div w:id="1133592924">
      <w:bodyDiv w:val="1"/>
      <w:marLeft w:val="0"/>
      <w:marRight w:val="0"/>
      <w:marTop w:val="0"/>
      <w:marBottom w:val="0"/>
      <w:divBdr>
        <w:top w:val="none" w:sz="0" w:space="0" w:color="auto"/>
        <w:left w:val="none" w:sz="0" w:space="0" w:color="auto"/>
        <w:bottom w:val="none" w:sz="0" w:space="0" w:color="auto"/>
        <w:right w:val="none" w:sz="0" w:space="0" w:color="auto"/>
      </w:divBdr>
    </w:div>
    <w:div w:id="1151677517">
      <w:bodyDiv w:val="1"/>
      <w:marLeft w:val="0"/>
      <w:marRight w:val="0"/>
      <w:marTop w:val="0"/>
      <w:marBottom w:val="0"/>
      <w:divBdr>
        <w:top w:val="none" w:sz="0" w:space="0" w:color="auto"/>
        <w:left w:val="none" w:sz="0" w:space="0" w:color="auto"/>
        <w:bottom w:val="none" w:sz="0" w:space="0" w:color="auto"/>
        <w:right w:val="none" w:sz="0" w:space="0" w:color="auto"/>
      </w:divBdr>
    </w:div>
    <w:div w:id="1155990411">
      <w:bodyDiv w:val="1"/>
      <w:marLeft w:val="0"/>
      <w:marRight w:val="0"/>
      <w:marTop w:val="0"/>
      <w:marBottom w:val="0"/>
      <w:divBdr>
        <w:top w:val="none" w:sz="0" w:space="0" w:color="auto"/>
        <w:left w:val="none" w:sz="0" w:space="0" w:color="auto"/>
        <w:bottom w:val="none" w:sz="0" w:space="0" w:color="auto"/>
        <w:right w:val="none" w:sz="0" w:space="0" w:color="auto"/>
      </w:divBdr>
    </w:div>
    <w:div w:id="1174347153">
      <w:bodyDiv w:val="1"/>
      <w:marLeft w:val="0"/>
      <w:marRight w:val="0"/>
      <w:marTop w:val="0"/>
      <w:marBottom w:val="0"/>
      <w:divBdr>
        <w:top w:val="none" w:sz="0" w:space="0" w:color="auto"/>
        <w:left w:val="none" w:sz="0" w:space="0" w:color="auto"/>
        <w:bottom w:val="none" w:sz="0" w:space="0" w:color="auto"/>
        <w:right w:val="none" w:sz="0" w:space="0" w:color="auto"/>
      </w:divBdr>
    </w:div>
    <w:div w:id="1193691233">
      <w:bodyDiv w:val="1"/>
      <w:marLeft w:val="0"/>
      <w:marRight w:val="0"/>
      <w:marTop w:val="0"/>
      <w:marBottom w:val="0"/>
      <w:divBdr>
        <w:top w:val="none" w:sz="0" w:space="0" w:color="auto"/>
        <w:left w:val="none" w:sz="0" w:space="0" w:color="auto"/>
        <w:bottom w:val="none" w:sz="0" w:space="0" w:color="auto"/>
        <w:right w:val="none" w:sz="0" w:space="0" w:color="auto"/>
      </w:divBdr>
      <w:divsChild>
        <w:div w:id="494614979">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206484742">
      <w:bodyDiv w:val="1"/>
      <w:marLeft w:val="0"/>
      <w:marRight w:val="0"/>
      <w:marTop w:val="0"/>
      <w:marBottom w:val="0"/>
      <w:divBdr>
        <w:top w:val="none" w:sz="0" w:space="0" w:color="auto"/>
        <w:left w:val="none" w:sz="0" w:space="0" w:color="auto"/>
        <w:bottom w:val="none" w:sz="0" w:space="0" w:color="auto"/>
        <w:right w:val="none" w:sz="0" w:space="0" w:color="auto"/>
      </w:divBdr>
    </w:div>
    <w:div w:id="1233925204">
      <w:bodyDiv w:val="1"/>
      <w:marLeft w:val="0"/>
      <w:marRight w:val="0"/>
      <w:marTop w:val="0"/>
      <w:marBottom w:val="0"/>
      <w:divBdr>
        <w:top w:val="none" w:sz="0" w:space="0" w:color="auto"/>
        <w:left w:val="none" w:sz="0" w:space="0" w:color="auto"/>
        <w:bottom w:val="none" w:sz="0" w:space="0" w:color="auto"/>
        <w:right w:val="none" w:sz="0" w:space="0" w:color="auto"/>
      </w:divBdr>
      <w:divsChild>
        <w:div w:id="564143669">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245653133">
      <w:bodyDiv w:val="1"/>
      <w:marLeft w:val="0"/>
      <w:marRight w:val="0"/>
      <w:marTop w:val="0"/>
      <w:marBottom w:val="0"/>
      <w:divBdr>
        <w:top w:val="none" w:sz="0" w:space="0" w:color="auto"/>
        <w:left w:val="none" w:sz="0" w:space="0" w:color="auto"/>
        <w:bottom w:val="none" w:sz="0" w:space="0" w:color="auto"/>
        <w:right w:val="none" w:sz="0" w:space="0" w:color="auto"/>
      </w:divBdr>
    </w:div>
    <w:div w:id="1278292273">
      <w:bodyDiv w:val="1"/>
      <w:marLeft w:val="0"/>
      <w:marRight w:val="0"/>
      <w:marTop w:val="0"/>
      <w:marBottom w:val="0"/>
      <w:divBdr>
        <w:top w:val="none" w:sz="0" w:space="0" w:color="auto"/>
        <w:left w:val="none" w:sz="0" w:space="0" w:color="auto"/>
        <w:bottom w:val="none" w:sz="0" w:space="0" w:color="auto"/>
        <w:right w:val="none" w:sz="0" w:space="0" w:color="auto"/>
      </w:divBdr>
      <w:divsChild>
        <w:div w:id="45224305">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285310994">
      <w:bodyDiv w:val="1"/>
      <w:marLeft w:val="0"/>
      <w:marRight w:val="0"/>
      <w:marTop w:val="0"/>
      <w:marBottom w:val="0"/>
      <w:divBdr>
        <w:top w:val="none" w:sz="0" w:space="0" w:color="auto"/>
        <w:left w:val="none" w:sz="0" w:space="0" w:color="auto"/>
        <w:bottom w:val="none" w:sz="0" w:space="0" w:color="auto"/>
        <w:right w:val="none" w:sz="0" w:space="0" w:color="auto"/>
      </w:divBdr>
    </w:div>
    <w:div w:id="1302929690">
      <w:bodyDiv w:val="1"/>
      <w:marLeft w:val="0"/>
      <w:marRight w:val="0"/>
      <w:marTop w:val="0"/>
      <w:marBottom w:val="0"/>
      <w:divBdr>
        <w:top w:val="none" w:sz="0" w:space="0" w:color="auto"/>
        <w:left w:val="none" w:sz="0" w:space="0" w:color="auto"/>
        <w:bottom w:val="none" w:sz="0" w:space="0" w:color="auto"/>
        <w:right w:val="none" w:sz="0" w:space="0" w:color="auto"/>
      </w:divBdr>
      <w:divsChild>
        <w:div w:id="7147515">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353797064">
      <w:bodyDiv w:val="1"/>
      <w:marLeft w:val="0"/>
      <w:marRight w:val="0"/>
      <w:marTop w:val="0"/>
      <w:marBottom w:val="0"/>
      <w:divBdr>
        <w:top w:val="none" w:sz="0" w:space="0" w:color="auto"/>
        <w:left w:val="none" w:sz="0" w:space="0" w:color="auto"/>
        <w:bottom w:val="none" w:sz="0" w:space="0" w:color="auto"/>
        <w:right w:val="none" w:sz="0" w:space="0" w:color="auto"/>
      </w:divBdr>
    </w:div>
    <w:div w:id="1368070438">
      <w:bodyDiv w:val="1"/>
      <w:marLeft w:val="0"/>
      <w:marRight w:val="0"/>
      <w:marTop w:val="0"/>
      <w:marBottom w:val="0"/>
      <w:divBdr>
        <w:top w:val="none" w:sz="0" w:space="0" w:color="auto"/>
        <w:left w:val="none" w:sz="0" w:space="0" w:color="auto"/>
        <w:bottom w:val="none" w:sz="0" w:space="0" w:color="auto"/>
        <w:right w:val="none" w:sz="0" w:space="0" w:color="auto"/>
      </w:divBdr>
    </w:div>
    <w:div w:id="1387291361">
      <w:bodyDiv w:val="1"/>
      <w:marLeft w:val="0"/>
      <w:marRight w:val="0"/>
      <w:marTop w:val="0"/>
      <w:marBottom w:val="0"/>
      <w:divBdr>
        <w:top w:val="none" w:sz="0" w:space="0" w:color="auto"/>
        <w:left w:val="none" w:sz="0" w:space="0" w:color="auto"/>
        <w:bottom w:val="none" w:sz="0" w:space="0" w:color="auto"/>
        <w:right w:val="none" w:sz="0" w:space="0" w:color="auto"/>
      </w:divBdr>
    </w:div>
    <w:div w:id="1392849972">
      <w:bodyDiv w:val="1"/>
      <w:marLeft w:val="0"/>
      <w:marRight w:val="0"/>
      <w:marTop w:val="0"/>
      <w:marBottom w:val="0"/>
      <w:divBdr>
        <w:top w:val="none" w:sz="0" w:space="0" w:color="auto"/>
        <w:left w:val="none" w:sz="0" w:space="0" w:color="auto"/>
        <w:bottom w:val="none" w:sz="0" w:space="0" w:color="auto"/>
        <w:right w:val="none" w:sz="0" w:space="0" w:color="auto"/>
      </w:divBdr>
    </w:div>
    <w:div w:id="1397968406">
      <w:bodyDiv w:val="1"/>
      <w:marLeft w:val="0"/>
      <w:marRight w:val="0"/>
      <w:marTop w:val="0"/>
      <w:marBottom w:val="0"/>
      <w:divBdr>
        <w:top w:val="none" w:sz="0" w:space="0" w:color="auto"/>
        <w:left w:val="none" w:sz="0" w:space="0" w:color="auto"/>
        <w:bottom w:val="none" w:sz="0" w:space="0" w:color="auto"/>
        <w:right w:val="none" w:sz="0" w:space="0" w:color="auto"/>
      </w:divBdr>
      <w:divsChild>
        <w:div w:id="317458745">
          <w:marLeft w:val="0"/>
          <w:marRight w:val="0"/>
          <w:marTop w:val="0"/>
          <w:marBottom w:val="0"/>
          <w:divBdr>
            <w:top w:val="none" w:sz="0" w:space="0" w:color="auto"/>
            <w:left w:val="none" w:sz="0" w:space="0" w:color="auto"/>
            <w:bottom w:val="none" w:sz="0" w:space="0" w:color="auto"/>
            <w:right w:val="none" w:sz="0" w:space="0" w:color="auto"/>
          </w:divBdr>
          <w:divsChild>
            <w:div w:id="17818032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06536946">
      <w:bodyDiv w:val="1"/>
      <w:marLeft w:val="0"/>
      <w:marRight w:val="0"/>
      <w:marTop w:val="0"/>
      <w:marBottom w:val="0"/>
      <w:divBdr>
        <w:top w:val="none" w:sz="0" w:space="0" w:color="auto"/>
        <w:left w:val="none" w:sz="0" w:space="0" w:color="auto"/>
        <w:bottom w:val="none" w:sz="0" w:space="0" w:color="auto"/>
        <w:right w:val="none" w:sz="0" w:space="0" w:color="auto"/>
      </w:divBdr>
      <w:divsChild>
        <w:div w:id="1048143690">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411542012">
      <w:bodyDiv w:val="1"/>
      <w:marLeft w:val="0"/>
      <w:marRight w:val="0"/>
      <w:marTop w:val="0"/>
      <w:marBottom w:val="0"/>
      <w:divBdr>
        <w:top w:val="none" w:sz="0" w:space="0" w:color="auto"/>
        <w:left w:val="none" w:sz="0" w:space="0" w:color="auto"/>
        <w:bottom w:val="none" w:sz="0" w:space="0" w:color="auto"/>
        <w:right w:val="none" w:sz="0" w:space="0" w:color="auto"/>
      </w:divBdr>
    </w:div>
    <w:div w:id="1429082195">
      <w:bodyDiv w:val="1"/>
      <w:marLeft w:val="0"/>
      <w:marRight w:val="0"/>
      <w:marTop w:val="0"/>
      <w:marBottom w:val="0"/>
      <w:divBdr>
        <w:top w:val="none" w:sz="0" w:space="0" w:color="auto"/>
        <w:left w:val="none" w:sz="0" w:space="0" w:color="auto"/>
        <w:bottom w:val="none" w:sz="0" w:space="0" w:color="auto"/>
        <w:right w:val="none" w:sz="0" w:space="0" w:color="auto"/>
      </w:divBdr>
    </w:div>
    <w:div w:id="1431119844">
      <w:bodyDiv w:val="1"/>
      <w:marLeft w:val="0"/>
      <w:marRight w:val="0"/>
      <w:marTop w:val="0"/>
      <w:marBottom w:val="0"/>
      <w:divBdr>
        <w:top w:val="none" w:sz="0" w:space="0" w:color="auto"/>
        <w:left w:val="none" w:sz="0" w:space="0" w:color="auto"/>
        <w:bottom w:val="none" w:sz="0" w:space="0" w:color="auto"/>
        <w:right w:val="none" w:sz="0" w:space="0" w:color="auto"/>
      </w:divBdr>
    </w:div>
    <w:div w:id="1461607253">
      <w:bodyDiv w:val="1"/>
      <w:marLeft w:val="0"/>
      <w:marRight w:val="0"/>
      <w:marTop w:val="0"/>
      <w:marBottom w:val="0"/>
      <w:divBdr>
        <w:top w:val="none" w:sz="0" w:space="0" w:color="auto"/>
        <w:left w:val="none" w:sz="0" w:space="0" w:color="auto"/>
        <w:bottom w:val="none" w:sz="0" w:space="0" w:color="auto"/>
        <w:right w:val="none" w:sz="0" w:space="0" w:color="auto"/>
      </w:divBdr>
    </w:div>
    <w:div w:id="1467312643">
      <w:bodyDiv w:val="1"/>
      <w:marLeft w:val="0"/>
      <w:marRight w:val="0"/>
      <w:marTop w:val="0"/>
      <w:marBottom w:val="0"/>
      <w:divBdr>
        <w:top w:val="none" w:sz="0" w:space="0" w:color="auto"/>
        <w:left w:val="none" w:sz="0" w:space="0" w:color="auto"/>
        <w:bottom w:val="none" w:sz="0" w:space="0" w:color="auto"/>
        <w:right w:val="none" w:sz="0" w:space="0" w:color="auto"/>
      </w:divBdr>
    </w:div>
    <w:div w:id="1477450162">
      <w:bodyDiv w:val="1"/>
      <w:marLeft w:val="0"/>
      <w:marRight w:val="0"/>
      <w:marTop w:val="0"/>
      <w:marBottom w:val="0"/>
      <w:divBdr>
        <w:top w:val="none" w:sz="0" w:space="0" w:color="auto"/>
        <w:left w:val="none" w:sz="0" w:space="0" w:color="auto"/>
        <w:bottom w:val="none" w:sz="0" w:space="0" w:color="auto"/>
        <w:right w:val="none" w:sz="0" w:space="0" w:color="auto"/>
      </w:divBdr>
      <w:divsChild>
        <w:div w:id="1230070133">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477843352">
      <w:bodyDiv w:val="1"/>
      <w:marLeft w:val="0"/>
      <w:marRight w:val="0"/>
      <w:marTop w:val="0"/>
      <w:marBottom w:val="0"/>
      <w:divBdr>
        <w:top w:val="none" w:sz="0" w:space="0" w:color="auto"/>
        <w:left w:val="none" w:sz="0" w:space="0" w:color="auto"/>
        <w:bottom w:val="none" w:sz="0" w:space="0" w:color="auto"/>
        <w:right w:val="none" w:sz="0" w:space="0" w:color="auto"/>
      </w:divBdr>
    </w:div>
    <w:div w:id="1484273744">
      <w:bodyDiv w:val="1"/>
      <w:marLeft w:val="0"/>
      <w:marRight w:val="0"/>
      <w:marTop w:val="0"/>
      <w:marBottom w:val="0"/>
      <w:divBdr>
        <w:top w:val="none" w:sz="0" w:space="0" w:color="auto"/>
        <w:left w:val="none" w:sz="0" w:space="0" w:color="auto"/>
        <w:bottom w:val="none" w:sz="0" w:space="0" w:color="auto"/>
        <w:right w:val="none" w:sz="0" w:space="0" w:color="auto"/>
      </w:divBdr>
      <w:divsChild>
        <w:div w:id="1967423373">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490562549">
      <w:bodyDiv w:val="1"/>
      <w:marLeft w:val="0"/>
      <w:marRight w:val="0"/>
      <w:marTop w:val="0"/>
      <w:marBottom w:val="0"/>
      <w:divBdr>
        <w:top w:val="none" w:sz="0" w:space="0" w:color="auto"/>
        <w:left w:val="none" w:sz="0" w:space="0" w:color="auto"/>
        <w:bottom w:val="none" w:sz="0" w:space="0" w:color="auto"/>
        <w:right w:val="none" w:sz="0" w:space="0" w:color="auto"/>
      </w:divBdr>
    </w:div>
    <w:div w:id="1494492941">
      <w:bodyDiv w:val="1"/>
      <w:marLeft w:val="0"/>
      <w:marRight w:val="0"/>
      <w:marTop w:val="0"/>
      <w:marBottom w:val="0"/>
      <w:divBdr>
        <w:top w:val="none" w:sz="0" w:space="0" w:color="auto"/>
        <w:left w:val="none" w:sz="0" w:space="0" w:color="auto"/>
        <w:bottom w:val="none" w:sz="0" w:space="0" w:color="auto"/>
        <w:right w:val="none" w:sz="0" w:space="0" w:color="auto"/>
      </w:divBdr>
    </w:div>
    <w:div w:id="1529177975">
      <w:bodyDiv w:val="1"/>
      <w:marLeft w:val="0"/>
      <w:marRight w:val="0"/>
      <w:marTop w:val="0"/>
      <w:marBottom w:val="0"/>
      <w:divBdr>
        <w:top w:val="none" w:sz="0" w:space="0" w:color="auto"/>
        <w:left w:val="none" w:sz="0" w:space="0" w:color="auto"/>
        <w:bottom w:val="none" w:sz="0" w:space="0" w:color="auto"/>
        <w:right w:val="none" w:sz="0" w:space="0" w:color="auto"/>
      </w:divBdr>
    </w:div>
    <w:div w:id="1559780275">
      <w:bodyDiv w:val="1"/>
      <w:marLeft w:val="0"/>
      <w:marRight w:val="0"/>
      <w:marTop w:val="0"/>
      <w:marBottom w:val="0"/>
      <w:divBdr>
        <w:top w:val="none" w:sz="0" w:space="0" w:color="auto"/>
        <w:left w:val="none" w:sz="0" w:space="0" w:color="auto"/>
        <w:bottom w:val="none" w:sz="0" w:space="0" w:color="auto"/>
        <w:right w:val="none" w:sz="0" w:space="0" w:color="auto"/>
      </w:divBdr>
    </w:div>
    <w:div w:id="1566531128">
      <w:bodyDiv w:val="1"/>
      <w:marLeft w:val="0"/>
      <w:marRight w:val="0"/>
      <w:marTop w:val="0"/>
      <w:marBottom w:val="0"/>
      <w:divBdr>
        <w:top w:val="none" w:sz="0" w:space="0" w:color="auto"/>
        <w:left w:val="none" w:sz="0" w:space="0" w:color="auto"/>
        <w:bottom w:val="none" w:sz="0" w:space="0" w:color="auto"/>
        <w:right w:val="none" w:sz="0" w:space="0" w:color="auto"/>
      </w:divBdr>
      <w:divsChild>
        <w:div w:id="934828940">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570799535">
      <w:bodyDiv w:val="1"/>
      <w:marLeft w:val="0"/>
      <w:marRight w:val="0"/>
      <w:marTop w:val="0"/>
      <w:marBottom w:val="0"/>
      <w:divBdr>
        <w:top w:val="none" w:sz="0" w:space="0" w:color="auto"/>
        <w:left w:val="none" w:sz="0" w:space="0" w:color="auto"/>
        <w:bottom w:val="none" w:sz="0" w:space="0" w:color="auto"/>
        <w:right w:val="none" w:sz="0" w:space="0" w:color="auto"/>
      </w:divBdr>
    </w:div>
    <w:div w:id="1576279155">
      <w:bodyDiv w:val="1"/>
      <w:marLeft w:val="0"/>
      <w:marRight w:val="0"/>
      <w:marTop w:val="0"/>
      <w:marBottom w:val="0"/>
      <w:divBdr>
        <w:top w:val="none" w:sz="0" w:space="0" w:color="auto"/>
        <w:left w:val="none" w:sz="0" w:space="0" w:color="auto"/>
        <w:bottom w:val="none" w:sz="0" w:space="0" w:color="auto"/>
        <w:right w:val="none" w:sz="0" w:space="0" w:color="auto"/>
      </w:divBdr>
      <w:divsChild>
        <w:div w:id="148715479">
          <w:blockQuote w:val="1"/>
          <w:marLeft w:val="720"/>
          <w:marRight w:val="720"/>
          <w:marTop w:val="100"/>
          <w:marBottom w:val="100"/>
          <w:divBdr>
            <w:top w:val="none" w:sz="0" w:space="0" w:color="auto"/>
            <w:left w:val="none" w:sz="0" w:space="0" w:color="auto"/>
            <w:bottom w:val="none" w:sz="0" w:space="0" w:color="auto"/>
            <w:right w:val="none" w:sz="0" w:space="0" w:color="auto"/>
          </w:divBdr>
        </w:div>
        <w:div w:id="175967085">
          <w:blockQuote w:val="1"/>
          <w:marLeft w:val="720"/>
          <w:marRight w:val="720"/>
          <w:marTop w:val="100"/>
          <w:marBottom w:val="100"/>
          <w:divBdr>
            <w:top w:val="none" w:sz="0" w:space="0" w:color="auto"/>
            <w:left w:val="none" w:sz="0" w:space="0" w:color="auto"/>
            <w:bottom w:val="none" w:sz="0" w:space="0" w:color="auto"/>
            <w:right w:val="none" w:sz="0" w:space="0" w:color="auto"/>
          </w:divBdr>
        </w:div>
        <w:div w:id="584070041">
          <w:blockQuote w:val="1"/>
          <w:marLeft w:val="720"/>
          <w:marRight w:val="720"/>
          <w:marTop w:val="100"/>
          <w:marBottom w:val="100"/>
          <w:divBdr>
            <w:top w:val="none" w:sz="0" w:space="0" w:color="auto"/>
            <w:left w:val="none" w:sz="0" w:space="0" w:color="auto"/>
            <w:bottom w:val="none" w:sz="0" w:space="0" w:color="auto"/>
            <w:right w:val="none" w:sz="0" w:space="0" w:color="auto"/>
          </w:divBdr>
        </w:div>
        <w:div w:id="1150485726">
          <w:blockQuote w:val="1"/>
          <w:marLeft w:val="720"/>
          <w:marRight w:val="720"/>
          <w:marTop w:val="100"/>
          <w:marBottom w:val="100"/>
          <w:divBdr>
            <w:top w:val="none" w:sz="0" w:space="0" w:color="auto"/>
            <w:left w:val="none" w:sz="0" w:space="0" w:color="auto"/>
            <w:bottom w:val="none" w:sz="0" w:space="0" w:color="auto"/>
            <w:right w:val="none" w:sz="0" w:space="0" w:color="auto"/>
          </w:divBdr>
        </w:div>
        <w:div w:id="1345595649">
          <w:blockQuote w:val="1"/>
          <w:marLeft w:val="720"/>
          <w:marRight w:val="720"/>
          <w:marTop w:val="100"/>
          <w:marBottom w:val="100"/>
          <w:divBdr>
            <w:top w:val="none" w:sz="0" w:space="0" w:color="auto"/>
            <w:left w:val="none" w:sz="0" w:space="0" w:color="auto"/>
            <w:bottom w:val="none" w:sz="0" w:space="0" w:color="auto"/>
            <w:right w:val="none" w:sz="0" w:space="0" w:color="auto"/>
          </w:divBdr>
        </w:div>
        <w:div w:id="2111469812">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583179879">
      <w:bodyDiv w:val="1"/>
      <w:marLeft w:val="0"/>
      <w:marRight w:val="0"/>
      <w:marTop w:val="0"/>
      <w:marBottom w:val="0"/>
      <w:divBdr>
        <w:top w:val="none" w:sz="0" w:space="0" w:color="auto"/>
        <w:left w:val="none" w:sz="0" w:space="0" w:color="auto"/>
        <w:bottom w:val="none" w:sz="0" w:space="0" w:color="auto"/>
        <w:right w:val="none" w:sz="0" w:space="0" w:color="auto"/>
      </w:divBdr>
    </w:div>
    <w:div w:id="1583950304">
      <w:bodyDiv w:val="1"/>
      <w:marLeft w:val="0"/>
      <w:marRight w:val="0"/>
      <w:marTop w:val="0"/>
      <w:marBottom w:val="0"/>
      <w:divBdr>
        <w:top w:val="none" w:sz="0" w:space="0" w:color="auto"/>
        <w:left w:val="none" w:sz="0" w:space="0" w:color="auto"/>
        <w:bottom w:val="none" w:sz="0" w:space="0" w:color="auto"/>
        <w:right w:val="none" w:sz="0" w:space="0" w:color="auto"/>
      </w:divBdr>
    </w:div>
    <w:div w:id="1594506985">
      <w:bodyDiv w:val="1"/>
      <w:marLeft w:val="0"/>
      <w:marRight w:val="0"/>
      <w:marTop w:val="0"/>
      <w:marBottom w:val="0"/>
      <w:divBdr>
        <w:top w:val="none" w:sz="0" w:space="0" w:color="auto"/>
        <w:left w:val="none" w:sz="0" w:space="0" w:color="auto"/>
        <w:bottom w:val="none" w:sz="0" w:space="0" w:color="auto"/>
        <w:right w:val="none" w:sz="0" w:space="0" w:color="auto"/>
      </w:divBdr>
    </w:div>
    <w:div w:id="1602103373">
      <w:bodyDiv w:val="1"/>
      <w:marLeft w:val="0"/>
      <w:marRight w:val="0"/>
      <w:marTop w:val="0"/>
      <w:marBottom w:val="0"/>
      <w:divBdr>
        <w:top w:val="none" w:sz="0" w:space="0" w:color="auto"/>
        <w:left w:val="none" w:sz="0" w:space="0" w:color="auto"/>
        <w:bottom w:val="none" w:sz="0" w:space="0" w:color="auto"/>
        <w:right w:val="none" w:sz="0" w:space="0" w:color="auto"/>
      </w:divBdr>
    </w:div>
    <w:div w:id="1611355210">
      <w:bodyDiv w:val="1"/>
      <w:marLeft w:val="0"/>
      <w:marRight w:val="0"/>
      <w:marTop w:val="0"/>
      <w:marBottom w:val="0"/>
      <w:divBdr>
        <w:top w:val="none" w:sz="0" w:space="0" w:color="auto"/>
        <w:left w:val="none" w:sz="0" w:space="0" w:color="auto"/>
        <w:bottom w:val="none" w:sz="0" w:space="0" w:color="auto"/>
        <w:right w:val="none" w:sz="0" w:space="0" w:color="auto"/>
      </w:divBdr>
    </w:div>
    <w:div w:id="1615819619">
      <w:bodyDiv w:val="1"/>
      <w:marLeft w:val="0"/>
      <w:marRight w:val="0"/>
      <w:marTop w:val="0"/>
      <w:marBottom w:val="0"/>
      <w:divBdr>
        <w:top w:val="none" w:sz="0" w:space="0" w:color="auto"/>
        <w:left w:val="none" w:sz="0" w:space="0" w:color="auto"/>
        <w:bottom w:val="none" w:sz="0" w:space="0" w:color="auto"/>
        <w:right w:val="none" w:sz="0" w:space="0" w:color="auto"/>
      </w:divBdr>
    </w:div>
    <w:div w:id="1644387297">
      <w:bodyDiv w:val="1"/>
      <w:marLeft w:val="0"/>
      <w:marRight w:val="0"/>
      <w:marTop w:val="0"/>
      <w:marBottom w:val="0"/>
      <w:divBdr>
        <w:top w:val="none" w:sz="0" w:space="0" w:color="auto"/>
        <w:left w:val="none" w:sz="0" w:space="0" w:color="auto"/>
        <w:bottom w:val="none" w:sz="0" w:space="0" w:color="auto"/>
        <w:right w:val="none" w:sz="0" w:space="0" w:color="auto"/>
      </w:divBdr>
      <w:divsChild>
        <w:div w:id="2092660579">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644388447">
      <w:bodyDiv w:val="1"/>
      <w:marLeft w:val="0"/>
      <w:marRight w:val="0"/>
      <w:marTop w:val="0"/>
      <w:marBottom w:val="0"/>
      <w:divBdr>
        <w:top w:val="none" w:sz="0" w:space="0" w:color="auto"/>
        <w:left w:val="none" w:sz="0" w:space="0" w:color="auto"/>
        <w:bottom w:val="none" w:sz="0" w:space="0" w:color="auto"/>
        <w:right w:val="none" w:sz="0" w:space="0" w:color="auto"/>
      </w:divBdr>
    </w:div>
    <w:div w:id="1644969859">
      <w:bodyDiv w:val="1"/>
      <w:marLeft w:val="0"/>
      <w:marRight w:val="0"/>
      <w:marTop w:val="0"/>
      <w:marBottom w:val="0"/>
      <w:divBdr>
        <w:top w:val="none" w:sz="0" w:space="0" w:color="auto"/>
        <w:left w:val="none" w:sz="0" w:space="0" w:color="auto"/>
        <w:bottom w:val="none" w:sz="0" w:space="0" w:color="auto"/>
        <w:right w:val="none" w:sz="0" w:space="0" w:color="auto"/>
      </w:divBdr>
      <w:divsChild>
        <w:div w:id="611862229">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668899413">
      <w:bodyDiv w:val="1"/>
      <w:marLeft w:val="0"/>
      <w:marRight w:val="0"/>
      <w:marTop w:val="0"/>
      <w:marBottom w:val="0"/>
      <w:divBdr>
        <w:top w:val="none" w:sz="0" w:space="0" w:color="auto"/>
        <w:left w:val="none" w:sz="0" w:space="0" w:color="auto"/>
        <w:bottom w:val="none" w:sz="0" w:space="0" w:color="auto"/>
        <w:right w:val="none" w:sz="0" w:space="0" w:color="auto"/>
      </w:divBdr>
    </w:div>
    <w:div w:id="1669482080">
      <w:bodyDiv w:val="1"/>
      <w:marLeft w:val="0"/>
      <w:marRight w:val="0"/>
      <w:marTop w:val="0"/>
      <w:marBottom w:val="0"/>
      <w:divBdr>
        <w:top w:val="none" w:sz="0" w:space="0" w:color="auto"/>
        <w:left w:val="none" w:sz="0" w:space="0" w:color="auto"/>
        <w:bottom w:val="none" w:sz="0" w:space="0" w:color="auto"/>
        <w:right w:val="none" w:sz="0" w:space="0" w:color="auto"/>
      </w:divBdr>
      <w:divsChild>
        <w:div w:id="448940270">
          <w:marLeft w:val="0"/>
          <w:marRight w:val="0"/>
          <w:marTop w:val="0"/>
          <w:marBottom w:val="0"/>
          <w:divBdr>
            <w:top w:val="none" w:sz="0" w:space="0" w:color="auto"/>
            <w:left w:val="none" w:sz="0" w:space="0" w:color="auto"/>
            <w:bottom w:val="none" w:sz="0" w:space="0" w:color="auto"/>
            <w:right w:val="none" w:sz="0" w:space="0" w:color="auto"/>
          </w:divBdr>
          <w:divsChild>
            <w:div w:id="1467493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32001204">
      <w:bodyDiv w:val="1"/>
      <w:marLeft w:val="0"/>
      <w:marRight w:val="0"/>
      <w:marTop w:val="0"/>
      <w:marBottom w:val="0"/>
      <w:divBdr>
        <w:top w:val="none" w:sz="0" w:space="0" w:color="auto"/>
        <w:left w:val="none" w:sz="0" w:space="0" w:color="auto"/>
        <w:bottom w:val="none" w:sz="0" w:space="0" w:color="auto"/>
        <w:right w:val="none" w:sz="0" w:space="0" w:color="auto"/>
      </w:divBdr>
      <w:divsChild>
        <w:div w:id="347028277">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739009508">
      <w:bodyDiv w:val="1"/>
      <w:marLeft w:val="0"/>
      <w:marRight w:val="0"/>
      <w:marTop w:val="0"/>
      <w:marBottom w:val="0"/>
      <w:divBdr>
        <w:top w:val="none" w:sz="0" w:space="0" w:color="auto"/>
        <w:left w:val="none" w:sz="0" w:space="0" w:color="auto"/>
        <w:bottom w:val="none" w:sz="0" w:space="0" w:color="auto"/>
        <w:right w:val="none" w:sz="0" w:space="0" w:color="auto"/>
      </w:divBdr>
    </w:div>
    <w:div w:id="1759206015">
      <w:bodyDiv w:val="1"/>
      <w:marLeft w:val="0"/>
      <w:marRight w:val="0"/>
      <w:marTop w:val="0"/>
      <w:marBottom w:val="0"/>
      <w:divBdr>
        <w:top w:val="none" w:sz="0" w:space="0" w:color="auto"/>
        <w:left w:val="none" w:sz="0" w:space="0" w:color="auto"/>
        <w:bottom w:val="none" w:sz="0" w:space="0" w:color="auto"/>
        <w:right w:val="none" w:sz="0" w:space="0" w:color="auto"/>
      </w:divBdr>
    </w:div>
    <w:div w:id="1764643149">
      <w:bodyDiv w:val="1"/>
      <w:marLeft w:val="0"/>
      <w:marRight w:val="0"/>
      <w:marTop w:val="0"/>
      <w:marBottom w:val="0"/>
      <w:divBdr>
        <w:top w:val="none" w:sz="0" w:space="0" w:color="auto"/>
        <w:left w:val="none" w:sz="0" w:space="0" w:color="auto"/>
        <w:bottom w:val="none" w:sz="0" w:space="0" w:color="auto"/>
        <w:right w:val="none" w:sz="0" w:space="0" w:color="auto"/>
      </w:divBdr>
    </w:div>
    <w:div w:id="1764911692">
      <w:bodyDiv w:val="1"/>
      <w:marLeft w:val="0"/>
      <w:marRight w:val="0"/>
      <w:marTop w:val="0"/>
      <w:marBottom w:val="0"/>
      <w:divBdr>
        <w:top w:val="none" w:sz="0" w:space="0" w:color="auto"/>
        <w:left w:val="none" w:sz="0" w:space="0" w:color="auto"/>
        <w:bottom w:val="none" w:sz="0" w:space="0" w:color="auto"/>
        <w:right w:val="none" w:sz="0" w:space="0" w:color="auto"/>
      </w:divBdr>
    </w:div>
    <w:div w:id="1765346776">
      <w:bodyDiv w:val="1"/>
      <w:marLeft w:val="0"/>
      <w:marRight w:val="0"/>
      <w:marTop w:val="0"/>
      <w:marBottom w:val="0"/>
      <w:divBdr>
        <w:top w:val="none" w:sz="0" w:space="0" w:color="auto"/>
        <w:left w:val="none" w:sz="0" w:space="0" w:color="auto"/>
        <w:bottom w:val="none" w:sz="0" w:space="0" w:color="auto"/>
        <w:right w:val="none" w:sz="0" w:space="0" w:color="auto"/>
      </w:divBdr>
    </w:div>
    <w:div w:id="1770346810">
      <w:bodyDiv w:val="1"/>
      <w:marLeft w:val="0"/>
      <w:marRight w:val="0"/>
      <w:marTop w:val="0"/>
      <w:marBottom w:val="0"/>
      <w:divBdr>
        <w:top w:val="none" w:sz="0" w:space="0" w:color="auto"/>
        <w:left w:val="none" w:sz="0" w:space="0" w:color="auto"/>
        <w:bottom w:val="none" w:sz="0" w:space="0" w:color="auto"/>
        <w:right w:val="none" w:sz="0" w:space="0" w:color="auto"/>
      </w:divBdr>
    </w:div>
    <w:div w:id="1794320884">
      <w:bodyDiv w:val="1"/>
      <w:marLeft w:val="0"/>
      <w:marRight w:val="0"/>
      <w:marTop w:val="0"/>
      <w:marBottom w:val="0"/>
      <w:divBdr>
        <w:top w:val="none" w:sz="0" w:space="0" w:color="auto"/>
        <w:left w:val="none" w:sz="0" w:space="0" w:color="auto"/>
        <w:bottom w:val="none" w:sz="0" w:space="0" w:color="auto"/>
        <w:right w:val="none" w:sz="0" w:space="0" w:color="auto"/>
      </w:divBdr>
      <w:divsChild>
        <w:div w:id="803236552">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799686898">
      <w:bodyDiv w:val="1"/>
      <w:marLeft w:val="0"/>
      <w:marRight w:val="0"/>
      <w:marTop w:val="0"/>
      <w:marBottom w:val="0"/>
      <w:divBdr>
        <w:top w:val="none" w:sz="0" w:space="0" w:color="auto"/>
        <w:left w:val="none" w:sz="0" w:space="0" w:color="auto"/>
        <w:bottom w:val="none" w:sz="0" w:space="0" w:color="auto"/>
        <w:right w:val="none" w:sz="0" w:space="0" w:color="auto"/>
      </w:divBdr>
    </w:div>
    <w:div w:id="1799835851">
      <w:bodyDiv w:val="1"/>
      <w:marLeft w:val="0"/>
      <w:marRight w:val="0"/>
      <w:marTop w:val="0"/>
      <w:marBottom w:val="0"/>
      <w:divBdr>
        <w:top w:val="none" w:sz="0" w:space="0" w:color="auto"/>
        <w:left w:val="none" w:sz="0" w:space="0" w:color="auto"/>
        <w:bottom w:val="none" w:sz="0" w:space="0" w:color="auto"/>
        <w:right w:val="none" w:sz="0" w:space="0" w:color="auto"/>
      </w:divBdr>
    </w:div>
    <w:div w:id="1806580751">
      <w:bodyDiv w:val="1"/>
      <w:marLeft w:val="0"/>
      <w:marRight w:val="0"/>
      <w:marTop w:val="0"/>
      <w:marBottom w:val="0"/>
      <w:divBdr>
        <w:top w:val="none" w:sz="0" w:space="0" w:color="auto"/>
        <w:left w:val="none" w:sz="0" w:space="0" w:color="auto"/>
        <w:bottom w:val="none" w:sz="0" w:space="0" w:color="auto"/>
        <w:right w:val="none" w:sz="0" w:space="0" w:color="auto"/>
      </w:divBdr>
    </w:div>
    <w:div w:id="1808476798">
      <w:bodyDiv w:val="1"/>
      <w:marLeft w:val="0"/>
      <w:marRight w:val="0"/>
      <w:marTop w:val="0"/>
      <w:marBottom w:val="0"/>
      <w:divBdr>
        <w:top w:val="none" w:sz="0" w:space="0" w:color="auto"/>
        <w:left w:val="none" w:sz="0" w:space="0" w:color="auto"/>
        <w:bottom w:val="none" w:sz="0" w:space="0" w:color="auto"/>
        <w:right w:val="none" w:sz="0" w:space="0" w:color="auto"/>
      </w:divBdr>
      <w:divsChild>
        <w:div w:id="1031958049">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825971314">
      <w:bodyDiv w:val="1"/>
      <w:marLeft w:val="0"/>
      <w:marRight w:val="0"/>
      <w:marTop w:val="0"/>
      <w:marBottom w:val="0"/>
      <w:divBdr>
        <w:top w:val="none" w:sz="0" w:space="0" w:color="auto"/>
        <w:left w:val="none" w:sz="0" w:space="0" w:color="auto"/>
        <w:bottom w:val="none" w:sz="0" w:space="0" w:color="auto"/>
        <w:right w:val="none" w:sz="0" w:space="0" w:color="auto"/>
      </w:divBdr>
    </w:div>
    <w:div w:id="1833445289">
      <w:bodyDiv w:val="1"/>
      <w:marLeft w:val="0"/>
      <w:marRight w:val="0"/>
      <w:marTop w:val="0"/>
      <w:marBottom w:val="0"/>
      <w:divBdr>
        <w:top w:val="none" w:sz="0" w:space="0" w:color="auto"/>
        <w:left w:val="none" w:sz="0" w:space="0" w:color="auto"/>
        <w:bottom w:val="none" w:sz="0" w:space="0" w:color="auto"/>
        <w:right w:val="none" w:sz="0" w:space="0" w:color="auto"/>
      </w:divBdr>
    </w:div>
    <w:div w:id="1834490264">
      <w:bodyDiv w:val="1"/>
      <w:marLeft w:val="0"/>
      <w:marRight w:val="0"/>
      <w:marTop w:val="0"/>
      <w:marBottom w:val="0"/>
      <w:divBdr>
        <w:top w:val="none" w:sz="0" w:space="0" w:color="auto"/>
        <w:left w:val="none" w:sz="0" w:space="0" w:color="auto"/>
        <w:bottom w:val="none" w:sz="0" w:space="0" w:color="auto"/>
        <w:right w:val="none" w:sz="0" w:space="0" w:color="auto"/>
      </w:divBdr>
      <w:divsChild>
        <w:div w:id="108550183">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840925868">
      <w:bodyDiv w:val="1"/>
      <w:marLeft w:val="0"/>
      <w:marRight w:val="0"/>
      <w:marTop w:val="0"/>
      <w:marBottom w:val="0"/>
      <w:divBdr>
        <w:top w:val="none" w:sz="0" w:space="0" w:color="auto"/>
        <w:left w:val="none" w:sz="0" w:space="0" w:color="auto"/>
        <w:bottom w:val="none" w:sz="0" w:space="0" w:color="auto"/>
        <w:right w:val="none" w:sz="0" w:space="0" w:color="auto"/>
      </w:divBdr>
    </w:div>
    <w:div w:id="1846281089">
      <w:bodyDiv w:val="1"/>
      <w:marLeft w:val="0"/>
      <w:marRight w:val="0"/>
      <w:marTop w:val="0"/>
      <w:marBottom w:val="0"/>
      <w:divBdr>
        <w:top w:val="none" w:sz="0" w:space="0" w:color="auto"/>
        <w:left w:val="none" w:sz="0" w:space="0" w:color="auto"/>
        <w:bottom w:val="none" w:sz="0" w:space="0" w:color="auto"/>
        <w:right w:val="none" w:sz="0" w:space="0" w:color="auto"/>
      </w:divBdr>
    </w:div>
    <w:div w:id="1866092568">
      <w:bodyDiv w:val="1"/>
      <w:marLeft w:val="0"/>
      <w:marRight w:val="0"/>
      <w:marTop w:val="0"/>
      <w:marBottom w:val="0"/>
      <w:divBdr>
        <w:top w:val="none" w:sz="0" w:space="0" w:color="auto"/>
        <w:left w:val="none" w:sz="0" w:space="0" w:color="auto"/>
        <w:bottom w:val="none" w:sz="0" w:space="0" w:color="auto"/>
        <w:right w:val="none" w:sz="0" w:space="0" w:color="auto"/>
      </w:divBdr>
    </w:div>
    <w:div w:id="1870483308">
      <w:bodyDiv w:val="1"/>
      <w:marLeft w:val="0"/>
      <w:marRight w:val="0"/>
      <w:marTop w:val="0"/>
      <w:marBottom w:val="0"/>
      <w:divBdr>
        <w:top w:val="none" w:sz="0" w:space="0" w:color="auto"/>
        <w:left w:val="none" w:sz="0" w:space="0" w:color="auto"/>
        <w:bottom w:val="none" w:sz="0" w:space="0" w:color="auto"/>
        <w:right w:val="none" w:sz="0" w:space="0" w:color="auto"/>
      </w:divBdr>
    </w:div>
    <w:div w:id="1870754287">
      <w:bodyDiv w:val="1"/>
      <w:marLeft w:val="0"/>
      <w:marRight w:val="0"/>
      <w:marTop w:val="0"/>
      <w:marBottom w:val="0"/>
      <w:divBdr>
        <w:top w:val="none" w:sz="0" w:space="0" w:color="auto"/>
        <w:left w:val="none" w:sz="0" w:space="0" w:color="auto"/>
        <w:bottom w:val="none" w:sz="0" w:space="0" w:color="auto"/>
        <w:right w:val="none" w:sz="0" w:space="0" w:color="auto"/>
      </w:divBdr>
    </w:div>
    <w:div w:id="1875264011">
      <w:bodyDiv w:val="1"/>
      <w:marLeft w:val="0"/>
      <w:marRight w:val="0"/>
      <w:marTop w:val="0"/>
      <w:marBottom w:val="0"/>
      <w:divBdr>
        <w:top w:val="none" w:sz="0" w:space="0" w:color="auto"/>
        <w:left w:val="none" w:sz="0" w:space="0" w:color="auto"/>
        <w:bottom w:val="none" w:sz="0" w:space="0" w:color="auto"/>
        <w:right w:val="none" w:sz="0" w:space="0" w:color="auto"/>
      </w:divBdr>
    </w:div>
    <w:div w:id="1926643830">
      <w:bodyDiv w:val="1"/>
      <w:marLeft w:val="0"/>
      <w:marRight w:val="0"/>
      <w:marTop w:val="0"/>
      <w:marBottom w:val="0"/>
      <w:divBdr>
        <w:top w:val="none" w:sz="0" w:space="0" w:color="auto"/>
        <w:left w:val="none" w:sz="0" w:space="0" w:color="auto"/>
        <w:bottom w:val="none" w:sz="0" w:space="0" w:color="auto"/>
        <w:right w:val="none" w:sz="0" w:space="0" w:color="auto"/>
      </w:divBdr>
    </w:div>
    <w:div w:id="1935165362">
      <w:bodyDiv w:val="1"/>
      <w:marLeft w:val="0"/>
      <w:marRight w:val="0"/>
      <w:marTop w:val="0"/>
      <w:marBottom w:val="0"/>
      <w:divBdr>
        <w:top w:val="none" w:sz="0" w:space="0" w:color="auto"/>
        <w:left w:val="none" w:sz="0" w:space="0" w:color="auto"/>
        <w:bottom w:val="none" w:sz="0" w:space="0" w:color="auto"/>
        <w:right w:val="none" w:sz="0" w:space="0" w:color="auto"/>
      </w:divBdr>
    </w:div>
    <w:div w:id="1942838443">
      <w:bodyDiv w:val="1"/>
      <w:marLeft w:val="0"/>
      <w:marRight w:val="0"/>
      <w:marTop w:val="0"/>
      <w:marBottom w:val="0"/>
      <w:divBdr>
        <w:top w:val="none" w:sz="0" w:space="0" w:color="auto"/>
        <w:left w:val="none" w:sz="0" w:space="0" w:color="auto"/>
        <w:bottom w:val="none" w:sz="0" w:space="0" w:color="auto"/>
        <w:right w:val="none" w:sz="0" w:space="0" w:color="auto"/>
      </w:divBdr>
    </w:div>
    <w:div w:id="1950119294">
      <w:bodyDiv w:val="1"/>
      <w:marLeft w:val="0"/>
      <w:marRight w:val="0"/>
      <w:marTop w:val="0"/>
      <w:marBottom w:val="0"/>
      <w:divBdr>
        <w:top w:val="none" w:sz="0" w:space="0" w:color="auto"/>
        <w:left w:val="none" w:sz="0" w:space="0" w:color="auto"/>
        <w:bottom w:val="none" w:sz="0" w:space="0" w:color="auto"/>
        <w:right w:val="none" w:sz="0" w:space="0" w:color="auto"/>
      </w:divBdr>
    </w:div>
    <w:div w:id="2000379651">
      <w:bodyDiv w:val="1"/>
      <w:marLeft w:val="0"/>
      <w:marRight w:val="0"/>
      <w:marTop w:val="0"/>
      <w:marBottom w:val="0"/>
      <w:divBdr>
        <w:top w:val="none" w:sz="0" w:space="0" w:color="auto"/>
        <w:left w:val="none" w:sz="0" w:space="0" w:color="auto"/>
        <w:bottom w:val="none" w:sz="0" w:space="0" w:color="auto"/>
        <w:right w:val="none" w:sz="0" w:space="0" w:color="auto"/>
      </w:divBdr>
    </w:div>
    <w:div w:id="2002538629">
      <w:bodyDiv w:val="1"/>
      <w:marLeft w:val="0"/>
      <w:marRight w:val="0"/>
      <w:marTop w:val="0"/>
      <w:marBottom w:val="0"/>
      <w:divBdr>
        <w:top w:val="none" w:sz="0" w:space="0" w:color="auto"/>
        <w:left w:val="none" w:sz="0" w:space="0" w:color="auto"/>
        <w:bottom w:val="none" w:sz="0" w:space="0" w:color="auto"/>
        <w:right w:val="none" w:sz="0" w:space="0" w:color="auto"/>
      </w:divBdr>
    </w:div>
    <w:div w:id="2007201579">
      <w:bodyDiv w:val="1"/>
      <w:marLeft w:val="0"/>
      <w:marRight w:val="0"/>
      <w:marTop w:val="0"/>
      <w:marBottom w:val="0"/>
      <w:divBdr>
        <w:top w:val="none" w:sz="0" w:space="0" w:color="auto"/>
        <w:left w:val="none" w:sz="0" w:space="0" w:color="auto"/>
        <w:bottom w:val="none" w:sz="0" w:space="0" w:color="auto"/>
        <w:right w:val="none" w:sz="0" w:space="0" w:color="auto"/>
      </w:divBdr>
    </w:div>
    <w:div w:id="2012103184">
      <w:bodyDiv w:val="1"/>
      <w:marLeft w:val="0"/>
      <w:marRight w:val="0"/>
      <w:marTop w:val="0"/>
      <w:marBottom w:val="0"/>
      <w:divBdr>
        <w:top w:val="none" w:sz="0" w:space="0" w:color="auto"/>
        <w:left w:val="none" w:sz="0" w:space="0" w:color="auto"/>
        <w:bottom w:val="none" w:sz="0" w:space="0" w:color="auto"/>
        <w:right w:val="none" w:sz="0" w:space="0" w:color="auto"/>
      </w:divBdr>
      <w:divsChild>
        <w:div w:id="1034692621">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2041197456">
      <w:bodyDiv w:val="1"/>
      <w:marLeft w:val="0"/>
      <w:marRight w:val="0"/>
      <w:marTop w:val="0"/>
      <w:marBottom w:val="0"/>
      <w:divBdr>
        <w:top w:val="none" w:sz="0" w:space="0" w:color="auto"/>
        <w:left w:val="none" w:sz="0" w:space="0" w:color="auto"/>
        <w:bottom w:val="none" w:sz="0" w:space="0" w:color="auto"/>
        <w:right w:val="none" w:sz="0" w:space="0" w:color="auto"/>
      </w:divBdr>
    </w:div>
    <w:div w:id="2086565959">
      <w:bodyDiv w:val="1"/>
      <w:marLeft w:val="0"/>
      <w:marRight w:val="0"/>
      <w:marTop w:val="0"/>
      <w:marBottom w:val="0"/>
      <w:divBdr>
        <w:top w:val="none" w:sz="0" w:space="0" w:color="auto"/>
        <w:left w:val="none" w:sz="0" w:space="0" w:color="auto"/>
        <w:bottom w:val="none" w:sz="0" w:space="0" w:color="auto"/>
        <w:right w:val="none" w:sz="0" w:space="0" w:color="auto"/>
      </w:divBdr>
    </w:div>
    <w:div w:id="2089841071">
      <w:bodyDiv w:val="1"/>
      <w:marLeft w:val="0"/>
      <w:marRight w:val="0"/>
      <w:marTop w:val="0"/>
      <w:marBottom w:val="0"/>
      <w:divBdr>
        <w:top w:val="none" w:sz="0" w:space="0" w:color="auto"/>
        <w:left w:val="none" w:sz="0" w:space="0" w:color="auto"/>
        <w:bottom w:val="none" w:sz="0" w:space="0" w:color="auto"/>
        <w:right w:val="none" w:sz="0" w:space="0" w:color="auto"/>
      </w:divBdr>
    </w:div>
    <w:div w:id="2113740333">
      <w:bodyDiv w:val="1"/>
      <w:marLeft w:val="0"/>
      <w:marRight w:val="0"/>
      <w:marTop w:val="0"/>
      <w:marBottom w:val="0"/>
      <w:divBdr>
        <w:top w:val="none" w:sz="0" w:space="0" w:color="auto"/>
        <w:left w:val="none" w:sz="0" w:space="0" w:color="auto"/>
        <w:bottom w:val="none" w:sz="0" w:space="0" w:color="auto"/>
        <w:right w:val="none" w:sz="0" w:space="0" w:color="auto"/>
      </w:divBdr>
    </w:div>
    <w:div w:id="2129083532">
      <w:bodyDiv w:val="1"/>
      <w:marLeft w:val="0"/>
      <w:marRight w:val="0"/>
      <w:marTop w:val="0"/>
      <w:marBottom w:val="0"/>
      <w:divBdr>
        <w:top w:val="none" w:sz="0" w:space="0" w:color="auto"/>
        <w:left w:val="none" w:sz="0" w:space="0" w:color="auto"/>
        <w:bottom w:val="none" w:sz="0" w:space="0" w:color="auto"/>
        <w:right w:val="none" w:sz="0" w:space="0" w:color="auto"/>
      </w:divBdr>
    </w:div>
    <w:div w:id="2131195076">
      <w:bodyDiv w:val="1"/>
      <w:marLeft w:val="0"/>
      <w:marRight w:val="0"/>
      <w:marTop w:val="0"/>
      <w:marBottom w:val="0"/>
      <w:divBdr>
        <w:top w:val="none" w:sz="0" w:space="0" w:color="auto"/>
        <w:left w:val="none" w:sz="0" w:space="0" w:color="auto"/>
        <w:bottom w:val="none" w:sz="0" w:space="0" w:color="auto"/>
        <w:right w:val="none" w:sz="0" w:space="0" w:color="auto"/>
      </w:divBdr>
    </w:div>
    <w:div w:id="2135979150">
      <w:bodyDiv w:val="1"/>
      <w:marLeft w:val="0"/>
      <w:marRight w:val="0"/>
      <w:marTop w:val="0"/>
      <w:marBottom w:val="0"/>
      <w:divBdr>
        <w:top w:val="none" w:sz="0" w:space="0" w:color="auto"/>
        <w:left w:val="none" w:sz="0" w:space="0" w:color="auto"/>
        <w:bottom w:val="none" w:sz="0" w:space="0" w:color="auto"/>
        <w:right w:val="none" w:sz="0" w:space="0" w:color="auto"/>
      </w:divBdr>
    </w:div>
    <w:div w:id="2143688043">
      <w:bodyDiv w:val="1"/>
      <w:marLeft w:val="0"/>
      <w:marRight w:val="0"/>
      <w:marTop w:val="0"/>
      <w:marBottom w:val="0"/>
      <w:divBdr>
        <w:top w:val="none" w:sz="0" w:space="0" w:color="auto"/>
        <w:left w:val="none" w:sz="0" w:space="0" w:color="auto"/>
        <w:bottom w:val="none" w:sz="0" w:space="0" w:color="auto"/>
        <w:right w:val="none" w:sz="0" w:space="0" w:color="auto"/>
      </w:divBdr>
    </w:div>
    <w:div w:id="214650517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glossaryDocument" Target="glossary/document.xml"/></Relationships>
</file>

<file path=word/_rels/footer1.xml.rels><?xml version="1.0" encoding="UTF-8" standalone="yes"?>
<Relationships xmlns="http://schemas.openxmlformats.org/package/2006/relationships"><Relationship Id="rId2" Type="http://schemas.openxmlformats.org/officeDocument/2006/relationships/hyperlink" Target="http://www.cyberartspro.com" TargetMode="External"/><Relationship Id="rId1" Type="http://schemas.openxmlformats.org/officeDocument/2006/relationships/image" Target="media/image2.png"/></Relationships>
</file>

<file path=word/_rels/footer2.xml.rels><?xml version="1.0" encoding="UTF-8" standalone="yes"?>
<Relationships xmlns="http://schemas.openxmlformats.org/package/2006/relationships"><Relationship Id="rId2" Type="http://schemas.openxmlformats.org/officeDocument/2006/relationships/hyperlink" Target="http://www.cyberartspro.com" TargetMode="External"/><Relationship Id="rId1" Type="http://schemas.openxmlformats.org/officeDocument/2006/relationships/image" Target="media/image2.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6E0C64F6E86045FAA7B5DF2636BF8871"/>
        <w:category>
          <w:name w:val="General"/>
          <w:gallery w:val="placeholder"/>
        </w:category>
        <w:types>
          <w:type w:val="bbPlcHdr"/>
        </w:types>
        <w:behaviors>
          <w:behavior w:val="content"/>
        </w:behaviors>
        <w:guid w:val="{CBEEBF21-F30B-4B8A-8F84-5354608B7FFD}"/>
      </w:docPartPr>
      <w:docPartBody>
        <w:p w:rsidR="00000000" w:rsidRDefault="006D4EA6" w:rsidP="006D4EA6">
          <w:pPr>
            <w:pStyle w:val="6E0C64F6E86045FAA7B5DF2636BF8871"/>
          </w:pPr>
          <w:r>
            <w:t>[Type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D4EA6"/>
    <w:rsid w:val="006D4EA6"/>
    <w:rsid w:val="00784C37"/>
    <w:rsid w:val="00F12797"/>
  </w:rsids>
  <m:mathPr>
    <m:mathFont m:val="Cambria Math"/>
    <m:brkBin m:val="before"/>
    <m:brkBinSub m:val="--"/>
    <m:smallFrac m:val="0"/>
    <m:dispDef/>
    <m:lMargin m:val="0"/>
    <m:rMargin m:val="0"/>
    <m:defJc m:val="centerGroup"/>
    <m:wrapIndent m:val="1440"/>
    <m:intLim m:val="subSup"/>
    <m:naryLim m:val="undOvr"/>
  </m:mathPr>
  <w:themeFontLang w:val="tr-TR"/>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tr-TR" w:eastAsia="tr-TR"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D4EA6"/>
    <w:rPr>
      <w:rFonts w:cs="Times New Roman"/>
      <w:sz w:val="3276"/>
      <w:szCs w:val="3276"/>
    </w:rPr>
  </w:style>
  <w:style w:type="character" w:default="1" w:styleId="DefaultParagraphFont">
    <w:name w:val="Default Paragraph Font"/>
    <w:uiPriority w:val="1"/>
    <w:semiHidden/>
    <w:unhideWhenUsed/>
    <w:rsid w:val="006D4EA6"/>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6E0C64F6E86045FAA7B5DF2636BF8871">
    <w:name w:val="6E0C64F6E86045FAA7B5DF2636BF8871"/>
    <w:rsid w:val="006D4EA6"/>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Calibri" panose="020F05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E1415DE-3EAD-43D5-A49A-09D3BA701BD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Template_v2.dotx</Template>
  <TotalTime>7</TotalTime>
  <Pages>33</Pages>
  <Words>13648</Words>
  <Characters>77797</Characters>
  <Application>Microsoft Office Word</Application>
  <DocSecurity>0</DocSecurity>
  <Lines>648</Lines>
  <Paragraphs>182</Paragraphs>
  <ScaleCrop>false</ScaleCrop>
  <Company/>
  <LinksUpToDate>false</LinksUpToDate>
  <CharactersWithSpaces>91263</CharactersWithSpaces>
  <SharedDoc>false</SharedDoc>
  <HLinks>
    <vt:vector size="270" baseType="variant">
      <vt:variant>
        <vt:i4>1310783</vt:i4>
      </vt:variant>
      <vt:variant>
        <vt:i4>266</vt:i4>
      </vt:variant>
      <vt:variant>
        <vt:i4>0</vt:i4>
      </vt:variant>
      <vt:variant>
        <vt:i4>5</vt:i4>
      </vt:variant>
      <vt:variant>
        <vt:lpwstr/>
      </vt:variant>
      <vt:variant>
        <vt:lpwstr>_Toc197891039</vt:lpwstr>
      </vt:variant>
      <vt:variant>
        <vt:i4>1310783</vt:i4>
      </vt:variant>
      <vt:variant>
        <vt:i4>260</vt:i4>
      </vt:variant>
      <vt:variant>
        <vt:i4>0</vt:i4>
      </vt:variant>
      <vt:variant>
        <vt:i4>5</vt:i4>
      </vt:variant>
      <vt:variant>
        <vt:lpwstr/>
      </vt:variant>
      <vt:variant>
        <vt:lpwstr>_Toc197891038</vt:lpwstr>
      </vt:variant>
      <vt:variant>
        <vt:i4>1310783</vt:i4>
      </vt:variant>
      <vt:variant>
        <vt:i4>254</vt:i4>
      </vt:variant>
      <vt:variant>
        <vt:i4>0</vt:i4>
      </vt:variant>
      <vt:variant>
        <vt:i4>5</vt:i4>
      </vt:variant>
      <vt:variant>
        <vt:lpwstr/>
      </vt:variant>
      <vt:variant>
        <vt:lpwstr>_Toc197891037</vt:lpwstr>
      </vt:variant>
      <vt:variant>
        <vt:i4>1310783</vt:i4>
      </vt:variant>
      <vt:variant>
        <vt:i4>248</vt:i4>
      </vt:variant>
      <vt:variant>
        <vt:i4>0</vt:i4>
      </vt:variant>
      <vt:variant>
        <vt:i4>5</vt:i4>
      </vt:variant>
      <vt:variant>
        <vt:lpwstr/>
      </vt:variant>
      <vt:variant>
        <vt:lpwstr>_Toc197891036</vt:lpwstr>
      </vt:variant>
      <vt:variant>
        <vt:i4>1310783</vt:i4>
      </vt:variant>
      <vt:variant>
        <vt:i4>242</vt:i4>
      </vt:variant>
      <vt:variant>
        <vt:i4>0</vt:i4>
      </vt:variant>
      <vt:variant>
        <vt:i4>5</vt:i4>
      </vt:variant>
      <vt:variant>
        <vt:lpwstr/>
      </vt:variant>
      <vt:variant>
        <vt:lpwstr>_Toc197891035</vt:lpwstr>
      </vt:variant>
      <vt:variant>
        <vt:i4>1310783</vt:i4>
      </vt:variant>
      <vt:variant>
        <vt:i4>236</vt:i4>
      </vt:variant>
      <vt:variant>
        <vt:i4>0</vt:i4>
      </vt:variant>
      <vt:variant>
        <vt:i4>5</vt:i4>
      </vt:variant>
      <vt:variant>
        <vt:lpwstr/>
      </vt:variant>
      <vt:variant>
        <vt:lpwstr>_Toc197891034</vt:lpwstr>
      </vt:variant>
      <vt:variant>
        <vt:i4>1310783</vt:i4>
      </vt:variant>
      <vt:variant>
        <vt:i4>230</vt:i4>
      </vt:variant>
      <vt:variant>
        <vt:i4>0</vt:i4>
      </vt:variant>
      <vt:variant>
        <vt:i4>5</vt:i4>
      </vt:variant>
      <vt:variant>
        <vt:lpwstr/>
      </vt:variant>
      <vt:variant>
        <vt:lpwstr>_Toc197891033</vt:lpwstr>
      </vt:variant>
      <vt:variant>
        <vt:i4>1310783</vt:i4>
      </vt:variant>
      <vt:variant>
        <vt:i4>224</vt:i4>
      </vt:variant>
      <vt:variant>
        <vt:i4>0</vt:i4>
      </vt:variant>
      <vt:variant>
        <vt:i4>5</vt:i4>
      </vt:variant>
      <vt:variant>
        <vt:lpwstr/>
      </vt:variant>
      <vt:variant>
        <vt:lpwstr>_Toc197891032</vt:lpwstr>
      </vt:variant>
      <vt:variant>
        <vt:i4>1310783</vt:i4>
      </vt:variant>
      <vt:variant>
        <vt:i4>218</vt:i4>
      </vt:variant>
      <vt:variant>
        <vt:i4>0</vt:i4>
      </vt:variant>
      <vt:variant>
        <vt:i4>5</vt:i4>
      </vt:variant>
      <vt:variant>
        <vt:lpwstr/>
      </vt:variant>
      <vt:variant>
        <vt:lpwstr>_Toc197891031</vt:lpwstr>
      </vt:variant>
      <vt:variant>
        <vt:i4>1310783</vt:i4>
      </vt:variant>
      <vt:variant>
        <vt:i4>212</vt:i4>
      </vt:variant>
      <vt:variant>
        <vt:i4>0</vt:i4>
      </vt:variant>
      <vt:variant>
        <vt:i4>5</vt:i4>
      </vt:variant>
      <vt:variant>
        <vt:lpwstr/>
      </vt:variant>
      <vt:variant>
        <vt:lpwstr>_Toc197891030</vt:lpwstr>
      </vt:variant>
      <vt:variant>
        <vt:i4>1376319</vt:i4>
      </vt:variant>
      <vt:variant>
        <vt:i4>206</vt:i4>
      </vt:variant>
      <vt:variant>
        <vt:i4>0</vt:i4>
      </vt:variant>
      <vt:variant>
        <vt:i4>5</vt:i4>
      </vt:variant>
      <vt:variant>
        <vt:lpwstr/>
      </vt:variant>
      <vt:variant>
        <vt:lpwstr>_Toc197891029</vt:lpwstr>
      </vt:variant>
      <vt:variant>
        <vt:i4>1376319</vt:i4>
      </vt:variant>
      <vt:variant>
        <vt:i4>200</vt:i4>
      </vt:variant>
      <vt:variant>
        <vt:i4>0</vt:i4>
      </vt:variant>
      <vt:variant>
        <vt:i4>5</vt:i4>
      </vt:variant>
      <vt:variant>
        <vt:lpwstr/>
      </vt:variant>
      <vt:variant>
        <vt:lpwstr>_Toc197891028</vt:lpwstr>
      </vt:variant>
      <vt:variant>
        <vt:i4>1376319</vt:i4>
      </vt:variant>
      <vt:variant>
        <vt:i4>194</vt:i4>
      </vt:variant>
      <vt:variant>
        <vt:i4>0</vt:i4>
      </vt:variant>
      <vt:variant>
        <vt:i4>5</vt:i4>
      </vt:variant>
      <vt:variant>
        <vt:lpwstr/>
      </vt:variant>
      <vt:variant>
        <vt:lpwstr>_Toc197891027</vt:lpwstr>
      </vt:variant>
      <vt:variant>
        <vt:i4>1376319</vt:i4>
      </vt:variant>
      <vt:variant>
        <vt:i4>188</vt:i4>
      </vt:variant>
      <vt:variant>
        <vt:i4>0</vt:i4>
      </vt:variant>
      <vt:variant>
        <vt:i4>5</vt:i4>
      </vt:variant>
      <vt:variant>
        <vt:lpwstr/>
      </vt:variant>
      <vt:variant>
        <vt:lpwstr>_Toc197891026</vt:lpwstr>
      </vt:variant>
      <vt:variant>
        <vt:i4>1376319</vt:i4>
      </vt:variant>
      <vt:variant>
        <vt:i4>182</vt:i4>
      </vt:variant>
      <vt:variant>
        <vt:i4>0</vt:i4>
      </vt:variant>
      <vt:variant>
        <vt:i4>5</vt:i4>
      </vt:variant>
      <vt:variant>
        <vt:lpwstr/>
      </vt:variant>
      <vt:variant>
        <vt:lpwstr>_Toc197891025</vt:lpwstr>
      </vt:variant>
      <vt:variant>
        <vt:i4>1376319</vt:i4>
      </vt:variant>
      <vt:variant>
        <vt:i4>176</vt:i4>
      </vt:variant>
      <vt:variant>
        <vt:i4>0</vt:i4>
      </vt:variant>
      <vt:variant>
        <vt:i4>5</vt:i4>
      </vt:variant>
      <vt:variant>
        <vt:lpwstr/>
      </vt:variant>
      <vt:variant>
        <vt:lpwstr>_Toc197891024</vt:lpwstr>
      </vt:variant>
      <vt:variant>
        <vt:i4>1376319</vt:i4>
      </vt:variant>
      <vt:variant>
        <vt:i4>170</vt:i4>
      </vt:variant>
      <vt:variant>
        <vt:i4>0</vt:i4>
      </vt:variant>
      <vt:variant>
        <vt:i4>5</vt:i4>
      </vt:variant>
      <vt:variant>
        <vt:lpwstr/>
      </vt:variant>
      <vt:variant>
        <vt:lpwstr>_Toc197891023</vt:lpwstr>
      </vt:variant>
      <vt:variant>
        <vt:i4>1376319</vt:i4>
      </vt:variant>
      <vt:variant>
        <vt:i4>164</vt:i4>
      </vt:variant>
      <vt:variant>
        <vt:i4>0</vt:i4>
      </vt:variant>
      <vt:variant>
        <vt:i4>5</vt:i4>
      </vt:variant>
      <vt:variant>
        <vt:lpwstr/>
      </vt:variant>
      <vt:variant>
        <vt:lpwstr>_Toc197891022</vt:lpwstr>
      </vt:variant>
      <vt:variant>
        <vt:i4>1376319</vt:i4>
      </vt:variant>
      <vt:variant>
        <vt:i4>158</vt:i4>
      </vt:variant>
      <vt:variant>
        <vt:i4>0</vt:i4>
      </vt:variant>
      <vt:variant>
        <vt:i4>5</vt:i4>
      </vt:variant>
      <vt:variant>
        <vt:lpwstr/>
      </vt:variant>
      <vt:variant>
        <vt:lpwstr>_Toc197891021</vt:lpwstr>
      </vt:variant>
      <vt:variant>
        <vt:i4>1376319</vt:i4>
      </vt:variant>
      <vt:variant>
        <vt:i4>152</vt:i4>
      </vt:variant>
      <vt:variant>
        <vt:i4>0</vt:i4>
      </vt:variant>
      <vt:variant>
        <vt:i4>5</vt:i4>
      </vt:variant>
      <vt:variant>
        <vt:lpwstr/>
      </vt:variant>
      <vt:variant>
        <vt:lpwstr>_Toc197891020</vt:lpwstr>
      </vt:variant>
      <vt:variant>
        <vt:i4>1441855</vt:i4>
      </vt:variant>
      <vt:variant>
        <vt:i4>146</vt:i4>
      </vt:variant>
      <vt:variant>
        <vt:i4>0</vt:i4>
      </vt:variant>
      <vt:variant>
        <vt:i4>5</vt:i4>
      </vt:variant>
      <vt:variant>
        <vt:lpwstr/>
      </vt:variant>
      <vt:variant>
        <vt:lpwstr>_Toc197891019</vt:lpwstr>
      </vt:variant>
      <vt:variant>
        <vt:i4>1441855</vt:i4>
      </vt:variant>
      <vt:variant>
        <vt:i4>140</vt:i4>
      </vt:variant>
      <vt:variant>
        <vt:i4>0</vt:i4>
      </vt:variant>
      <vt:variant>
        <vt:i4>5</vt:i4>
      </vt:variant>
      <vt:variant>
        <vt:lpwstr/>
      </vt:variant>
      <vt:variant>
        <vt:lpwstr>_Toc197891018</vt:lpwstr>
      </vt:variant>
      <vt:variant>
        <vt:i4>1441855</vt:i4>
      </vt:variant>
      <vt:variant>
        <vt:i4>134</vt:i4>
      </vt:variant>
      <vt:variant>
        <vt:i4>0</vt:i4>
      </vt:variant>
      <vt:variant>
        <vt:i4>5</vt:i4>
      </vt:variant>
      <vt:variant>
        <vt:lpwstr/>
      </vt:variant>
      <vt:variant>
        <vt:lpwstr>_Toc197891017</vt:lpwstr>
      </vt:variant>
      <vt:variant>
        <vt:i4>1441855</vt:i4>
      </vt:variant>
      <vt:variant>
        <vt:i4>128</vt:i4>
      </vt:variant>
      <vt:variant>
        <vt:i4>0</vt:i4>
      </vt:variant>
      <vt:variant>
        <vt:i4>5</vt:i4>
      </vt:variant>
      <vt:variant>
        <vt:lpwstr/>
      </vt:variant>
      <vt:variant>
        <vt:lpwstr>_Toc197891016</vt:lpwstr>
      </vt:variant>
      <vt:variant>
        <vt:i4>1441855</vt:i4>
      </vt:variant>
      <vt:variant>
        <vt:i4>122</vt:i4>
      </vt:variant>
      <vt:variant>
        <vt:i4>0</vt:i4>
      </vt:variant>
      <vt:variant>
        <vt:i4>5</vt:i4>
      </vt:variant>
      <vt:variant>
        <vt:lpwstr/>
      </vt:variant>
      <vt:variant>
        <vt:lpwstr>_Toc197891015</vt:lpwstr>
      </vt:variant>
      <vt:variant>
        <vt:i4>1441855</vt:i4>
      </vt:variant>
      <vt:variant>
        <vt:i4>116</vt:i4>
      </vt:variant>
      <vt:variant>
        <vt:i4>0</vt:i4>
      </vt:variant>
      <vt:variant>
        <vt:i4>5</vt:i4>
      </vt:variant>
      <vt:variant>
        <vt:lpwstr/>
      </vt:variant>
      <vt:variant>
        <vt:lpwstr>_Toc197891014</vt:lpwstr>
      </vt:variant>
      <vt:variant>
        <vt:i4>1441855</vt:i4>
      </vt:variant>
      <vt:variant>
        <vt:i4>110</vt:i4>
      </vt:variant>
      <vt:variant>
        <vt:i4>0</vt:i4>
      </vt:variant>
      <vt:variant>
        <vt:i4>5</vt:i4>
      </vt:variant>
      <vt:variant>
        <vt:lpwstr/>
      </vt:variant>
      <vt:variant>
        <vt:lpwstr>_Toc197891013</vt:lpwstr>
      </vt:variant>
      <vt:variant>
        <vt:i4>1441855</vt:i4>
      </vt:variant>
      <vt:variant>
        <vt:i4>104</vt:i4>
      </vt:variant>
      <vt:variant>
        <vt:i4>0</vt:i4>
      </vt:variant>
      <vt:variant>
        <vt:i4>5</vt:i4>
      </vt:variant>
      <vt:variant>
        <vt:lpwstr/>
      </vt:variant>
      <vt:variant>
        <vt:lpwstr>_Toc197891012</vt:lpwstr>
      </vt:variant>
      <vt:variant>
        <vt:i4>1441855</vt:i4>
      </vt:variant>
      <vt:variant>
        <vt:i4>98</vt:i4>
      </vt:variant>
      <vt:variant>
        <vt:i4>0</vt:i4>
      </vt:variant>
      <vt:variant>
        <vt:i4>5</vt:i4>
      </vt:variant>
      <vt:variant>
        <vt:lpwstr/>
      </vt:variant>
      <vt:variant>
        <vt:lpwstr>_Toc197891011</vt:lpwstr>
      </vt:variant>
      <vt:variant>
        <vt:i4>1441855</vt:i4>
      </vt:variant>
      <vt:variant>
        <vt:i4>92</vt:i4>
      </vt:variant>
      <vt:variant>
        <vt:i4>0</vt:i4>
      </vt:variant>
      <vt:variant>
        <vt:i4>5</vt:i4>
      </vt:variant>
      <vt:variant>
        <vt:lpwstr/>
      </vt:variant>
      <vt:variant>
        <vt:lpwstr>_Toc197891010</vt:lpwstr>
      </vt:variant>
      <vt:variant>
        <vt:i4>1507391</vt:i4>
      </vt:variant>
      <vt:variant>
        <vt:i4>86</vt:i4>
      </vt:variant>
      <vt:variant>
        <vt:i4>0</vt:i4>
      </vt:variant>
      <vt:variant>
        <vt:i4>5</vt:i4>
      </vt:variant>
      <vt:variant>
        <vt:lpwstr/>
      </vt:variant>
      <vt:variant>
        <vt:lpwstr>_Toc197891009</vt:lpwstr>
      </vt:variant>
      <vt:variant>
        <vt:i4>1507391</vt:i4>
      </vt:variant>
      <vt:variant>
        <vt:i4>80</vt:i4>
      </vt:variant>
      <vt:variant>
        <vt:i4>0</vt:i4>
      </vt:variant>
      <vt:variant>
        <vt:i4>5</vt:i4>
      </vt:variant>
      <vt:variant>
        <vt:lpwstr/>
      </vt:variant>
      <vt:variant>
        <vt:lpwstr>_Toc197891008</vt:lpwstr>
      </vt:variant>
      <vt:variant>
        <vt:i4>1507391</vt:i4>
      </vt:variant>
      <vt:variant>
        <vt:i4>74</vt:i4>
      </vt:variant>
      <vt:variant>
        <vt:i4>0</vt:i4>
      </vt:variant>
      <vt:variant>
        <vt:i4>5</vt:i4>
      </vt:variant>
      <vt:variant>
        <vt:lpwstr/>
      </vt:variant>
      <vt:variant>
        <vt:lpwstr>_Toc197891007</vt:lpwstr>
      </vt:variant>
      <vt:variant>
        <vt:i4>1507391</vt:i4>
      </vt:variant>
      <vt:variant>
        <vt:i4>68</vt:i4>
      </vt:variant>
      <vt:variant>
        <vt:i4>0</vt:i4>
      </vt:variant>
      <vt:variant>
        <vt:i4>5</vt:i4>
      </vt:variant>
      <vt:variant>
        <vt:lpwstr/>
      </vt:variant>
      <vt:variant>
        <vt:lpwstr>_Toc197891006</vt:lpwstr>
      </vt:variant>
      <vt:variant>
        <vt:i4>1507391</vt:i4>
      </vt:variant>
      <vt:variant>
        <vt:i4>62</vt:i4>
      </vt:variant>
      <vt:variant>
        <vt:i4>0</vt:i4>
      </vt:variant>
      <vt:variant>
        <vt:i4>5</vt:i4>
      </vt:variant>
      <vt:variant>
        <vt:lpwstr/>
      </vt:variant>
      <vt:variant>
        <vt:lpwstr>_Toc197891005</vt:lpwstr>
      </vt:variant>
      <vt:variant>
        <vt:i4>1507391</vt:i4>
      </vt:variant>
      <vt:variant>
        <vt:i4>56</vt:i4>
      </vt:variant>
      <vt:variant>
        <vt:i4>0</vt:i4>
      </vt:variant>
      <vt:variant>
        <vt:i4>5</vt:i4>
      </vt:variant>
      <vt:variant>
        <vt:lpwstr/>
      </vt:variant>
      <vt:variant>
        <vt:lpwstr>_Toc197891004</vt:lpwstr>
      </vt:variant>
      <vt:variant>
        <vt:i4>1507391</vt:i4>
      </vt:variant>
      <vt:variant>
        <vt:i4>50</vt:i4>
      </vt:variant>
      <vt:variant>
        <vt:i4>0</vt:i4>
      </vt:variant>
      <vt:variant>
        <vt:i4>5</vt:i4>
      </vt:variant>
      <vt:variant>
        <vt:lpwstr/>
      </vt:variant>
      <vt:variant>
        <vt:lpwstr>_Toc197891003</vt:lpwstr>
      </vt:variant>
      <vt:variant>
        <vt:i4>1507391</vt:i4>
      </vt:variant>
      <vt:variant>
        <vt:i4>44</vt:i4>
      </vt:variant>
      <vt:variant>
        <vt:i4>0</vt:i4>
      </vt:variant>
      <vt:variant>
        <vt:i4>5</vt:i4>
      </vt:variant>
      <vt:variant>
        <vt:lpwstr/>
      </vt:variant>
      <vt:variant>
        <vt:lpwstr>_Toc197891002</vt:lpwstr>
      </vt:variant>
      <vt:variant>
        <vt:i4>1507391</vt:i4>
      </vt:variant>
      <vt:variant>
        <vt:i4>38</vt:i4>
      </vt:variant>
      <vt:variant>
        <vt:i4>0</vt:i4>
      </vt:variant>
      <vt:variant>
        <vt:i4>5</vt:i4>
      </vt:variant>
      <vt:variant>
        <vt:lpwstr/>
      </vt:variant>
      <vt:variant>
        <vt:lpwstr>_Toc197891001</vt:lpwstr>
      </vt:variant>
      <vt:variant>
        <vt:i4>1507391</vt:i4>
      </vt:variant>
      <vt:variant>
        <vt:i4>32</vt:i4>
      </vt:variant>
      <vt:variant>
        <vt:i4>0</vt:i4>
      </vt:variant>
      <vt:variant>
        <vt:i4>5</vt:i4>
      </vt:variant>
      <vt:variant>
        <vt:lpwstr/>
      </vt:variant>
      <vt:variant>
        <vt:lpwstr>_Toc197891000</vt:lpwstr>
      </vt:variant>
      <vt:variant>
        <vt:i4>2031670</vt:i4>
      </vt:variant>
      <vt:variant>
        <vt:i4>26</vt:i4>
      </vt:variant>
      <vt:variant>
        <vt:i4>0</vt:i4>
      </vt:variant>
      <vt:variant>
        <vt:i4>5</vt:i4>
      </vt:variant>
      <vt:variant>
        <vt:lpwstr/>
      </vt:variant>
      <vt:variant>
        <vt:lpwstr>_Toc197890999</vt:lpwstr>
      </vt:variant>
      <vt:variant>
        <vt:i4>2031670</vt:i4>
      </vt:variant>
      <vt:variant>
        <vt:i4>20</vt:i4>
      </vt:variant>
      <vt:variant>
        <vt:i4>0</vt:i4>
      </vt:variant>
      <vt:variant>
        <vt:i4>5</vt:i4>
      </vt:variant>
      <vt:variant>
        <vt:lpwstr/>
      </vt:variant>
      <vt:variant>
        <vt:lpwstr>_Toc197890998</vt:lpwstr>
      </vt:variant>
      <vt:variant>
        <vt:i4>2031670</vt:i4>
      </vt:variant>
      <vt:variant>
        <vt:i4>14</vt:i4>
      </vt:variant>
      <vt:variant>
        <vt:i4>0</vt:i4>
      </vt:variant>
      <vt:variant>
        <vt:i4>5</vt:i4>
      </vt:variant>
      <vt:variant>
        <vt:lpwstr/>
      </vt:variant>
      <vt:variant>
        <vt:lpwstr>_Toc197890997</vt:lpwstr>
      </vt:variant>
      <vt:variant>
        <vt:i4>2031670</vt:i4>
      </vt:variant>
      <vt:variant>
        <vt:i4>8</vt:i4>
      </vt:variant>
      <vt:variant>
        <vt:i4>0</vt:i4>
      </vt:variant>
      <vt:variant>
        <vt:i4>5</vt:i4>
      </vt:variant>
      <vt:variant>
        <vt:lpwstr/>
      </vt:variant>
      <vt:variant>
        <vt:lpwstr>_Toc197890996</vt:lpwstr>
      </vt:variant>
      <vt:variant>
        <vt:i4>2031670</vt:i4>
      </vt:variant>
      <vt:variant>
        <vt:i4>2</vt:i4>
      </vt:variant>
      <vt:variant>
        <vt:i4>0</vt:i4>
      </vt:variant>
      <vt:variant>
        <vt:i4>5</vt:i4>
      </vt:variant>
      <vt:variant>
        <vt:lpwstr/>
      </vt:variant>
      <vt:variant>
        <vt:lpwstr>_Toc197890995</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Tayfun Yagci</dc:creator>
  <cp:keywords/>
  <dc:description/>
  <cp:lastModifiedBy>Tayfun Yagci</cp:lastModifiedBy>
  <cp:revision>2</cp:revision>
  <cp:lastPrinted>2025-09-02T13:08:00Z</cp:lastPrinted>
  <dcterms:created xsi:type="dcterms:W3CDTF">2026-09-14T08:08:00Z</dcterms:created>
  <dcterms:modified xsi:type="dcterms:W3CDTF">2026-09-17T06:37:00Z</dcterms:modified>
</cp:coreProperties>
</file>