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ptos" w:cs="Aptos" w:eastAsia="Aptos" w:hAnsi="Aptos"/>
          <w:b/>
          <w:bCs/>
          <w:sz w:val="28"/>
          <w:szCs w:val="28"/>
        </w:rPr>
        <w:t xml:space="preserve">YÖNTEM DOKÜMANINA EKLENECEK BÖLÜM</w:t>
      </w:r>
    </w:p>
    <w:p>
      <w:pPr>
        <w:spacing w:after="240"/>
        <w:jc w:val="center"/>
      </w:pPr>
      <w:r>
        <w:rPr>
          <w:rFonts w:ascii="Aptos" w:cs="Aptos" w:eastAsia="Aptos" w:hAnsi="Aptos"/>
          <w:b/>
          <w:bCs/>
          <w:sz w:val="26"/>
          <w:szCs w:val="26"/>
        </w:rPr>
        <w:t xml:space="preserve">Dikotik Dinleme Görevi</w:t>
      </w:r>
    </w:p>
    <w:p>
      <w:pPr>
        <w:pBdr>
          <w:top w:val="single" w:color="808080" w:sz="6" w:space="6"/>
          <w:left w:val="single" w:color="808080" w:sz="6" w:space="8"/>
          <w:right w:val="single" w:color="808080" w:sz="6" w:space="8"/>
        </w:pBdr>
        <w:spacing w:after="80" w:line="278" w:lineRule="auto"/>
        <w:jc w:val="both"/>
      </w:pPr>
      <w:r>
        <w:rPr>
          <w:rFonts w:ascii="Aptos" w:cs="Aptos" w:eastAsia="Aptos" w:hAnsi="Aptos"/>
          <w:i/>
          <w:iCs/>
          <w:color w:val="404040"/>
          <w:sz w:val="21"/>
          <w:szCs w:val="21"/>
        </w:rPr>
        <w:t xml:space="preserve">Bu metin, mevcut yöntem dokümanının (946383_YONTEM) 6.4 numaralı bölümünden sonra 6.5 olarak eklenmek üzere hazırlanmıştır.</w:t>
      </w:r>
    </w:p>
    <w:p>
      <w:pPr>
        <w:pBdr>
          <w:left w:val="single" w:color="808080" w:sz="6" w:space="8"/>
          <w:right w:val="single" w:color="808080" w:sz="6" w:space="8"/>
        </w:pBdr>
        <w:spacing w:after="80" w:line="278" w:lineRule="auto"/>
        <w:jc w:val="both"/>
      </w:pPr>
      <w:r>
        <w:rPr>
          <w:rFonts w:ascii="Aptos" w:cs="Aptos" w:eastAsia="Aptos" w:hAnsi="Aptos"/>
          <w:i/>
          <w:iCs/>
          <w:color w:val="404040"/>
          <w:sz w:val="21"/>
          <w:szCs w:val="21"/>
        </w:rPr>
        <w:t xml:space="preserve">Gerekçe: dikotik dinleme görevi geliştirilen yazılımda uygulanmış durumdadır, ancak yöntem dokümanında tanımlı değildir. Kodda var olup protokolde bulunmayan bir ölçüm, etik kurul onayı ve yayın süreci açısından sorun oluşturur; bu nedenle veri toplama başlamadan önce dokümana işlenmesi gerekmektedir.</w:t>
      </w:r>
    </w:p>
    <w:p>
      <w:pPr>
        <w:pBdr>
          <w:bottom w:val="single" w:color="808080" w:sz="6" w:space="6"/>
          <w:left w:val="single" w:color="808080" w:sz="6" w:space="8"/>
          <w:right w:val="single" w:color="808080" w:sz="6" w:space="8"/>
        </w:pBdr>
        <w:spacing w:after="240" w:line="278" w:lineRule="auto"/>
        <w:jc w:val="both"/>
      </w:pPr>
      <w:r>
        <w:rPr>
          <w:rFonts w:ascii="Aptos" w:cs="Aptos" w:eastAsia="Aptos" w:hAnsi="Aptos"/>
          <w:i/>
          <w:iCs/>
          <w:color w:val="404040"/>
          <w:sz w:val="21"/>
          <w:szCs w:val="21"/>
        </w:rPr>
        <w:t xml:space="preserve">Kaynak numaraları, mevcut dokümanın numaralı kaynakça listesine göre yeniden düzenlenmelidir. Danışman onayı gerektiren noktalar belgenin sonunda ayrıca listelenmiştir.</w:t>
      </w:r>
    </w:p>
    <w:p>
      <w:pPr>
        <w:pStyle w:val="Heading1"/>
        <w:spacing w:after="140" w:before="280"/>
      </w:pPr>
      <w:r>
        <w:rPr>
          <w:rFonts w:ascii="Aptos" w:cs="Aptos" w:eastAsia="Aptos" w:hAnsi="Aptos"/>
          <w:b/>
          <w:bCs/>
          <w:color w:val="000000"/>
          <w:sz w:val="28"/>
          <w:szCs w:val="28"/>
        </w:rPr>
        <w:t xml:space="preserve">6.5. Dikotik Dinleme Görevi</w:t>
      </w:r>
    </w:p>
    <w:p>
      <w:pPr>
        <w:spacing w:after="160" w:line="278" w:lineRule="auto"/>
        <w:jc w:val="both"/>
      </w:pPr>
      <w:r>
        <w:rPr>
          <w:rFonts w:ascii="Aptos" w:cs="Aptos" w:eastAsia="Aptos" w:hAnsi="Aptos"/>
          <w:sz w:val="24"/>
          <w:szCs w:val="24"/>
        </w:rPr>
        <w:t xml:space="preserve">Bu görevde, iki kulağa aynı anda farklı konuşma uyaranları sunularak binaural yarışma koşulunda konuşma seçimi ve işitsel uyaranın uzamsal yönüne ilişkin manipülasyonun geçerliliği değerlendirilecektir.</w:t>
      </w:r>
    </w:p>
    <w:p>
      <w:pPr>
        <w:pStyle w:val="Heading2"/>
        <w:spacing w:after="140" w:before="280"/>
      </w:pPr>
      <w:r>
        <w:rPr>
          <w:rFonts w:ascii="Aptos" w:cs="Aptos" w:eastAsia="Aptos" w:hAnsi="Aptos"/>
          <w:b/>
          <w:bCs/>
          <w:color w:val="000000"/>
          <w:sz w:val="26"/>
          <w:szCs w:val="26"/>
        </w:rPr>
        <w:t xml:space="preserve">Gerekçe</w:t>
      </w:r>
    </w:p>
    <w:p>
      <w:pPr>
        <w:spacing w:after="160" w:line="278" w:lineRule="auto"/>
        <w:jc w:val="both"/>
      </w:pPr>
      <w:r>
        <w:rPr>
          <w:rFonts w:ascii="Aptos" w:cs="Aptos" w:eastAsia="Aptos" w:hAnsi="Aptos"/>
          <w:sz w:val="24"/>
          <w:szCs w:val="24"/>
        </w:rPr>
        <w:t xml:space="preserve">Dikotik dinleme, her iki kulağa eşzamanlı olarak farklı sözel uyaranların sunulduğu ve katılımcının duyduğu uyaranı bildirmesinin istendiği klasik bir işitsel paradigmadır. Bu koşulda ipsilateral işitsel yolakların baskılandığı, kontralateral yolakların baskın hâle geldiği ve sözel uyaranlarda tipik olarak sağ kulak lehine bir üstünlüğün (sağ kulak avantajı) gözlendiği bildirilmektedir.</w:t>
      </w:r>
    </w:p>
    <w:p>
      <w:pPr>
        <w:spacing w:after="160" w:line="278" w:lineRule="auto"/>
        <w:jc w:val="both"/>
      </w:pPr>
      <w:r>
        <w:rPr>
          <w:rFonts w:ascii="Aptos" w:cs="Aptos" w:eastAsia="Aptos" w:hAnsi="Aptos"/>
          <w:sz w:val="24"/>
          <w:szCs w:val="24"/>
        </w:rPr>
        <w:t xml:space="preserve">Bu çalışma kapsamında dikotik dinleme görevi iki ayrı amaca hizmet etmektedir.</w:t>
      </w:r>
    </w:p>
    <w:p>
      <w:pPr>
        <w:spacing w:after="160" w:line="278" w:lineRule="auto"/>
        <w:jc w:val="both"/>
      </w:pPr>
      <w:r>
        <w:rPr>
          <w:rFonts w:ascii="Aptos" w:cs="Aptos" w:eastAsia="Aptos" w:hAnsi="Aptos"/>
          <w:b/>
          <w:bCs/>
          <w:sz w:val="24"/>
          <w:szCs w:val="24"/>
        </w:rPr>
        <w:t xml:space="preserve">Birincisi, lateralizasyon manipülasyonunun geçerlilik kontrolüdür. </w:t>
      </w:r>
      <w:r>
        <w:rPr>
          <w:rFonts w:ascii="Aptos" w:cs="Aptos" w:eastAsia="Aptos" w:hAnsi="Aptos"/>
          <w:sz w:val="24"/>
          <w:szCs w:val="24"/>
        </w:rPr>
        <w:t xml:space="preserve">Bölüm 7'de tanımlanan bağımsız değişkenlerden biri işitsel uyaranın uzamsal yönüdür ve Modül 1 ile Modül 2, uyaranların kulaklık aracılığıyla sağ veya sol kulağa lateralize edilmesine dayanmaktadır. Bu manipülasyonun geçerli olabilmesi için, sağır kulağa sunulan uyaranın kafatası iletimi yoluyla iyi kulağa ulaşmaması gerekir. Dikotik görev, her iki kanala aynı anda farklı hece sunarak bu varsayımı doğrudan sınar: SSD grubundaki bir katılımcı sağır kulağa sunulan heceyi şans düzeyinin üzerinde bildiriyorsa, çapraz duyma söz konusudur ve o katılımcının lateralizasyon verisi yorumlanamaz.</w:t>
      </w:r>
    </w:p>
    <w:p>
      <w:pPr>
        <w:spacing w:after="160" w:line="278" w:lineRule="auto"/>
        <w:jc w:val="both"/>
      </w:pPr>
      <w:r>
        <w:rPr>
          <w:rFonts w:ascii="Aptos" w:cs="Aptos" w:eastAsia="Aptos" w:hAnsi="Aptos"/>
          <w:b/>
          <w:bCs/>
          <w:sz w:val="24"/>
          <w:szCs w:val="24"/>
        </w:rPr>
        <w:t xml:space="preserve">İkincisi, binaural yarışma koşulunda konuşma seçiminin ölçülmesidir. </w:t>
      </w:r>
      <w:r>
        <w:rPr>
          <w:rFonts w:ascii="Aptos" w:cs="Aptos" w:eastAsia="Aptos" w:hAnsi="Aptos"/>
          <w:sz w:val="24"/>
          <w:szCs w:val="24"/>
        </w:rPr>
        <w:t xml:space="preserve">Modül 1 ve Modül 2'de işitsel uyaran tek bir kulağa sunulmakta, dolayısıyla kulaklar arası yarışma oluşmamaktadır. Dikotik görev, normal işitmeye sahip kontrol grubunda kulak avantajının niceliksel bir ölçüsünü sağlamakta; SSD grubunda ise binaural yarışmanın yokluğunun davranışsal karşılığını ortaya koymaktadır.</w:t>
      </w:r>
    </w:p>
    <w:p>
      <w:pPr>
        <w:pBdr>
          <w:top w:val="single" w:color="808080" w:sz="6" w:space="6"/>
          <w:bottom w:val="single" w:color="808080" w:sz="6" w:space="6"/>
          <w:left w:val="single" w:color="808080" w:sz="6" w:space="8"/>
          <w:right w:val="single" w:color="808080" w:sz="6" w:space="8"/>
        </w:pBdr>
        <w:spacing w:after="240" w:line="278" w:lineRule="auto"/>
        <w:jc w:val="both"/>
      </w:pPr>
      <w:r>
        <w:rPr>
          <w:rFonts w:ascii="Aptos" w:cs="Aptos" w:eastAsia="Aptos" w:hAnsi="Aptos"/>
          <w:i/>
          <w:iCs/>
          <w:color w:val="404040"/>
          <w:sz w:val="21"/>
          <w:szCs w:val="21"/>
        </w:rPr>
        <w:t xml:space="preserve">Yorumlama açısından kritik nokta: SSD grubunda dikotik sunum işlevsel olarak monotiktir. Sağır kulak kullanılabilir girdi sağlamadığından, bu grupta görev kulaklar arası yarışmayı değil, yarışmanın yokluğunu ölçer. Bu nedenle kulak avantajı indeksi SSD grubunda hemisferik lateralizasyon göstergesi olarak değil, bir geçerlilik kontrolü olarak yorumlanmalıdır. Gruplar arası doğrudan karşılaştırma yapılırken bu asimetri açıkça belirtilmelidir.</w:t>
      </w:r>
    </w:p>
    <w:p>
      <w:pPr>
        <w:pStyle w:val="Heading2"/>
        <w:spacing w:after="140" w:before="280"/>
      </w:pPr>
      <w:r>
        <w:rPr>
          <w:rFonts w:ascii="Aptos" w:cs="Aptos" w:eastAsia="Aptos" w:hAnsi="Aptos"/>
          <w:b/>
          <w:bCs/>
          <w:color w:val="000000"/>
          <w:sz w:val="26"/>
          <w:szCs w:val="26"/>
        </w:rPr>
        <w:t xml:space="preserve">Uyaranlar</w:t>
      </w:r>
    </w:p>
    <w:p>
      <w:pPr>
        <w:pStyle w:val="ListParagraph"/>
        <w:numPr>
          <w:ilvl w:val="0"/>
          <w:numId w:val="2"/>
        </w:numPr>
        <w:spacing w:after="60" w:line="278" w:lineRule="auto"/>
      </w:pPr>
      <w:r>
        <w:rPr>
          <w:rFonts w:ascii="Aptos" w:cs="Aptos" w:eastAsia="Aptos" w:hAnsi="Aptos"/>
          <w:sz w:val="24"/>
          <w:szCs w:val="24"/>
        </w:rPr>
        <w:t xml:space="preserve">İşitsel: /ba/, /da/, /ga/ heceleri. Modül 1 ile aynı konuşmacı kayıtlarından türetilmiştir; böylece modüller arasında konuşmacı kaynaklı farklılık oluşmaz.</w:t>
      </w:r>
    </w:p>
    <w:p>
      <w:pPr>
        <w:pStyle w:val="ListParagraph"/>
        <w:numPr>
          <w:ilvl w:val="0"/>
          <w:numId w:val="2"/>
        </w:numPr>
        <w:spacing w:after="60" w:line="278" w:lineRule="auto"/>
      </w:pPr>
      <w:r>
        <w:rPr>
          <w:rFonts w:ascii="Aptos" w:cs="Aptos" w:eastAsia="Aptos" w:hAnsi="Aptos"/>
          <w:sz w:val="24"/>
          <w:szCs w:val="24"/>
        </w:rPr>
        <w:t xml:space="preserve">Format: 48 kHz, stereo, sıkıştırılmamış PCM (WAV). Sol ve sağ kanallar farklı heceleri taşır.</w:t>
      </w:r>
    </w:p>
    <w:p>
      <w:pPr>
        <w:pStyle w:val="ListParagraph"/>
        <w:numPr>
          <w:ilvl w:val="0"/>
          <w:numId w:val="2"/>
        </w:numPr>
        <w:spacing w:after="60" w:line="278" w:lineRule="auto"/>
      </w:pPr>
      <w:r>
        <w:rPr>
          <w:rFonts w:ascii="Aptos" w:cs="Aptos" w:eastAsia="Aptos" w:hAnsi="Aptos"/>
          <w:sz w:val="24"/>
          <w:szCs w:val="24"/>
        </w:rPr>
        <w:t xml:space="preserve">Kanal yalıtımı ölçümle doğrulanmıştır: kanallar arası sızıntı saptanmamış, aynı hecenin farklı dosyalardaki kanal içerikleri birebir örtüşmüştür.</w:t>
      </w:r>
    </w:p>
    <w:p>
      <w:pPr>
        <w:pStyle w:val="ListParagraph"/>
        <w:numPr>
          <w:ilvl w:val="0"/>
          <w:numId w:val="2"/>
        </w:numPr>
        <w:spacing w:after="60" w:line="278" w:lineRule="auto"/>
      </w:pPr>
      <w:r>
        <w:rPr>
          <w:rFonts w:ascii="Aptos" w:cs="Aptos" w:eastAsia="Aptos" w:hAnsi="Aptos"/>
          <w:sz w:val="24"/>
          <w:szCs w:val="24"/>
        </w:rPr>
        <w:t xml:space="preserve">Görsel uyaran yoktur. Deneme boyunca ekranda yalnızca sabitleme haçı bulunur; katılımcının görsel ipucundan yararlanması engellenir.</w:t>
      </w:r>
    </w:p>
    <w:p>
      <w:pPr>
        <w:pStyle w:val="ListParagraph"/>
        <w:numPr>
          <w:ilvl w:val="0"/>
          <w:numId w:val="2"/>
        </w:numPr>
        <w:spacing w:after="60" w:line="278" w:lineRule="auto"/>
      </w:pPr>
      <w:r>
        <w:rPr>
          <w:rFonts w:ascii="Aptos" w:cs="Aptos" w:eastAsia="Aptos" w:hAnsi="Aptos"/>
          <w:sz w:val="24"/>
          <w:szCs w:val="24"/>
        </w:rPr>
        <w:t xml:space="preserve">Uyaran çiftleri, iki kulağa farklı hece gelecek biçimde oluşturulmuştur (sol ≠ sağ). Üç hece ile altı çift elde edilir.</w:t>
      </w:r>
    </w:p>
    <w:p>
      <w:pPr>
        <w:spacing w:after="120"/>
      </w:pPr>
    </w:p>
    <w:p>
      <w:pPr>
        <w:pStyle w:val="Heading2"/>
        <w:spacing w:after="140" w:before="280"/>
      </w:pPr>
      <w:r>
        <w:rPr>
          <w:rFonts w:ascii="Aptos" w:cs="Aptos" w:eastAsia="Aptos" w:hAnsi="Aptos"/>
          <w:b/>
          <w:bCs/>
          <w:color w:val="000000"/>
          <w:sz w:val="26"/>
          <w:szCs w:val="26"/>
        </w:rPr>
        <w:t xml:space="preserve">Deneysel Tasarım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tblHeader/>
        </w:trPr>
        <w:tc>
          <w:tcPr>
            <w:tcW w:type="dxa" w:w="2700"/>
            <w:shd w:fill="E8E8E8" w:color="auto" w:val="clear"/>
            <w:tcMar>
              <w:top w:type="dxa" w:w="80"/>
              <w:left w:type="dxa" w:w="120"/>
              <w:bottom w:type="dxa" w:w="80"/>
              <w:right w:type="dxa" w:w="120"/>
            </w:tcMar>
          </w:tcPr>
          <w:p>
            <w:pPr>
              <w:spacing w:after="0" w:line="240" w:lineRule="auto"/>
            </w:pPr>
            <w:r>
              <w:rPr>
                <w:rFonts w:ascii="Aptos" w:cs="Aptos" w:eastAsia="Aptos" w:hAnsi="Aptos"/>
                <w:b/>
                <w:bCs/>
                <w:sz w:val="22"/>
                <w:szCs w:val="22"/>
              </w:rPr>
              <w:t xml:space="preserve">Parametre</w:t>
            </w:r>
          </w:p>
        </w:tc>
        <w:tc>
          <w:tcPr>
            <w:tcW w:type="dxa" w:w="1700"/>
            <w:shd w:fill="E8E8E8" w:color="auto" w:val="clear"/>
            <w:tcMar>
              <w:top w:type="dxa" w:w="80"/>
              <w:left w:type="dxa" w:w="120"/>
              <w:bottom w:type="dxa" w:w="80"/>
              <w:right w:type="dxa" w:w="120"/>
            </w:tcMar>
          </w:tcPr>
          <w:p>
            <w:pPr>
              <w:spacing w:after="0" w:line="240" w:lineRule="auto"/>
            </w:pPr>
            <w:r>
              <w:rPr>
                <w:rFonts w:ascii="Aptos" w:cs="Aptos" w:eastAsia="Aptos" w:hAnsi="Aptos"/>
                <w:b/>
                <w:bCs/>
                <w:sz w:val="22"/>
                <w:szCs w:val="22"/>
              </w:rPr>
              <w:t xml:space="preserve">Değer</w:t>
            </w:r>
          </w:p>
        </w:tc>
        <w:tc>
          <w:tcPr>
            <w:tcW w:type="dxa" w:w="4626"/>
            <w:shd w:fill="E8E8E8" w:color="auto" w:val="clear"/>
            <w:tcMar>
              <w:top w:type="dxa" w:w="80"/>
              <w:left w:type="dxa" w:w="120"/>
              <w:bottom w:type="dxa" w:w="80"/>
              <w:right w:type="dxa" w:w="120"/>
            </w:tcMar>
          </w:tcPr>
          <w:p>
            <w:pPr>
              <w:spacing w:after="0" w:line="240" w:lineRule="auto"/>
            </w:pPr>
            <w:r>
              <w:rPr>
                <w:rFonts w:ascii="Aptos" w:cs="Aptos" w:eastAsia="Aptos" w:hAnsi="Aptos"/>
                <w:b/>
                <w:bCs/>
                <w:sz w:val="22"/>
                <w:szCs w:val="22"/>
              </w:rPr>
              <w:t xml:space="preserve">Açıklama</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Uyaran çifti sayısı</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6</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Sol ≠ sağ olacak biçimde /ba/, /da/, /ga/ permütasyonları</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Çift başına tekrar</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5</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Kulak avantajı indeksi tüm denemeler üzerinden hesaplandığı için ilgili sayı toplam 30 gözlemdir</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Toplam deneme</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30</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Yaklaşık 2,5 dakika</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Sunum sırası</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Rastgele</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Tohumlanmış rastgele sayı üreteci ile; tohum oturum kaydına yazılır ve sıra yeniden üretilebilir</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Yanıt seti</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BA / DA / GA / DİĞER</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Kapalı uçlu; DİĞER seçildiğinde serbest metin alanı açılır</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Yanıt süresi sınırı</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5 sn</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Süre aşımında yanıt kaydı oluşmaz, deneme kayıp olarak işaretlenir</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Gürültü koşulu</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Yok</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Dikotik yarışmanın kendisi zorlayıcı koşulu oluşturur</w:t>
            </w:r>
          </w:p>
        </w:tc>
      </w:tr>
    </w:tbl>
    <w:p>
      <w:pPr>
        <w:spacing w:after="120"/>
      </w:pPr>
    </w:p>
    <w:p>
      <w:pPr>
        <w:pStyle w:val="Heading2"/>
        <w:spacing w:after="140" w:before="280"/>
      </w:pPr>
      <w:r>
        <w:rPr>
          <w:rFonts w:ascii="Aptos" w:cs="Aptos" w:eastAsia="Aptos" w:hAnsi="Aptos"/>
          <w:b/>
          <w:bCs/>
          <w:color w:val="000000"/>
          <w:sz w:val="26"/>
          <w:szCs w:val="26"/>
        </w:rPr>
        <w:t xml:space="preserve">Görev ve Yordam</w:t>
      </w:r>
    </w:p>
    <w:p>
      <w:pPr>
        <w:spacing w:after="160" w:line="278" w:lineRule="auto"/>
        <w:jc w:val="both"/>
      </w:pPr>
      <w:r>
        <w:rPr>
          <w:rFonts w:ascii="Aptos" w:cs="Aptos" w:eastAsia="Aptos" w:hAnsi="Aptos"/>
          <w:sz w:val="24"/>
          <w:szCs w:val="24"/>
        </w:rPr>
        <w:t xml:space="preserve">Katılımcıdan, her denemede duyduğu heceyi bildirmesi istenir. Yönerge, kulaklardan birine odaklanmayı belirtmeyen serbest bildirim biçimindedir; katılımcıya iki farklı hece sunulduğu söylenmez. Deneme sırasında geri bildirim verilmez.</w:t>
      </w:r>
    </w:p>
    <w:p>
      <w:pPr>
        <w:spacing w:after="160" w:line="278" w:lineRule="auto"/>
        <w:jc w:val="both"/>
      </w:pPr>
      <w:r>
        <w:rPr>
          <w:rFonts w:ascii="Aptos" w:cs="Aptos" w:eastAsia="Aptos" w:hAnsi="Aptos"/>
          <w:sz w:val="24"/>
          <w:szCs w:val="24"/>
        </w:rPr>
        <w:t xml:space="preserve">Her deneme sabitleme haçı ile başlar, ardından uyaran çifti iki kulağa eşzamanlı olarak sunulur ve yanıt seçenekleri ekranda görüntülenir. Yanıtlar klavye ile alınır. Tepki süresi iki ayrı referansa göre kaydedilir: uyaranın akustik başlangıcından itibaren ve yanıt seçeneklerinin ekranda görüntülendiği andan itibaren.</w:t>
      </w:r>
    </w:p>
    <w:p>
      <w:pPr>
        <w:spacing w:after="160" w:line="278" w:lineRule="auto"/>
        <w:jc w:val="both"/>
      </w:pPr>
      <w:r>
        <w:rPr>
          <w:rFonts w:ascii="Aptos" w:cs="Aptos" w:eastAsia="Aptos" w:hAnsi="Aptos"/>
          <w:sz w:val="24"/>
          <w:szCs w:val="24"/>
        </w:rPr>
        <w:t xml:space="preserve">Görev, işitsel dikkat kontrolü (Bölüm 6.4) ile aynı oturumda uygulanır. Katılımcı yorgunluğunu sınırlamak amacıyla modül sırası ve mola aralıkları oturum yapılandırmasından yönetilir.</w:t>
      </w:r>
    </w:p>
    <w:p>
      <w:pPr>
        <w:pStyle w:val="Heading2"/>
        <w:spacing w:after="140" w:before="280"/>
      </w:pPr>
      <w:r>
        <w:rPr>
          <w:rFonts w:ascii="Aptos" w:cs="Aptos" w:eastAsia="Aptos" w:hAnsi="Aptos"/>
          <w:b/>
          <w:bCs/>
          <w:color w:val="000000"/>
          <w:sz w:val="26"/>
          <w:szCs w:val="26"/>
        </w:rPr>
        <w:t xml:space="preserve">Ölçülen Değişkenler</w:t>
      </w:r>
    </w:p>
    <w:p>
      <w:pPr>
        <w:pStyle w:val="ListParagraph"/>
        <w:numPr>
          <w:ilvl w:val="0"/>
          <w:numId w:val="2"/>
        </w:numPr>
        <w:spacing w:after="60" w:line="278" w:lineRule="auto"/>
      </w:pPr>
      <w:r>
        <w:rPr>
          <w:rFonts w:ascii="Aptos" w:cs="Aptos" w:eastAsia="Aptos" w:hAnsi="Aptos"/>
          <w:sz w:val="24"/>
          <w:szCs w:val="24"/>
        </w:rPr>
        <w:t xml:space="preserve">Sağ kulak bildirim oranı ve sol kulak bildirim oranı (%)</w:t>
      </w:r>
    </w:p>
    <w:p>
      <w:pPr>
        <w:pStyle w:val="ListParagraph"/>
        <w:numPr>
          <w:ilvl w:val="0"/>
          <w:numId w:val="2"/>
        </w:numPr>
        <w:spacing w:after="60" w:line="278" w:lineRule="auto"/>
      </w:pPr>
      <w:r>
        <w:rPr>
          <w:rFonts w:ascii="Aptos" w:cs="Aptos" w:eastAsia="Aptos" w:hAnsi="Aptos"/>
          <w:sz w:val="24"/>
          <w:szCs w:val="24"/>
        </w:rPr>
        <w:t xml:space="preserve">Kulak avantajı indeksi (KAİ): KAİ = [(Sağ − Sol) / (Sağ + Sol)] × 100. Pozitif değer sağ kulak üstünlüğünü gösterir.</w:t>
      </w:r>
    </w:p>
    <w:p>
      <w:pPr>
        <w:pStyle w:val="ListParagraph"/>
        <w:numPr>
          <w:ilvl w:val="0"/>
          <w:numId w:val="2"/>
        </w:numPr>
        <w:spacing w:after="60" w:line="278" w:lineRule="auto"/>
      </w:pPr>
      <w:r>
        <w:rPr>
          <w:rFonts w:ascii="Aptos" w:cs="Aptos" w:eastAsia="Aptos" w:hAnsi="Aptos"/>
          <w:sz w:val="24"/>
          <w:szCs w:val="24"/>
        </w:rPr>
        <w:t xml:space="preserve">Karışım yanıtı oranı: iki kulağa sunulan hecelerin hiçbirine karşılık gelmeyen bildirimlerin oranı</w:t>
      </w:r>
    </w:p>
    <w:p>
      <w:pPr>
        <w:pStyle w:val="ListParagraph"/>
        <w:numPr>
          <w:ilvl w:val="0"/>
          <w:numId w:val="2"/>
        </w:numPr>
        <w:spacing w:after="60" w:line="278" w:lineRule="auto"/>
      </w:pPr>
      <w:r>
        <w:rPr>
          <w:rFonts w:ascii="Aptos" w:cs="Aptos" w:eastAsia="Aptos" w:hAnsi="Aptos"/>
          <w:sz w:val="24"/>
          <w:szCs w:val="24"/>
        </w:rPr>
        <w:t xml:space="preserve">Yanıtsız (süre aşımı) deneme oranı</w:t>
      </w:r>
    </w:p>
    <w:p>
      <w:pPr>
        <w:pStyle w:val="ListParagraph"/>
        <w:numPr>
          <w:ilvl w:val="0"/>
          <w:numId w:val="2"/>
        </w:numPr>
        <w:spacing w:after="60" w:line="278" w:lineRule="auto"/>
      </w:pPr>
      <w:r>
        <w:rPr>
          <w:rFonts w:ascii="Aptos" w:cs="Aptos" w:eastAsia="Aptos" w:hAnsi="Aptos"/>
          <w:sz w:val="24"/>
          <w:szCs w:val="24"/>
        </w:rPr>
        <w:t xml:space="preserve">Tepki süresi (ms), iki referansa göre</w:t>
      </w:r>
    </w:p>
    <w:p>
      <w:pPr>
        <w:spacing w:after="120"/>
      </w:pPr>
    </w:p>
    <w:p>
      <w:pPr>
        <w:spacing w:after="160" w:line="278" w:lineRule="auto"/>
        <w:jc w:val="both"/>
      </w:pPr>
      <w:r>
        <w:rPr>
          <w:rFonts w:ascii="Aptos" w:cs="Aptos" w:eastAsia="Aptos" w:hAnsi="Aptos"/>
          <w:b/>
          <w:bCs/>
          <w:sz w:val="24"/>
          <w:szCs w:val="24"/>
        </w:rPr>
        <w:t xml:space="preserve">Doğru cevap tanımı: </w:t>
      </w:r>
      <w:r>
        <w:rPr>
          <w:rFonts w:ascii="Aptos" w:cs="Aptos" w:eastAsia="Aptos" w:hAnsi="Aptos"/>
          <w:sz w:val="24"/>
          <w:szCs w:val="24"/>
        </w:rPr>
        <w:t xml:space="preserve">Bu görevde doğru cevap yoktur. İki kulağa farklı hece sunulduğu için katılımcının bildirimi bir başarı ölçütü değil, bir algı kategorisidir. Ham yanıt saklanır ve hangi kulağın bildirildiği bu yanıttan türetilir; denemeler doğruluk hesaplarına dâhil edilmez. Aynı ilke Modül 1'deki uyumsuz denemeler için de geçerlidir.</w:t>
      </w:r>
    </w:p>
    <w:p>
      <w:pPr>
        <w:pStyle w:val="Heading2"/>
        <w:spacing w:after="140" w:before="280"/>
      </w:pPr>
      <w:r>
        <w:rPr>
          <w:rFonts w:ascii="Aptos" w:cs="Aptos" w:eastAsia="Aptos" w:hAnsi="Aptos"/>
          <w:b/>
          <w:bCs/>
          <w:color w:val="000000"/>
          <w:sz w:val="26"/>
          <w:szCs w:val="26"/>
        </w:rPr>
        <w:t xml:space="preserve">Analiz</w:t>
      </w:r>
    </w:p>
    <w:p>
      <w:pPr>
        <w:spacing w:after="160" w:line="278" w:lineRule="auto"/>
        <w:jc w:val="both"/>
      </w:pPr>
      <w:r>
        <w:rPr>
          <w:rFonts w:ascii="Aptos" w:cs="Aptos" w:eastAsia="Aptos" w:hAnsi="Aptos"/>
          <w:sz w:val="24"/>
          <w:szCs w:val="24"/>
        </w:rPr>
        <w:t xml:space="preserve">Kulak avantajı indeksi, gruplar (sağ SSD, sol SSD, kontrol) arasında karşılaştırılacaktır. Kontrol grubunda sözel uyaranlar için sağ kulak lehine bir üstünlük beklenmektedir. SSD gruplarında ise bildirimlerin ağırlıklı olarak iyi kulağa sunulan hece yönünde toplanması öngörülmektedir.</w:t>
      </w:r>
    </w:p>
    <w:p>
      <w:pPr>
        <w:spacing w:after="160" w:line="278" w:lineRule="auto"/>
        <w:jc w:val="both"/>
      </w:pPr>
      <w:r>
        <w:rPr>
          <w:rFonts w:ascii="Aptos" w:cs="Aptos" w:eastAsia="Aptos" w:hAnsi="Aptos"/>
          <w:sz w:val="24"/>
          <w:szCs w:val="24"/>
        </w:rPr>
        <w:t xml:space="preserve">SSD grubunda sağır kulağa sunulan hecenin şans düzeyinin üzerinde bildirilmesi, çapraz duyma göstergesi olarak değerlendirilecek ve ilgili katılımcının Modül 1 ile Modül 2'deki uzamsal yön verisi kalite kontrol raporunda işaretlenecektir. Bu ölçüt, veri toplandıktan sonra gerekçe üretilmemesi için önceden tanımlanmıştır.</w:t>
      </w:r>
    </w:p>
    <w:p>
      <w:pPr>
        <w:spacing w:after="160" w:line="278" w:lineRule="auto"/>
        <w:jc w:val="both"/>
      </w:pPr>
      <w:r>
        <w:rPr>
          <w:rFonts w:ascii="Aptos" w:cs="Aptos" w:eastAsia="Aptos" w:hAnsi="Aptos"/>
          <w:sz w:val="24"/>
          <w:szCs w:val="24"/>
        </w:rPr>
        <w:t xml:space="preserve">İşitme kaybı süresi (deprivasyon süresi) ile kulak avantajı indeksi arasındaki ilişki, Bölüm 8'de tanımlanan korelasyon ve regresyon çerçevesi içinde incelenecektir.</w:t>
      </w:r>
    </w:p>
    <w:p>
      <w:pPr>
        <w:pStyle w:val="Heading1"/>
        <w:spacing w:after="140" w:before="280"/>
      </w:pPr>
      <w:r>
        <w:rPr>
          <w:rFonts w:ascii="Aptos" w:cs="Aptos" w:eastAsia="Aptos" w:hAnsi="Aptos"/>
          <w:b/>
          <w:bCs/>
          <w:color w:val="000000"/>
          <w:sz w:val="28"/>
          <w:szCs w:val="28"/>
        </w:rPr>
        <w:t xml:space="preserve">7. Bölüme Eklenmesi Önerilen Değişkenler</w:t>
      </w:r>
    </w:p>
    <w:p>
      <w:pPr>
        <w:spacing w:after="160" w:line="278" w:lineRule="auto"/>
        <w:jc w:val="both"/>
      </w:pPr>
      <w:r>
        <w:rPr>
          <w:rFonts w:ascii="Aptos" w:cs="Aptos" w:eastAsia="Aptos" w:hAnsi="Aptos"/>
          <w:sz w:val="24"/>
          <w:szCs w:val="24"/>
        </w:rPr>
        <w:t xml:space="preserve">Mevcut dokümanın 7. bölümündeki listelere aşağıdaki maddenin eklenmesi önerilmektedir.</w:t>
      </w:r>
    </w:p>
    <w:p>
      <w:pPr>
        <w:pStyle w:val="ListParagraph"/>
        <w:numPr>
          <w:ilvl w:val="0"/>
          <w:numId w:val="2"/>
        </w:numPr>
        <w:spacing w:after="60" w:line="278" w:lineRule="auto"/>
      </w:pPr>
      <w:r>
        <w:rPr>
          <w:rFonts w:ascii="Aptos" w:cs="Aptos" w:eastAsia="Aptos" w:hAnsi="Aptos"/>
          <w:b/>
          <w:bCs/>
          <w:sz w:val="24"/>
          <w:szCs w:val="24"/>
        </w:rPr>
        <w:t xml:space="preserve">Bağımlı değişkenler: Kulak avantajı indeksi (dikotik dinleme)</w:t>
      </w:r>
    </w:p>
    <w:p>
      <w:pPr>
        <w:spacing w:after="120"/>
      </w:pPr>
    </w:p>
    <w:p>
      <w:pPr>
        <w:spacing w:after="160" w:line="278" w:lineRule="auto"/>
        <w:jc w:val="both"/>
      </w:pPr>
      <w:r>
        <w:rPr>
          <w:rFonts w:ascii="Aptos" w:cs="Aptos" w:eastAsia="Aptos" w:hAnsi="Aptos"/>
          <w:sz w:val="24"/>
          <w:szCs w:val="24"/>
        </w:rPr>
        <w:t xml:space="preserve">Bağımsız değişkenler listesinde değişiklik gerekmemektedir; dikotik görev, hâlihazırda tanımlı olan “işitsel uyaranın uzamsal yönü” değişkeninin geçerliliğini sınayan bir ölçüm olarak konumlanmaktadır.</w:t>
      </w:r>
    </w:p>
    <w:p>
      <w:pPr>
        <w:pStyle w:val="Heading1"/>
        <w:spacing w:after="140" w:before="280"/>
      </w:pPr>
      <w:r>
        <w:rPr>
          <w:rFonts w:ascii="Aptos" w:cs="Aptos" w:eastAsia="Aptos" w:hAnsi="Aptos"/>
          <w:b/>
          <w:bCs/>
          <w:color w:val="000000"/>
          <w:sz w:val="28"/>
          <w:szCs w:val="28"/>
        </w:rPr>
        <w:t xml:space="preserve">Yazılım Karşılığı</w:t>
      </w:r>
    </w:p>
    <w:p>
      <w:pPr>
        <w:spacing w:after="160" w:line="278" w:lineRule="auto"/>
        <w:jc w:val="both"/>
      </w:pPr>
      <w:r>
        <w:rPr>
          <w:rFonts w:ascii="Aptos" w:cs="Aptos" w:eastAsia="Aptos" w:hAnsi="Aptos"/>
          <w:sz w:val="24"/>
          <w:szCs w:val="24"/>
        </w:rPr>
        <w:t xml:space="preserve">Protokol ile uygulama arasındaki izlenebilirliği korumak amacıyla, bu bölümdeki tanımların yazılımdaki karşılıkları aşağıda verilmiştir. Deneme sayıları yapılandırma dosyasından yönetilmekte olup, doküman güncellendiğinde kod değişikliği gerekmemektedir.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8E8" w:color="auto" w:val="clear"/>
            <w:tcMar>
              <w:top w:type="dxa" w:w="80"/>
              <w:left w:type="dxa" w:w="120"/>
              <w:bottom w:type="dxa" w:w="80"/>
              <w:right w:type="dxa" w:w="120"/>
            </w:tcMar>
          </w:tcPr>
          <w:p>
            <w:pPr>
              <w:spacing w:after="0" w:line="240" w:lineRule="auto"/>
            </w:pPr>
            <w:r>
              <w:rPr>
                <w:rFonts w:ascii="Aptos" w:cs="Aptos" w:eastAsia="Aptos" w:hAnsi="Aptos"/>
                <w:b/>
                <w:bCs/>
                <w:sz w:val="22"/>
                <w:szCs w:val="22"/>
              </w:rPr>
              <w:t xml:space="preserve">Yöntem dokümanındaki tanım</w:t>
            </w:r>
          </w:p>
        </w:tc>
        <w:tc>
          <w:tcPr>
            <w:tcW w:type="dxa" w:w="4513"/>
            <w:shd w:fill="E8E8E8" w:color="auto" w:val="clear"/>
            <w:tcMar>
              <w:top w:type="dxa" w:w="80"/>
              <w:left w:type="dxa" w:w="120"/>
              <w:bottom w:type="dxa" w:w="80"/>
              <w:right w:type="dxa" w:w="120"/>
            </w:tcMar>
          </w:tcPr>
          <w:p>
            <w:pPr>
              <w:spacing w:after="0" w:line="240" w:lineRule="auto"/>
            </w:pPr>
            <w:r>
              <w:rPr>
                <w:rFonts w:ascii="Aptos" w:cs="Aptos" w:eastAsia="Aptos" w:hAnsi="Aptos"/>
                <w:b/>
                <w:bCs/>
                <w:sz w:val="22"/>
                <w:szCs w:val="22"/>
              </w:rPr>
              <w:t xml:space="preserve">Yazılımdaki karşılığı</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Dikotik dinleme görevi</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modules.dichotic (yapılandırma dosyası)</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Uyaran çiftleri ve tekrar sayısı</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pairs, reps</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Yanıt seti ve süre sınırı</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response_set, response_timeout_s</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Sunum sırası ve tohum</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randomization, oturum kaydındaki seed alanı</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Sol ve sağ kulak hece bilgisi</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Deneme kaydındaki left_token / right_token alanları</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Doğru cevap bulunmaması</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is_correct alanı boş bırakılır; veritabanı aksini reddeder</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Tepki süresi (iki referans)</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rt_from_burst_ms, rt_from_prompt_ms</w:t>
            </w:r>
          </w:p>
        </w:tc>
      </w:tr>
    </w:tbl>
    <w:p>
      <w:pPr>
        <w:spacing w:after="120"/>
      </w:pPr>
    </w:p>
    <w:p>
      <w:pPr>
        <w:pStyle w:val="Heading1"/>
        <w:spacing w:after="140" w:before="280"/>
      </w:pPr>
      <w:r>
        <w:rPr>
          <w:rFonts w:ascii="Aptos" w:cs="Aptos" w:eastAsia="Aptos" w:hAnsi="Aptos"/>
          <w:b/>
          <w:bCs/>
          <w:color w:val="000000"/>
          <w:sz w:val="28"/>
          <w:szCs w:val="28"/>
        </w:rPr>
        <w:t xml:space="preserve">Danışman Onayı Gereken Noktalar</w:t>
      </w:r>
    </w:p>
    <w:p>
      <w:pPr>
        <w:spacing w:after="160" w:line="278" w:lineRule="auto"/>
        <w:jc w:val="both"/>
      </w:pPr>
      <w:r>
        <w:rPr>
          <w:rFonts w:ascii="Aptos" w:cs="Aptos" w:eastAsia="Aptos" w:hAnsi="Aptos"/>
          <w:sz w:val="24"/>
          <w:szCs w:val="24"/>
        </w:rPr>
        <w:t xml:space="preserve">Aşağıdaki maddeler bu taslakta bir varsayımla doldurulmuştur ve danışman kararıyla kesinleştirilmelidir.</w:t>
      </w:r>
    </w:p>
    <w:p>
      <w:pPr>
        <w:pStyle w:val="ListParagraph"/>
        <w:numPr>
          <w:ilvl w:val="0"/>
          <w:numId w:val="2"/>
        </w:numPr>
        <w:spacing w:after="60" w:line="278" w:lineRule="auto"/>
      </w:pPr>
      <w:r>
        <w:rPr>
          <w:rFonts w:ascii="Aptos" w:cs="Aptos" w:eastAsia="Aptos" w:hAnsi="Aptos"/>
          <w:sz w:val="24"/>
          <w:szCs w:val="24"/>
        </w:rPr>
        <w:t xml:space="preserve">Deneme sayısı. Taslakta çift başına 5 tekrar (toplam 30 deneme) öngörülmüştür. Bu, kulak avantajı indeksinin kestirilebildiği asgarî düzeydir; daha yüksek bir kestirim hassasiyeti isteniyorsa tekrar sayısı artırılmalıdır. Her artış oturum süresini yaklaşık 30 saniye uzatır.</w:t>
      </w:r>
    </w:p>
    <w:p>
      <w:pPr>
        <w:pStyle w:val="ListParagraph"/>
        <w:numPr>
          <w:ilvl w:val="0"/>
          <w:numId w:val="2"/>
        </w:numPr>
        <w:spacing w:after="60" w:line="278" w:lineRule="auto"/>
      </w:pPr>
      <w:r>
        <w:rPr>
          <w:rFonts w:ascii="Aptos" w:cs="Aptos" w:eastAsia="Aptos" w:hAnsi="Aptos"/>
          <w:sz w:val="24"/>
          <w:szCs w:val="24"/>
        </w:rPr>
        <w:t xml:space="preserve">Görevin SSD grubuna uygulanıp uygulanmayacağı. Taslak, tüm katılımcılara uygulanmasını öngörmektedir; gerekçesi, görevin SSD grubunda çapraz duyma kontrolü işlevi görmesidir. Yalnızca kontrol grubuna uygulanması tercih edilirse bu işlev ortadan kalkar.</w:t>
      </w:r>
    </w:p>
    <w:p>
      <w:pPr>
        <w:pStyle w:val="ListParagraph"/>
        <w:numPr>
          <w:ilvl w:val="0"/>
          <w:numId w:val="2"/>
        </w:numPr>
        <w:spacing w:after="60" w:line="278" w:lineRule="auto"/>
      </w:pPr>
      <w:r>
        <w:rPr>
          <w:rFonts w:ascii="Aptos" w:cs="Aptos" w:eastAsia="Aptos" w:hAnsi="Aptos"/>
          <w:sz w:val="24"/>
          <w:szCs w:val="24"/>
        </w:rPr>
        <w:t xml:space="preserve">Kulak avantajı indeksinin birincil sonuç ölçütü mü yoksa kalite kontrol ölçütü mü sayılacağı. Bu seçim, indeksin 7. bölümde bağımlı değişken olarak listelenip listelenmeyeceğini belirler.</w:t>
      </w:r>
    </w:p>
    <w:p>
      <w:pPr>
        <w:pStyle w:val="ListParagraph"/>
        <w:numPr>
          <w:ilvl w:val="0"/>
          <w:numId w:val="2"/>
        </w:numPr>
        <w:spacing w:after="60" w:line="278" w:lineRule="auto"/>
      </w:pPr>
      <w:r>
        <w:rPr>
          <w:rFonts w:ascii="Aptos" w:cs="Aptos" w:eastAsia="Aptos" w:hAnsi="Aptos"/>
          <w:sz w:val="24"/>
          <w:szCs w:val="24"/>
        </w:rPr>
        <w:t xml:space="preserve">Yönergenin serbest bildirim biçiminde mi yoksa yönlendirilmiş dikkat (belirli bir kulağa odaklanma) biçiminde mi verileceği. Taslak serbest bildirimi esas almaktadır.</w:t>
      </w:r>
    </w:p>
    <w:p>
      <w:pPr>
        <w:pStyle w:val="ListParagraph"/>
        <w:numPr>
          <w:ilvl w:val="0"/>
          <w:numId w:val="2"/>
        </w:numPr>
        <w:spacing w:after="60" w:line="278" w:lineRule="auto"/>
      </w:pPr>
      <w:r>
        <w:rPr>
          <w:rFonts w:ascii="Aptos" w:cs="Aptos" w:eastAsia="Aptos" w:hAnsi="Aptos"/>
          <w:sz w:val="24"/>
          <w:szCs w:val="24"/>
        </w:rPr>
        <w:t xml:space="preserve">Bölüm 6.4'te olduğu gibi, bu görevden elde edilen ölçütlerin istatistiksel modellerde kovaryat olarak kullanılıp kullanılmayacağı.</w:t>
      </w:r>
    </w:p>
    <w:p>
      <w:pPr>
        <w:spacing w:after="120"/>
      </w:pPr>
    </w:p>
    <w:p>
      <w:pPr>
        <w:pStyle w:val="Heading1"/>
        <w:spacing w:after="140" w:before="280"/>
      </w:pPr>
      <w:r>
        <w:rPr>
          <w:rFonts w:ascii="Aptos" w:cs="Aptos" w:eastAsia="Aptos" w:hAnsi="Aptos"/>
          <w:b/>
          <w:bCs/>
          <w:color w:val="000000"/>
          <w:sz w:val="28"/>
          <w:szCs w:val="28"/>
        </w:rPr>
        <w:t xml:space="preserve">Kaynaklar</w:t>
      </w:r>
    </w:p>
    <w:p>
      <w:pPr>
        <w:pBdr>
          <w:top w:val="single" w:color="808080" w:sz="6" w:space="6"/>
          <w:bottom w:val="single" w:color="808080" w:sz="6" w:space="6"/>
          <w:left w:val="single" w:color="808080" w:sz="6" w:space="8"/>
          <w:right w:val="single" w:color="808080" w:sz="6" w:space="8"/>
        </w:pBdr>
        <w:spacing w:after="240" w:line="278" w:lineRule="auto"/>
        <w:jc w:val="both"/>
      </w:pPr>
      <w:r>
        <w:rPr>
          <w:rFonts w:ascii="Aptos" w:cs="Aptos" w:eastAsia="Aptos" w:hAnsi="Aptos"/>
          <w:i/>
          <w:iCs/>
          <w:color w:val="404040"/>
          <w:sz w:val="21"/>
          <w:szCs w:val="21"/>
        </w:rPr>
        <w:t xml:space="preserve">Aşağıdaki kaynaklar dikotik dinleme paradigmasının klasik referanslarıdır. Numaralandırma, mevcut dokümanın kaynakça listesine göre yeniden düzenlenmelidir. SSD popülasyonuna özgü güncel kaynakların danışman tarafından eklenmesi önerilir.</w:t>
      </w:r>
    </w:p>
    <w:p>
      <w:pPr>
        <w:spacing w:after="100" w:line="278" w:lineRule="auto"/>
        <w:jc w:val="left"/>
      </w:pPr>
      <w:r>
        <w:rPr>
          <w:rFonts w:ascii="Aptos" w:cs="Aptos" w:eastAsia="Aptos" w:hAnsi="Aptos"/>
          <w:sz w:val="24"/>
          <w:szCs w:val="24"/>
        </w:rPr>
        <w:t xml:space="preserve">Broadbent, D. E. (1954). The role of auditory localization in attention and memory span. Journal of Experimental Psychology, 47(3), 191–196.</w:t>
      </w:r>
    </w:p>
    <w:p>
      <w:pPr>
        <w:spacing w:after="100" w:line="278" w:lineRule="auto"/>
        <w:jc w:val="left"/>
      </w:pPr>
      <w:r>
        <w:rPr>
          <w:rFonts w:ascii="Aptos" w:cs="Aptos" w:eastAsia="Aptos" w:hAnsi="Aptos"/>
          <w:sz w:val="24"/>
          <w:szCs w:val="24"/>
        </w:rPr>
        <w:t xml:space="preserve">Kimura, D. (1967). Functional asymmetry of the brain in dichotic listening. Cortex, 3(2), 163–178.</w:t>
      </w:r>
    </w:p>
    <w:p>
      <w:pPr>
        <w:spacing w:after="100" w:line="278" w:lineRule="auto"/>
        <w:jc w:val="left"/>
      </w:pPr>
      <w:r>
        <w:rPr>
          <w:rFonts w:ascii="Aptos" w:cs="Aptos" w:eastAsia="Aptos" w:hAnsi="Aptos"/>
          <w:sz w:val="24"/>
          <w:szCs w:val="24"/>
        </w:rPr>
        <w:t xml:space="preserve">Hugdahl, K., &amp; Westerhausen, R. (Eds.). (2010). The Two Halves of the Brain: Information Processing in the Cerebral Hemispheres. MIT Press.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2026-07-26T17:19:55.358Z</dcterms:created>
  <dcterms:modified xsi:type="dcterms:W3CDTF">2026-07-26T17:19:55.359Z</dcterms:modified>
</cp:coreProperties>
</file>

<file path=docProps/custom.xml><?xml version="1.0" encoding="utf-8"?>
<Properties xmlns="http://schemas.openxmlformats.org/officeDocument/2006/custom-properties" xmlns:vt="http://schemas.openxmlformats.org/officeDocument/2006/docPropsVTypes"/>
</file>