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sz w:val="28"/>
          <w:szCs w:val="28"/>
        </w:rPr>
        <w:t xml:space="preserve">YÖNTEM DOKÜMANINA EKLENECEK BÖLÜM</w:t>
      </w:r>
    </w:p>
    <w:p>
      <w:pPr>
        <w:spacing w:after="240"/>
        <w:jc w:val="center"/>
      </w:pPr>
      <w:r>
        <w:rPr>
          <w:rFonts w:ascii="Aptos" w:cs="Aptos" w:eastAsia="Aptos" w:hAnsi="Aptos"/>
          <w:b/>
          <w:bCs/>
          <w:sz w:val="26"/>
          <w:szCs w:val="26"/>
        </w:rPr>
        <w:t xml:space="preserve">İşitsel Zamansal Çözünürlük: Gaps-In-Noise (GIN) Testi</w:t>
      </w:r>
    </w:p>
    <w:p>
      <w:pPr>
        <w:pBdr>
          <w:top w:val="single" w:color="808080" w:sz="6" w:space="6"/>
          <w:left w:val="single" w:color="808080" w:sz="6" w:space="8"/>
          <w:right w:val="single" w:color="808080" w:sz="6" w:space="8"/>
        </w:pBdr>
        <w:spacing w:after="80" w:line="278" w:lineRule="auto"/>
        <w:jc w:val="both"/>
      </w:pPr>
      <w:r>
        <w:rPr>
          <w:rFonts w:ascii="Aptos" w:cs="Aptos" w:eastAsia="Aptos" w:hAnsi="Aptos"/>
          <w:i/>
          <w:iCs/>
          <w:color w:val="404040"/>
          <w:sz w:val="21"/>
          <w:szCs w:val="21"/>
        </w:rPr>
        <w:t xml:space="preserve">Bu metin, mevcut yöntem dokümanının (946383_YONTEM) 6.5 numaralı bölümünden sonra 6.6 olarak eklenmek üzere hazırlanmıştır. 6.5, dikotik dinleme görevi için ayrı bir belgede (EK_DIKOTIK_DINLEME) önerilmiştir; iki ek birlikte değerlendirilmelidir.</w:t>
      </w:r>
    </w:p>
    <w:p>
      <w:pPr>
        <w:pBdr>
          <w:left w:val="single" w:color="808080" w:sz="6" w:space="8"/>
          <w:right w:val="single" w:color="808080" w:sz="6" w:space="8"/>
        </w:pBdr>
        <w:spacing w:after="80" w:line="278" w:lineRule="auto"/>
        <w:jc w:val="both"/>
      </w:pPr>
      <w:r>
        <w:rPr>
          <w:rFonts w:ascii="Aptos" w:cs="Aptos" w:eastAsia="Aptos" w:hAnsi="Aptos"/>
          <w:i/>
          <w:iCs/>
          <w:color w:val="404040"/>
          <w:sz w:val="21"/>
          <w:szCs w:val="21"/>
        </w:rPr>
        <w:t xml:space="preserve">Gerekçe: GIN görevi geliştirilen yazılıma dâhil edilmiştir, ancak yöntem dokümanında tanımlı değildir. Kodda var olup protokolde bulunmayan bir ölçüm, etik kurul onayı ve yayın süreci açısından sorun oluşturur; bu nedenle veri toplama başlamadan önce dokümana işlenmesi gerekmektedir.</w:t>
      </w:r>
    </w:p>
    <w:p>
      <w:pPr>
        <w:pBdr>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Kaynak numaraları, mevcut dokümanın numaralı kaynakça listesine göre yeniden düzenlenmelidir. Danışman onayı gerektiren noktalar belgenin sonunda ayrıca listelenmiştir.</w:t>
      </w:r>
    </w:p>
    <w:p>
      <w:pPr>
        <w:pStyle w:val="Heading1"/>
        <w:spacing w:after="140" w:before="280"/>
      </w:pPr>
      <w:r>
        <w:rPr>
          <w:rFonts w:ascii="Aptos" w:cs="Aptos" w:eastAsia="Aptos" w:hAnsi="Aptos"/>
          <w:b/>
          <w:bCs/>
          <w:color w:val="000000"/>
          <w:sz w:val="28"/>
          <w:szCs w:val="28"/>
        </w:rPr>
        <w:t xml:space="preserve">6.6. İşitsel Zamansal Çözünürlük: Gaps-In-Noise (GIN) Testi</w:t>
      </w:r>
    </w:p>
    <w:p>
      <w:pPr>
        <w:spacing w:after="160" w:line="278" w:lineRule="auto"/>
        <w:jc w:val="both"/>
      </w:pPr>
      <w:r>
        <w:rPr>
          <w:rFonts w:ascii="Aptos" w:cs="Aptos" w:eastAsia="Aptos" w:hAnsi="Aptos"/>
          <w:sz w:val="24"/>
          <w:szCs w:val="24"/>
        </w:rPr>
        <w:t xml:space="preserve">Bu görevde, işitsel sistemin zamansal çözünürlüğü, sürekli bir gürültü içine yerleştirilen kısa sessiz aralıkların (boşlukların) saptanması yoluyla ölçülecektir.</w:t>
      </w:r>
    </w:p>
    <w:p>
      <w:pPr>
        <w:pStyle w:val="Heading2"/>
        <w:spacing w:after="140" w:before="280"/>
      </w:pPr>
      <w:r>
        <w:rPr>
          <w:rFonts w:ascii="Aptos" w:cs="Aptos" w:eastAsia="Aptos" w:hAnsi="Aptos"/>
          <w:b/>
          <w:bCs/>
          <w:color w:val="000000"/>
          <w:sz w:val="26"/>
          <w:szCs w:val="26"/>
        </w:rPr>
        <w:t xml:space="preserve">Gerekçe</w:t>
      </w:r>
    </w:p>
    <w:p>
      <w:pPr>
        <w:spacing w:after="160" w:line="278" w:lineRule="auto"/>
        <w:jc w:val="both"/>
      </w:pPr>
      <w:r>
        <w:rPr>
          <w:rFonts w:ascii="Aptos" w:cs="Aptos" w:eastAsia="Aptos" w:hAnsi="Aptos"/>
          <w:sz w:val="24"/>
          <w:szCs w:val="24"/>
        </w:rPr>
        <w:t xml:space="preserve">Gaps-In-Noise testi, geniş bantlı gürültü segmentleri içine farklı sürelerde sessiz aralıklar yerleştirilerek katılımcının bu aralıkları saptama becerisinin ölçüldüğü, işitsel zamansal çözünürlüğe yönelik standart bir değerlendirme yöntemidir. Test, santral işitsel işlemleme değerlendirmelerinde yaygın biçimde kullanılmakta ve yayımlanmış norm değerleriyle karşılaştırmaya olanak tanımaktadır.</w:t>
      </w:r>
    </w:p>
    <w:p>
      <w:pPr>
        <w:spacing w:after="160" w:line="278" w:lineRule="auto"/>
        <w:jc w:val="both"/>
      </w:pPr>
      <w:r>
        <w:rPr>
          <w:rFonts w:ascii="Aptos" w:cs="Aptos" w:eastAsia="Aptos" w:hAnsi="Aptos"/>
          <w:sz w:val="24"/>
          <w:szCs w:val="24"/>
        </w:rPr>
        <w:t xml:space="preserve">Bu görevin çalışmaya dâhil edilme gerekçesi, Modül 3'te (Temporal Binding Window) elde edilecek bulguların yorumlanmasıyla doğrudan ilişkilidir.</w:t>
      </w:r>
    </w:p>
    <w:p>
      <w:pPr>
        <w:spacing w:after="160" w:line="278" w:lineRule="auto"/>
        <w:jc w:val="both"/>
      </w:pPr>
      <w:r>
        <w:rPr>
          <w:rFonts w:ascii="Aptos" w:cs="Aptos" w:eastAsia="Aptos" w:hAnsi="Aptos"/>
          <w:b w:val="false"/>
          <w:bCs w:val="false"/>
          <w:sz w:val="24"/>
          <w:szCs w:val="24"/>
        </w:rPr>
        <w:t xml:space="preserve">Zamansal bağlanma penceresinin genişliği, modaliteler arası bir entegrasyon ölçütüdür; ancak yalnızca modaliteler arası süreçleri yansıtmayabilir. </w:t>
      </w:r>
      <w:r>
        <w:rPr>
          <w:rFonts w:ascii="Aptos" w:cs="Aptos" w:eastAsia="Aptos" w:hAnsi="Aptos"/>
          <w:b/>
          <w:bCs/>
          <w:sz w:val="24"/>
          <w:szCs w:val="24"/>
        </w:rPr>
        <w:t xml:space="preserve">İşitsel sistemin zamansal çözünürlüğü düşük olan bir bireyde geniş bir TBW, multisensory entegrasyon farklılığından değil, düşük düzeyli işitsel zamanlama keskinliğindeki bir yetersizlikten kaynaklanıyor olabilir. </w:t>
      </w:r>
      <w:r>
        <w:rPr>
          <w:rFonts w:ascii="Aptos" w:cs="Aptos" w:eastAsia="Aptos" w:hAnsi="Aptos"/>
          <w:sz w:val="24"/>
          <w:szCs w:val="24"/>
        </w:rPr>
        <w:t xml:space="preserve">GIN görevi, tek modalite içindeki (işitsel) zamansal çözünürlüğü bağımsız olarak ölçerek bu iki açıklamanın ayrıştırılmasını sağlar.</w:t>
      </w:r>
    </w:p>
    <w:p>
      <w:pPr>
        <w:spacing w:after="160" w:line="278" w:lineRule="auto"/>
        <w:jc w:val="both"/>
      </w:pPr>
      <w:r>
        <w:rPr>
          <w:rFonts w:ascii="Aptos" w:cs="Aptos" w:eastAsia="Aptos" w:hAnsi="Aptos"/>
          <w:sz w:val="24"/>
          <w:szCs w:val="24"/>
        </w:rPr>
        <w:t xml:space="preserve">Bu işlev, Bölüm 6.4'te tanımlanan işitsel dikkat kontrolü görevinin üstlendiği role paraleldir: oddball görevi entegrasyon ölçütlerinin dikkat ve genel bilişsel yükten bağımsızlığını sınarken, GIN görevi zamansal entegrasyon ölçütlerinin düşük düzeyli işitsel zamansal keskinlikten bağımsızlığını sınar. Her iki ölçüt de istatistiksel modellerde kovaryat olarak kullanılabilecek niteliktedir.</w:t>
      </w:r>
    </w:p>
    <w:p>
      <w:pPr>
        <w:spacing w:after="160" w:line="278" w:lineRule="auto"/>
        <w:jc w:val="both"/>
      </w:pPr>
      <w:r>
        <w:rPr>
          <w:rFonts w:ascii="Aptos" w:cs="Aptos" w:eastAsia="Aptos" w:hAnsi="Aptos"/>
          <w:sz w:val="24"/>
          <w:szCs w:val="24"/>
        </w:rPr>
        <w:t xml:space="preserve">Ayrıca tek taraflı işitsel yoksunluğun santral işitsel işlemleme üzerindeki olası etkileri açısından, zamansal çözünürlük ölçütünün SSD grupları ile kontrol grubu arasında karşılaştırılması başlı başına bilgi verici olacaktır.</w:t>
      </w:r>
    </w:p>
    <w:p>
      <w:pPr>
        <w:pStyle w:val="Heading2"/>
        <w:spacing w:after="140" w:before="280"/>
      </w:pPr>
      <w:r>
        <w:rPr>
          <w:rFonts w:ascii="Aptos" w:cs="Aptos" w:eastAsia="Aptos" w:hAnsi="Aptos"/>
          <w:b/>
          <w:bCs/>
          <w:color w:val="000000"/>
          <w:sz w:val="26"/>
          <w:szCs w:val="26"/>
        </w:rPr>
        <w:t xml:space="preserve">Uyaranlar</w:t>
      </w:r>
    </w:p>
    <w:p>
      <w:pPr>
        <w:pStyle w:val="ListParagraph"/>
        <w:numPr>
          <w:ilvl w:val="0"/>
          <w:numId w:val="2"/>
        </w:numPr>
        <w:spacing w:after="60" w:line="278" w:lineRule="auto"/>
      </w:pPr>
      <w:r>
        <w:rPr>
          <w:rFonts w:ascii="Aptos" w:cs="Aptos" w:eastAsia="Aptos" w:hAnsi="Aptos"/>
          <w:sz w:val="24"/>
          <w:szCs w:val="24"/>
        </w:rPr>
        <w:t xml:space="preserve">Geniş bantlı gürültü segmentleri; her segment 6 saniye uzunluğundadır.</w:t>
      </w:r>
    </w:p>
    <w:p>
      <w:pPr>
        <w:pStyle w:val="ListParagraph"/>
        <w:numPr>
          <w:ilvl w:val="0"/>
          <w:numId w:val="2"/>
        </w:numPr>
        <w:spacing w:after="60" w:line="278" w:lineRule="auto"/>
      </w:pPr>
      <w:r>
        <w:rPr>
          <w:rFonts w:ascii="Aptos" w:cs="Aptos" w:eastAsia="Aptos" w:hAnsi="Aptos"/>
          <w:sz w:val="24"/>
          <w:szCs w:val="24"/>
        </w:rPr>
        <w:t xml:space="preserve">Her segmentin içine 0 ile 3 arasında sessiz aralık (boşluk) yerleştirilir. Boşluklar segment başına en az 1 saniye ara ile konumlandırılır ve segment kenarlarına yerleştirilmez.</w:t>
      </w:r>
    </w:p>
    <w:p>
      <w:pPr>
        <w:pStyle w:val="ListParagraph"/>
        <w:numPr>
          <w:ilvl w:val="0"/>
          <w:numId w:val="2"/>
        </w:numPr>
        <w:spacing w:after="60" w:line="278" w:lineRule="auto"/>
      </w:pPr>
      <w:r>
        <w:rPr>
          <w:rFonts w:ascii="Aptos" w:cs="Aptos" w:eastAsia="Aptos" w:hAnsi="Aptos"/>
          <w:sz w:val="24"/>
          <w:szCs w:val="24"/>
        </w:rPr>
        <w:t xml:space="preserve">Boşluk süreleri: 2, 3, 4, 5, 6, 8, 10, 12, 15 ve 20 ms. Her süre test boyunca 6 kez sunulur; toplam 60 boşluk.</w:t>
      </w:r>
    </w:p>
    <w:p>
      <w:pPr>
        <w:pStyle w:val="ListParagraph"/>
        <w:numPr>
          <w:ilvl w:val="0"/>
          <w:numId w:val="2"/>
        </w:numPr>
        <w:spacing w:after="60" w:line="278" w:lineRule="auto"/>
      </w:pPr>
      <w:r>
        <w:rPr>
          <w:rFonts w:ascii="Aptos" w:cs="Aptos" w:eastAsia="Aptos" w:hAnsi="Aptos"/>
          <w:sz w:val="24"/>
          <w:szCs w:val="24"/>
        </w:rPr>
        <w:t xml:space="preserve">Uyaranlar 48 kHz örnekleme hızında, sıkıştırılmamış olarak ve çalışma öncesinde çevrimdışı üretilir. Deney sırasında sinyal işleme yapılmaz; bu, sunum zamanlamasının denemeden denemeye değişmesini önler.</w:t>
      </w:r>
    </w:p>
    <w:p>
      <w:pPr>
        <w:pStyle w:val="ListParagraph"/>
        <w:numPr>
          <w:ilvl w:val="0"/>
          <w:numId w:val="2"/>
        </w:numPr>
        <w:spacing w:after="60" w:line="278" w:lineRule="auto"/>
      </w:pPr>
      <w:r>
        <w:rPr>
          <w:rFonts w:ascii="Aptos" w:cs="Aptos" w:eastAsia="Aptos" w:hAnsi="Aptos"/>
          <w:sz w:val="24"/>
          <w:szCs w:val="24"/>
        </w:rPr>
        <w:t xml:space="preserve">Sunum monauraldir: uyaran tek kulağa verilir (kulak seçimi aşağıda tanımlanmıştır).</w:t>
      </w:r>
    </w:p>
    <w:p>
      <w:pPr>
        <w:pStyle w:val="ListParagraph"/>
        <w:numPr>
          <w:ilvl w:val="0"/>
          <w:numId w:val="2"/>
        </w:numPr>
        <w:spacing w:after="60" w:line="278" w:lineRule="auto"/>
      </w:pPr>
      <w:r>
        <w:rPr>
          <w:rFonts w:ascii="Aptos" w:cs="Aptos" w:eastAsia="Aptos" w:hAnsi="Aptos"/>
          <w:sz w:val="24"/>
          <w:szCs w:val="24"/>
        </w:rPr>
        <w:t xml:space="preserve">Görsel uyaran yoktur; ekranda yalnızca sabitleme haçı bulunur.</w:t>
      </w:r>
    </w:p>
    <w:p>
      <w:pPr>
        <w:spacing w:after="120"/>
      </w:pPr>
    </w:p>
    <w:p>
      <w:pPr>
        <w:pStyle w:val="Heading2"/>
        <w:spacing w:after="140" w:before="280"/>
      </w:pPr>
      <w:r>
        <w:rPr>
          <w:rFonts w:ascii="Aptos" w:cs="Aptos" w:eastAsia="Aptos" w:hAnsi="Aptos"/>
          <w:b/>
          <w:bCs/>
          <w:color w:val="000000"/>
          <w:sz w:val="26"/>
          <w:szCs w:val="26"/>
        </w:rPr>
        <w:t xml:space="preserve">Deneysel Tasarım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Parametre</w:t>
            </w:r>
          </w:p>
        </w:tc>
        <w:tc>
          <w:tcPr>
            <w:tcW w:type="dxa" w:w="1700"/>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Değer</w:t>
            </w:r>
          </w:p>
        </w:tc>
        <w:tc>
          <w:tcPr>
            <w:tcW w:type="dxa" w:w="4626"/>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Açıklama</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Segment süresi</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6 sn</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Standart GIN uygulamasıyla uyumlu</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Segment sayısı</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30</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Bir segment bir deneme olarak kaydedilir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Segmentler arası ara</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2 sn</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Yanıtın bir sonraki segmente taşmasını önler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Boşluk süreleri</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2–20 ms (10 değer)</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2, 3, 4, 5, 6, 8, 10, 12, 15, 20 ms</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Süre başına tekrar</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6</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Toplam 60 boşluk</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Segment başına boşluk</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En fazla 3</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Boşluklar arası en az 1 sn</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Eşik ölçütü</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6 sunumun en az 4'ü</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Bu ölçütü sağlayan en kısa boşluk süresi eşik kabul edilir</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Toplam süre</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Yaklaşık 4 dakika</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30 × (6 sn + 2 sn)</w:t>
            </w:r>
          </w:p>
        </w:tc>
      </w:tr>
      <w:tr>
        <w:trPr>
          <w:tblHeader w:val="false"/>
        </w:trPr>
        <w:tc>
          <w:tcPr>
            <w:tcW w:type="dxa" w:w="2700"/>
            <w:tcMar>
              <w:top w:type="dxa" w:w="80"/>
              <w:left w:type="dxa" w:w="120"/>
              <w:bottom w:type="dxa" w:w="80"/>
              <w:right w:type="dxa" w:w="120"/>
            </w:tcMar>
          </w:tcPr>
          <w:p>
            <w:pPr>
              <w:spacing w:after="0" w:line="240" w:lineRule="auto"/>
            </w:pPr>
            <w:r>
              <w:rPr>
                <w:rFonts w:ascii="Aptos" w:cs="Aptos" w:eastAsia="Aptos" w:hAnsi="Aptos"/>
                <w:sz w:val="22"/>
                <w:szCs w:val="22"/>
              </w:rPr>
              <w:t xml:space="preserve">Kulak</w:t>
            </w:r>
          </w:p>
        </w:tc>
        <w:tc>
          <w:tcPr>
            <w:tcW w:type="dxa" w:w="1700"/>
            <w:tcMar>
              <w:top w:type="dxa" w:w="80"/>
              <w:left w:type="dxa" w:w="120"/>
              <w:bottom w:type="dxa" w:w="80"/>
              <w:right w:type="dxa" w:w="120"/>
            </w:tcMar>
          </w:tcPr>
          <w:p>
            <w:pPr>
              <w:spacing w:after="0" w:line="240" w:lineRule="auto"/>
            </w:pPr>
            <w:r>
              <w:rPr>
                <w:rFonts w:ascii="Aptos" w:cs="Aptos" w:eastAsia="Aptos" w:hAnsi="Aptos"/>
                <w:sz w:val="22"/>
                <w:szCs w:val="22"/>
              </w:rPr>
              <w:t xml:space="preserve">Tek kulak</w:t>
            </w:r>
          </w:p>
        </w:tc>
        <w:tc>
          <w:tcPr>
            <w:tcW w:type="dxa" w:w="4626"/>
            <w:tcMar>
              <w:top w:type="dxa" w:w="80"/>
              <w:left w:type="dxa" w:w="120"/>
              <w:bottom w:type="dxa" w:w="80"/>
              <w:right w:type="dxa" w:w="120"/>
            </w:tcMar>
          </w:tcPr>
          <w:p>
            <w:pPr>
              <w:spacing w:after="0" w:line="240" w:lineRule="auto"/>
            </w:pPr>
            <w:r>
              <w:rPr>
                <w:rFonts w:ascii="Aptos" w:cs="Aptos" w:eastAsia="Aptos" w:hAnsi="Aptos"/>
                <w:sz w:val="22"/>
                <w:szCs w:val="22"/>
              </w:rPr>
              <w:t xml:space="preserve">Seçim kuralı aşağıda</w:t>
            </w:r>
          </w:p>
        </w:tc>
      </w:tr>
    </w:tbl>
    <w:p>
      <w:pPr>
        <w:spacing w:after="120"/>
      </w:pPr>
    </w:p>
    <w:p>
      <w:pPr>
        <w:pStyle w:val="Heading2"/>
        <w:spacing w:after="140" w:before="280"/>
      </w:pPr>
      <w:r>
        <w:rPr>
          <w:rFonts w:ascii="Aptos" w:cs="Aptos" w:eastAsia="Aptos" w:hAnsi="Aptos"/>
          <w:b/>
          <w:bCs/>
          <w:color w:val="000000"/>
          <w:sz w:val="26"/>
          <w:szCs w:val="26"/>
        </w:rPr>
        <w:t xml:space="preserve">Görev ve Yordam</w:t>
      </w:r>
    </w:p>
    <w:p>
      <w:pPr>
        <w:spacing w:after="160" w:line="278" w:lineRule="auto"/>
        <w:jc w:val="both"/>
      </w:pPr>
      <w:r>
        <w:rPr>
          <w:rFonts w:ascii="Aptos" w:cs="Aptos" w:eastAsia="Aptos" w:hAnsi="Aptos"/>
          <w:sz w:val="24"/>
          <w:szCs w:val="24"/>
        </w:rPr>
        <w:t xml:space="preserve">Katılımcıdan, gürültü akışı içinde kısa bir kesinti (sessizlik) duyduğu her an yanıt tuşuna basması istenir. Yönergede boşlukların sayısı ve süreleri bildirilmez. Deneme sırasında geri bildirim verilmez.</w:t>
      </w:r>
    </w:p>
    <w:p>
      <w:pPr>
        <w:spacing w:after="160" w:line="278" w:lineRule="auto"/>
        <w:jc w:val="both"/>
      </w:pPr>
      <w:r>
        <w:rPr>
          <w:rFonts w:ascii="Aptos" w:cs="Aptos" w:eastAsia="Aptos" w:hAnsi="Aptos"/>
          <w:sz w:val="24"/>
          <w:szCs w:val="24"/>
        </w:rPr>
        <w:t xml:space="preserve">Test öncesinde, yalnızca uzun boşluklar (görevin en kolay düzeyi) içeren kısa bir alıştırma bloğu uygulanır. Alıştırmanın amacı, katılımcının görevi anladığını doğrulamaktır; alıştırma verisi analize dâhil edilmez.</w:t>
      </w:r>
    </w:p>
    <w:p>
      <w:pPr>
        <w:spacing w:after="160" w:line="278" w:lineRule="auto"/>
        <w:jc w:val="both"/>
      </w:pPr>
      <w:r>
        <w:rPr>
          <w:rFonts w:ascii="Aptos" w:cs="Aptos" w:eastAsia="Aptos" w:hAnsi="Aptos"/>
          <w:sz w:val="24"/>
          <w:szCs w:val="24"/>
        </w:rPr>
        <w:t xml:space="preserve">Her boşluk için, boşluğun başlangıcından itibaren önceden tanımlanmış bir yanıt penceresi içinde gelen tuş basımı isabet olarak kaydedilir. Bu pencerenin dışındaki basımlar yanlış alarm olarak kaydedilir. Bir segment birden fazla boşluk içerebildiğinden, tek bir denemeye birden fazla yanıt kaydedilebilir; veri yapısı buna göre tasarlanmıştır.</w:t>
      </w:r>
    </w:p>
    <w:p>
      <w:pPr>
        <w:pBdr>
          <w:top w:val="single" w:color="808080" w:sz="6" w:space="6"/>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Yanıt penceresinin süresi bu taslakta sayısal olarak belirlenmemiştir ve danışman kararıyla kesinleştirilmelidir. Pencerenin veri toplandıktan sonra seçilmesi, isabet ve yanlış alarm oranlarının sonuçlara göre ayarlanabilmesi anlamına gelir; bu nedenle değerin önceden sabitlenmesi gerekmektedir.</w:t>
      </w:r>
    </w:p>
    <w:p>
      <w:pPr>
        <w:pStyle w:val="Heading2"/>
        <w:spacing w:after="140" w:before="280"/>
      </w:pPr>
      <w:r>
        <w:rPr>
          <w:rFonts w:ascii="Aptos" w:cs="Aptos" w:eastAsia="Aptos" w:hAnsi="Aptos"/>
          <w:b/>
          <w:bCs/>
          <w:color w:val="000000"/>
          <w:sz w:val="26"/>
          <w:szCs w:val="26"/>
        </w:rPr>
        <w:t xml:space="preserve">Kulak Seçimi</w:t>
      </w:r>
    </w:p>
    <w:p>
      <w:pPr>
        <w:spacing w:after="160" w:line="278" w:lineRule="auto"/>
        <w:jc w:val="both"/>
      </w:pPr>
      <w:r>
        <w:rPr>
          <w:rFonts w:ascii="Aptos" w:cs="Aptos" w:eastAsia="Aptos" w:hAnsi="Aptos"/>
          <w:sz w:val="24"/>
          <w:szCs w:val="24"/>
        </w:rPr>
        <w:t xml:space="preserve">GIN monaural bir testtir ve bu çalışmanın popülasyonu açısından kulak seçimi kritik bir tasarım kararıdır.</w:t>
      </w:r>
    </w:p>
    <w:p>
      <w:pPr>
        <w:spacing w:after="160" w:line="278" w:lineRule="auto"/>
        <w:jc w:val="both"/>
      </w:pPr>
      <w:r>
        <w:rPr>
          <w:rFonts w:ascii="Aptos" w:cs="Aptos" w:eastAsia="Aptos" w:hAnsi="Aptos"/>
          <w:b/>
          <w:bCs/>
          <w:sz w:val="24"/>
          <w:szCs w:val="24"/>
        </w:rPr>
        <w:t xml:space="preserve">SSD grubunda test yalnızca iyi kulağa uygulanır. </w:t>
      </w:r>
      <w:r>
        <w:rPr>
          <w:rFonts w:ascii="Aptos" w:cs="Aptos" w:eastAsia="Aptos" w:hAnsi="Aptos"/>
          <w:sz w:val="24"/>
          <w:szCs w:val="24"/>
        </w:rPr>
        <w:t xml:space="preserve">Sağır kulağa sunulan bir uyaran işitsel zamansal çözünürlük hakkında bilgi vermez; bu koşulda elde edilecek veri ölçüm değil, tavan/taban etkisidir.</w:t>
      </w:r>
    </w:p>
    <w:p>
      <w:pPr>
        <w:spacing w:after="160" w:line="278" w:lineRule="auto"/>
        <w:jc w:val="both"/>
      </w:pPr>
      <w:r>
        <w:rPr>
          <w:rFonts w:ascii="Aptos" w:cs="Aptos" w:eastAsia="Aptos" w:hAnsi="Aptos"/>
          <w:b/>
          <w:bCs/>
          <w:sz w:val="24"/>
          <w:szCs w:val="24"/>
        </w:rPr>
        <w:t xml:space="preserve">Kontrol grubunda hangi kulağın kullanılacağı ayrı bir karardır. </w:t>
      </w:r>
      <w:r>
        <w:rPr>
          <w:rFonts w:ascii="Aptos" w:cs="Aptos" w:eastAsia="Aptos" w:hAnsi="Aptos"/>
          <w:sz w:val="24"/>
          <w:szCs w:val="24"/>
        </w:rPr>
        <w:t xml:space="preserve">Kontrol katılımcılarında her iki kulak da test edilebilir durumdadır; ancak SSD gruplarında yalnızca tek kulak test edildiğinden, gruplar arası karşılaştırmanın kulak faktöründen etkilenmemesi gerekir. Taslakta önerilen çözüm, kontrol grubunda test edilecek kulağın, SSD gruplarındaki iyi kulak dağılımına oranlı biçimde dengelenmesidir: sağ SSD katılımcılarında sol kulak, sol SSD katılımcılarında sağ kulak test edileceğinden, kontrol grubunda da kulak atamaları bu dağılımı yansıtacak şekilde yapılır. Böylece kulak faktörü gruplar arasında dengelenmiş olur.</w:t>
      </w:r>
    </w:p>
    <w:p>
      <w:pPr>
        <w:spacing w:after="160" w:line="278" w:lineRule="auto"/>
        <w:jc w:val="both"/>
      </w:pPr>
      <w:r>
        <w:rPr>
          <w:rFonts w:ascii="Aptos" w:cs="Aptos" w:eastAsia="Aptos" w:hAnsi="Aptos"/>
          <w:sz w:val="24"/>
          <w:szCs w:val="24"/>
        </w:rPr>
        <w:t xml:space="preserve">Alternatif olarak kontrol grubunda her iki kulağın da test edilmesi mümkündür; bu durumda oturum süresi yaklaşık 4 dakika uzar ve gruplar arası karşılaştırmada kontrol grubunun hangi kulak verisinin kullanılacağı ayrıca tanımlanmalıdır.</w:t>
      </w:r>
    </w:p>
    <w:p>
      <w:pPr>
        <w:spacing w:after="160" w:line="278" w:lineRule="auto"/>
        <w:jc w:val="both"/>
      </w:pPr>
      <w:r>
        <w:rPr>
          <w:rFonts w:ascii="Aptos" w:cs="Aptos" w:eastAsia="Aptos" w:hAnsi="Aptos"/>
          <w:sz w:val="24"/>
          <w:szCs w:val="24"/>
        </w:rPr>
        <w:t xml:space="preserve">Test edilen kulak, her katılımcı için veri kaydına yazılır ve analiz sırasında kontrol edilir.</w:t>
      </w:r>
    </w:p>
    <w:p>
      <w:pPr>
        <w:pStyle w:val="Heading2"/>
        <w:spacing w:after="140" w:before="280"/>
      </w:pPr>
      <w:r>
        <w:rPr>
          <w:rFonts w:ascii="Aptos" w:cs="Aptos" w:eastAsia="Aptos" w:hAnsi="Aptos"/>
          <w:b/>
          <w:bCs/>
          <w:color w:val="000000"/>
          <w:sz w:val="26"/>
          <w:szCs w:val="26"/>
        </w:rPr>
        <w:t xml:space="preserve">Ölçülen Değişkenler</w:t>
      </w:r>
    </w:p>
    <w:p>
      <w:pPr>
        <w:pStyle w:val="ListParagraph"/>
        <w:numPr>
          <w:ilvl w:val="0"/>
          <w:numId w:val="2"/>
        </w:numPr>
        <w:spacing w:after="60" w:line="278" w:lineRule="auto"/>
      </w:pPr>
      <w:r>
        <w:rPr>
          <w:rFonts w:ascii="Aptos" w:cs="Aptos" w:eastAsia="Aptos" w:hAnsi="Aptos"/>
          <w:sz w:val="24"/>
          <w:szCs w:val="24"/>
        </w:rPr>
        <w:t xml:space="preserve">Yaklaşık boşluk saptama eşiği (ms): 6 sunumun en az 4'ünde saptanan en kısa boşluk süresi</w:t>
      </w:r>
    </w:p>
    <w:p>
      <w:pPr>
        <w:pStyle w:val="ListParagraph"/>
        <w:numPr>
          <w:ilvl w:val="0"/>
          <w:numId w:val="2"/>
        </w:numPr>
        <w:spacing w:after="60" w:line="278" w:lineRule="auto"/>
      </w:pPr>
      <w:r>
        <w:rPr>
          <w:rFonts w:ascii="Aptos" w:cs="Aptos" w:eastAsia="Aptos" w:hAnsi="Aptos"/>
          <w:sz w:val="24"/>
          <w:szCs w:val="24"/>
        </w:rPr>
        <w:t xml:space="preserve">Toplam saptama yüzdesi: saptanan boşluk sayısı / 60</w:t>
      </w:r>
    </w:p>
    <w:p>
      <w:pPr>
        <w:pStyle w:val="ListParagraph"/>
        <w:numPr>
          <w:ilvl w:val="0"/>
          <w:numId w:val="2"/>
        </w:numPr>
        <w:spacing w:after="60" w:line="278" w:lineRule="auto"/>
      </w:pPr>
      <w:r>
        <w:rPr>
          <w:rFonts w:ascii="Aptos" w:cs="Aptos" w:eastAsia="Aptos" w:hAnsi="Aptos"/>
          <w:sz w:val="24"/>
          <w:szCs w:val="24"/>
        </w:rPr>
        <w:t xml:space="preserve">Yanlış alarm sayısı: hiçbir boşluğun yanıt penceresine düşmeyen tuş basımları</w:t>
      </w:r>
    </w:p>
    <w:p>
      <w:pPr>
        <w:pStyle w:val="ListParagraph"/>
        <w:numPr>
          <w:ilvl w:val="0"/>
          <w:numId w:val="2"/>
        </w:numPr>
        <w:spacing w:after="60" w:line="278" w:lineRule="auto"/>
      </w:pPr>
      <w:r>
        <w:rPr>
          <w:rFonts w:ascii="Aptos" w:cs="Aptos" w:eastAsia="Aptos" w:hAnsi="Aptos"/>
          <w:sz w:val="24"/>
          <w:szCs w:val="24"/>
        </w:rPr>
        <w:t xml:space="preserve">Tepki süresi (ms): boşluk başlangıcından tuş basımına</w:t>
      </w:r>
    </w:p>
    <w:p>
      <w:pPr>
        <w:spacing w:after="120"/>
      </w:pPr>
    </w:p>
    <w:p>
      <w:pPr>
        <w:pStyle w:val="Heading2"/>
        <w:spacing w:after="140" w:before="280"/>
      </w:pPr>
      <w:r>
        <w:rPr>
          <w:rFonts w:ascii="Aptos" w:cs="Aptos" w:eastAsia="Aptos" w:hAnsi="Aptos"/>
          <w:b/>
          <w:bCs/>
          <w:color w:val="000000"/>
          <w:sz w:val="26"/>
          <w:szCs w:val="26"/>
        </w:rPr>
        <w:t xml:space="preserve">Analiz</w:t>
      </w:r>
    </w:p>
    <w:p>
      <w:pPr>
        <w:spacing w:after="160" w:line="278" w:lineRule="auto"/>
        <w:jc w:val="both"/>
      </w:pPr>
      <w:r>
        <w:rPr>
          <w:rFonts w:ascii="Aptos" w:cs="Aptos" w:eastAsia="Aptos" w:hAnsi="Aptos"/>
          <w:sz w:val="24"/>
          <w:szCs w:val="24"/>
        </w:rPr>
        <w:t xml:space="preserve">Boşluk saptama eşiği ve toplam saptama yüzdesi, gruplar (sağ SSD, sol SSD, kontrol) arasında karşılaştırılacaktır. Elde edilen değerler, testin yayımlanmış norm aralıklarıyla da karşılaştırılacaktır.</w:t>
      </w:r>
    </w:p>
    <w:p>
      <w:pPr>
        <w:spacing w:after="160" w:line="278" w:lineRule="auto"/>
        <w:jc w:val="both"/>
      </w:pPr>
      <w:r>
        <w:rPr>
          <w:rFonts w:ascii="Aptos" w:cs="Aptos" w:eastAsia="Aptos" w:hAnsi="Aptos"/>
          <w:b/>
          <w:bCs/>
          <w:sz w:val="24"/>
          <w:szCs w:val="24"/>
        </w:rPr>
        <w:t xml:space="preserve">Bölüm 8'de tanımlanan istatistiksel çerçevede, boşluk saptama eşiği zamansal bağlanma penceresi (TBW) analizlerinde kovaryat olarak modele dâhil edilecektir. </w:t>
      </w:r>
      <w:r>
        <w:rPr>
          <w:rFonts w:ascii="Aptos" w:cs="Aptos" w:eastAsia="Aptos" w:hAnsi="Aptos"/>
          <w:sz w:val="24"/>
          <w:szCs w:val="24"/>
        </w:rPr>
        <w:t xml:space="preserve">Böylece gruplar arasında gözlenecek bir TBW farkının, modaliteler arası entegrasyondaki bir farklılıktan mı yoksa işitsel zamansal çözünürlükteki bir farklılıktan mı kaynaklandığı ayrıştırılabilecektir.</w:t>
      </w:r>
    </w:p>
    <w:p>
      <w:pPr>
        <w:spacing w:after="160" w:line="278" w:lineRule="auto"/>
        <w:jc w:val="both"/>
      </w:pPr>
      <w:r>
        <w:rPr>
          <w:rFonts w:ascii="Aptos" w:cs="Aptos" w:eastAsia="Aptos" w:hAnsi="Aptos"/>
          <w:sz w:val="24"/>
          <w:szCs w:val="24"/>
        </w:rPr>
        <w:t xml:space="preserve">İşitme kaybı süresi (deprivasyon süresi) ile boşluk saptama eşiği arasındaki ilişki, Bölüm 8'deki korelasyon ve regresyon çerçevesi içinde incelenecektir.</w:t>
      </w:r>
    </w:p>
    <w:p>
      <w:pPr>
        <w:pStyle w:val="Heading2"/>
        <w:spacing w:after="140" w:before="280"/>
      </w:pPr>
      <w:r>
        <w:rPr>
          <w:rFonts w:ascii="Aptos" w:cs="Aptos" w:eastAsia="Aptos" w:hAnsi="Aptos"/>
          <w:b/>
          <w:bCs/>
          <w:color w:val="000000"/>
          <w:sz w:val="26"/>
          <w:szCs w:val="26"/>
        </w:rPr>
        <w:t xml:space="preserve">Yorumlama Sınırları</w:t>
      </w:r>
    </w:p>
    <w:p>
      <w:pPr>
        <w:pStyle w:val="ListParagraph"/>
        <w:numPr>
          <w:ilvl w:val="0"/>
          <w:numId w:val="2"/>
        </w:numPr>
        <w:spacing w:after="60" w:line="278" w:lineRule="auto"/>
      </w:pPr>
      <w:r>
        <w:rPr>
          <w:rFonts w:ascii="Aptos" w:cs="Aptos" w:eastAsia="Aptos" w:hAnsi="Aptos"/>
          <w:sz w:val="24"/>
          <w:szCs w:val="24"/>
        </w:rPr>
        <w:t xml:space="preserve">Test tek kulağa uygulandığından, elde edilen ölçüt binaural zamansal işlemleme hakkında bilgi vermez.</w:t>
      </w:r>
    </w:p>
    <w:p>
      <w:pPr>
        <w:pStyle w:val="ListParagraph"/>
        <w:numPr>
          <w:ilvl w:val="0"/>
          <w:numId w:val="2"/>
        </w:numPr>
        <w:spacing w:after="60" w:line="278" w:lineRule="auto"/>
      </w:pPr>
      <w:r>
        <w:rPr>
          <w:rFonts w:ascii="Aptos" w:cs="Aptos" w:eastAsia="Aptos" w:hAnsi="Aptos"/>
          <w:sz w:val="24"/>
          <w:szCs w:val="24"/>
        </w:rPr>
        <w:t xml:space="preserve">Eşik ölçütü (6 sunumun en az 4'ü) raporda açıkça belirtilmelidir; farklı ölçütlerle hesaplanan eşikler doğrudan karşılaştırılamaz.</w:t>
      </w:r>
    </w:p>
    <w:p>
      <w:pPr>
        <w:pStyle w:val="ListParagraph"/>
        <w:numPr>
          <w:ilvl w:val="0"/>
          <w:numId w:val="2"/>
        </w:numPr>
        <w:spacing w:after="60" w:line="278" w:lineRule="auto"/>
      </w:pPr>
      <w:r>
        <w:rPr>
          <w:rFonts w:ascii="Aptos" w:cs="Aptos" w:eastAsia="Aptos" w:hAnsi="Aptos"/>
          <w:sz w:val="24"/>
          <w:szCs w:val="24"/>
        </w:rPr>
        <w:t xml:space="preserve">Yanlış alarm oranı yüksek olan katılımcılarda eşik değeri, gerçek zamansal çözünürlükten çok yanıt eğilimini yansıtabilir. Bu nedenle eşik ile yanlış alarm sayısı birlikte raporlanacaktır.</w:t>
      </w:r>
    </w:p>
    <w:p>
      <w:pPr>
        <w:pStyle w:val="ListParagraph"/>
        <w:numPr>
          <w:ilvl w:val="0"/>
          <w:numId w:val="2"/>
        </w:numPr>
        <w:spacing w:after="60" w:line="278" w:lineRule="auto"/>
      </w:pPr>
      <w:r>
        <w:rPr>
          <w:rFonts w:ascii="Aptos" w:cs="Aptos" w:eastAsia="Aptos" w:hAnsi="Aptos"/>
          <w:sz w:val="24"/>
          <w:szCs w:val="24"/>
        </w:rPr>
        <w:t xml:space="preserve">Ölçütler, uyaranların kalibre edilmiş bir seviyede sunulmasına bağlıdır; kalibrasyon prosedürü Bölüm 5'te tanımlanan altyapının parçasıdır.</w:t>
      </w:r>
    </w:p>
    <w:p>
      <w:pPr>
        <w:spacing w:after="120"/>
      </w:pPr>
    </w:p>
    <w:p>
      <w:pPr>
        <w:pStyle w:val="Heading1"/>
        <w:spacing w:after="140" w:before="280"/>
      </w:pPr>
      <w:r>
        <w:rPr>
          <w:rFonts w:ascii="Aptos" w:cs="Aptos" w:eastAsia="Aptos" w:hAnsi="Aptos"/>
          <w:b/>
          <w:bCs/>
          <w:color w:val="000000"/>
          <w:sz w:val="28"/>
          <w:szCs w:val="28"/>
        </w:rPr>
        <w:t xml:space="preserve">7. Bölüme Eklenmesi Önerilen Değişkenler</w:t>
      </w:r>
    </w:p>
    <w:p>
      <w:pPr>
        <w:spacing w:after="160" w:line="278" w:lineRule="auto"/>
        <w:jc w:val="both"/>
      </w:pPr>
      <w:r>
        <w:rPr>
          <w:rFonts w:ascii="Aptos" w:cs="Aptos" w:eastAsia="Aptos" w:hAnsi="Aptos"/>
          <w:sz w:val="24"/>
          <w:szCs w:val="24"/>
        </w:rPr>
        <w:t xml:space="preserve">Mevcut dokümanın 7. bölümündeki listelere aşağıdaki maddenin eklenmesi önerilmektedir.</w:t>
      </w:r>
    </w:p>
    <w:p>
      <w:pPr>
        <w:pStyle w:val="ListParagraph"/>
        <w:numPr>
          <w:ilvl w:val="0"/>
          <w:numId w:val="2"/>
        </w:numPr>
        <w:spacing w:after="60" w:line="278" w:lineRule="auto"/>
      </w:pPr>
      <w:r>
        <w:rPr>
          <w:rFonts w:ascii="Aptos" w:cs="Aptos" w:eastAsia="Aptos" w:hAnsi="Aptos"/>
          <w:b/>
          <w:bCs/>
          <w:sz w:val="24"/>
          <w:szCs w:val="24"/>
        </w:rPr>
        <w:t xml:space="preserve">Bağımlı değişkenler: Boşluk saptama eşiği (GIN, ms)</w:t>
      </w:r>
    </w:p>
    <w:p>
      <w:pPr>
        <w:spacing w:after="120"/>
      </w:pPr>
    </w:p>
    <w:p>
      <w:pPr>
        <w:spacing w:after="160" w:line="278" w:lineRule="auto"/>
        <w:jc w:val="both"/>
      </w:pPr>
      <w:r>
        <w:rPr>
          <w:rFonts w:ascii="Aptos" w:cs="Aptos" w:eastAsia="Aptos" w:hAnsi="Aptos"/>
          <w:sz w:val="24"/>
          <w:szCs w:val="24"/>
        </w:rPr>
        <w:t xml:space="preserve">Bu ölçüt, aynı zamanda Bölüm 8'deki modellerde kovaryat olarak kullanılacağından, işitsel dikkat ölçütleriyle aynı statüde konumlandırılması önerilir.</w:t>
      </w:r>
    </w:p>
    <w:p>
      <w:pPr>
        <w:pStyle w:val="Heading1"/>
        <w:spacing w:after="140" w:before="280"/>
      </w:pPr>
      <w:r>
        <w:rPr>
          <w:rFonts w:ascii="Aptos" w:cs="Aptos" w:eastAsia="Aptos" w:hAnsi="Aptos"/>
          <w:b/>
          <w:bCs/>
          <w:color w:val="000000"/>
          <w:sz w:val="28"/>
          <w:szCs w:val="28"/>
        </w:rPr>
        <w:t xml:space="preserve">Yazılım Karşılığı</w:t>
      </w:r>
    </w:p>
    <w:p>
      <w:pPr>
        <w:spacing w:after="160" w:line="278" w:lineRule="auto"/>
        <w:jc w:val="both"/>
      </w:pPr>
      <w:r>
        <w:rPr>
          <w:rFonts w:ascii="Aptos" w:cs="Aptos" w:eastAsia="Aptos" w:hAnsi="Aptos"/>
          <w:sz w:val="24"/>
          <w:szCs w:val="24"/>
        </w:rPr>
        <w:t xml:space="preserve">Protokol ile uygulama arasındaki izlenebilirliği korumak amacıyla, bu bölümdeki tanımların yazılımdaki karşılıkları aşağıda verilmiştir. Parametreler yapılandırma dosyasından yönetilmekte olup, doküman güncellendiğinde kod değişikliği gerekmemektedir.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Yöntem dokümanındaki tanım</w:t>
            </w:r>
          </w:p>
        </w:tc>
        <w:tc>
          <w:tcPr>
            <w:tcW w:type="dxa" w:w="4513"/>
            <w:shd w:fill="E8E8E8" w:color="auto" w:val="clear"/>
            <w:tcMar>
              <w:top w:type="dxa" w:w="80"/>
              <w:left w:type="dxa" w:w="120"/>
              <w:bottom w:type="dxa" w:w="80"/>
              <w:right w:type="dxa" w:w="120"/>
            </w:tcMar>
          </w:tcPr>
          <w:p>
            <w:pPr>
              <w:spacing w:after="0" w:line="240" w:lineRule="auto"/>
            </w:pPr>
            <w:r>
              <w:rPr>
                <w:rFonts w:ascii="Aptos" w:cs="Aptos" w:eastAsia="Aptos" w:hAnsi="Aptos"/>
                <w:b/>
                <w:bCs/>
                <w:sz w:val="22"/>
                <w:szCs w:val="22"/>
              </w:rPr>
              <w:t xml:space="preserve">Yazılımdaki karşılığı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GIN görevi</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modules.gin (yapılandırma dosyası)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Boşluk süreleri ve tekrar sayısı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gap_durations_ms, reps_per_gap</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Segment süresi ve sayısı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segment_duration_s, n_segments</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Segment başına boşluk sınırı ve ayrım</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max_gaps_per_segment, min_gap_separation_s</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Eşik ölçütü</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threshold_criterion</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Kulak seçimi kuralı</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ear_selection; kullanılan kulak deneme kaydına yazılır</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Boşlukların segment içindeki konumu</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Deneme kaydındaki gap_onsets_s / gap_durations_ms alanları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Segment başına birden fazla yanıt</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Deneme başına 0..n yanıt kaydı</w:t>
            </w:r>
          </w:p>
        </w:tc>
      </w:tr>
      <w:tr>
        <w:trPr>
          <w:tblHeader w:val="false"/>
        </w:trPr>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Yanıt penceresi</w:t>
            </w:r>
          </w:p>
        </w:tc>
        <w:tc>
          <w:tcPr>
            <w:tcW w:type="dxa" w:w="4513"/>
            <w:tcMar>
              <w:top w:type="dxa" w:w="80"/>
              <w:left w:type="dxa" w:w="120"/>
              <w:bottom w:type="dxa" w:w="80"/>
              <w:right w:type="dxa" w:w="120"/>
            </w:tcMar>
          </w:tcPr>
          <w:p>
            <w:pPr>
              <w:spacing w:after="0" w:line="240" w:lineRule="auto"/>
            </w:pPr>
            <w:r>
              <w:rPr>
                <w:rFonts w:ascii="Aptos" w:cs="Aptos" w:eastAsia="Aptos" w:hAnsi="Aptos"/>
                <w:sz w:val="22"/>
                <w:szCs w:val="22"/>
              </w:rPr>
              <w:t xml:space="preserve">Henüz tanımlı değil — aşağıdaki 2. maddeye bakınız</w:t>
            </w:r>
          </w:p>
        </w:tc>
      </w:tr>
    </w:tbl>
    <w:p>
      <w:pPr>
        <w:spacing w:after="120"/>
      </w:pPr>
    </w:p>
    <w:p>
      <w:pPr>
        <w:pStyle w:val="Heading1"/>
        <w:spacing w:after="140" w:before="280"/>
      </w:pPr>
      <w:r>
        <w:rPr>
          <w:rFonts w:ascii="Aptos" w:cs="Aptos" w:eastAsia="Aptos" w:hAnsi="Aptos"/>
          <w:b/>
          <w:bCs/>
          <w:color w:val="000000"/>
          <w:sz w:val="28"/>
          <w:szCs w:val="28"/>
        </w:rPr>
        <w:t xml:space="preserve">Danışman Onayı Gereken Noktalar</w:t>
      </w:r>
    </w:p>
    <w:p>
      <w:pPr>
        <w:spacing w:after="160" w:line="278" w:lineRule="auto"/>
        <w:jc w:val="both"/>
      </w:pPr>
      <w:r>
        <w:rPr>
          <w:rFonts w:ascii="Aptos" w:cs="Aptos" w:eastAsia="Aptos" w:hAnsi="Aptos"/>
          <w:sz w:val="24"/>
          <w:szCs w:val="24"/>
        </w:rPr>
        <w:t xml:space="preserve">Aşağıdaki maddeler bu taslakta bir varsayımla doldurulmuş veya açık bırakılmıştır ve danışman kararıyla kesinleştirilmelidir.</w:t>
      </w:r>
    </w:p>
    <w:p>
      <w:pPr>
        <w:pStyle w:val="ListParagraph"/>
        <w:numPr>
          <w:ilvl w:val="0"/>
          <w:numId w:val="2"/>
        </w:numPr>
        <w:spacing w:after="60" w:line="278" w:lineRule="auto"/>
      </w:pPr>
      <w:r>
        <w:rPr>
          <w:rFonts w:ascii="Aptos" w:cs="Aptos" w:eastAsia="Aptos" w:hAnsi="Aptos"/>
          <w:sz w:val="24"/>
          <w:szCs w:val="24"/>
        </w:rPr>
        <w:t xml:space="preserve">Kontrol grubunda kulak seçimi. Taslak, kulak atamalarının SSD gruplarındaki iyi kulak dağılımına oranlı biçimde dengelenmesini önermektedir. Her iki kulağın test edilmesi tercih edilirse oturum yaklaşık 4 dakika uzar ve karşılaştırmada hangi kulak verisinin kullanılacağı tanımlanmalıdır.</w:t>
      </w:r>
    </w:p>
    <w:p>
      <w:pPr>
        <w:pStyle w:val="ListParagraph"/>
        <w:numPr>
          <w:ilvl w:val="0"/>
          <w:numId w:val="2"/>
        </w:numPr>
        <w:spacing w:after="60" w:line="278" w:lineRule="auto"/>
      </w:pPr>
      <w:r>
        <w:rPr>
          <w:rFonts w:ascii="Aptos" w:cs="Aptos" w:eastAsia="Aptos" w:hAnsi="Aptos"/>
          <w:sz w:val="24"/>
          <w:szCs w:val="24"/>
        </w:rPr>
        <w:t xml:space="preserve">Yanıt penceresi süresi. Bir tuş basımının hangi zaman aralığında isabet sayılacağı henüz sayısal olarak tanımlanmamıştır. Veri toplandıktan sonra belirlenmesi, oranların sonuçlara göre ayarlanabilmesi anlamına geleceğinden önceden sabitlenmesi gerekmektedir.</w:t>
      </w:r>
    </w:p>
    <w:p>
      <w:pPr>
        <w:pStyle w:val="ListParagraph"/>
        <w:numPr>
          <w:ilvl w:val="0"/>
          <w:numId w:val="2"/>
        </w:numPr>
        <w:spacing w:after="60" w:line="278" w:lineRule="auto"/>
      </w:pPr>
      <w:r>
        <w:rPr>
          <w:rFonts w:ascii="Aptos" w:cs="Aptos" w:eastAsia="Aptos" w:hAnsi="Aptos"/>
          <w:sz w:val="24"/>
          <w:szCs w:val="24"/>
        </w:rPr>
        <w:t xml:space="preserve">Ölçütün birincil sonuç değişkeni mi yoksa kovaryat/kontrol ölçütü mü sayılacağı. Taslak, Bölüm 6.4'teki dikkat ölçütleriyle aynı statüde, TBW analizlerinde kovaryat olarak konumlandırmaktadır.</w:t>
      </w:r>
    </w:p>
    <w:p>
      <w:pPr>
        <w:pStyle w:val="ListParagraph"/>
        <w:numPr>
          <w:ilvl w:val="0"/>
          <w:numId w:val="2"/>
        </w:numPr>
        <w:spacing w:after="60" w:line="278" w:lineRule="auto"/>
      </w:pPr>
      <w:r>
        <w:rPr>
          <w:rFonts w:ascii="Aptos" w:cs="Aptos" w:eastAsia="Aptos" w:hAnsi="Aptos"/>
          <w:sz w:val="24"/>
          <w:szCs w:val="24"/>
        </w:rPr>
        <w:t xml:space="preserve">Standart parametrelerin korunup korunmayacağı. Boşluk süreleri, tekrar sayısı ve 4/6 eşik ölçütü standart uygulamadan alınmıştır; bunların değiştirilmesi yayımlanmış norm değerleriyle karşılaştırılabilirliği ortadan kaldırır.</w:t>
      </w:r>
    </w:p>
    <w:p>
      <w:pPr>
        <w:pStyle w:val="ListParagraph"/>
        <w:numPr>
          <w:ilvl w:val="0"/>
          <w:numId w:val="2"/>
        </w:numPr>
        <w:spacing w:after="60" w:line="278" w:lineRule="auto"/>
      </w:pPr>
      <w:r>
        <w:rPr>
          <w:rFonts w:ascii="Aptos" w:cs="Aptos" w:eastAsia="Aptos" w:hAnsi="Aptos"/>
          <w:sz w:val="24"/>
          <w:szCs w:val="24"/>
        </w:rPr>
        <w:t xml:space="preserve">Alıştırma bloğunun uzunluğu ve anlama kontrolünün ölçütü.</w:t>
      </w:r>
    </w:p>
    <w:p>
      <w:pPr>
        <w:pStyle w:val="ListParagraph"/>
        <w:numPr>
          <w:ilvl w:val="0"/>
          <w:numId w:val="2"/>
        </w:numPr>
        <w:spacing w:after="60" w:line="278" w:lineRule="auto"/>
      </w:pPr>
      <w:r>
        <w:rPr>
          <w:rFonts w:ascii="Aptos" w:cs="Aptos" w:eastAsia="Aptos" w:hAnsi="Aptos"/>
          <w:sz w:val="24"/>
          <w:szCs w:val="24"/>
        </w:rPr>
        <w:t xml:space="preserve">Testin uygulanacağı sunum seviyesi (dB SL veya dB HL) ve bunun kalibrasyon prosedürüyle ilişkisi.</w:t>
      </w:r>
    </w:p>
    <w:p>
      <w:pPr>
        <w:spacing w:after="120"/>
      </w:pPr>
    </w:p>
    <w:p>
      <w:pPr>
        <w:pStyle w:val="Heading1"/>
        <w:spacing w:after="140" w:before="280"/>
      </w:pPr>
      <w:r>
        <w:rPr>
          <w:rFonts w:ascii="Aptos" w:cs="Aptos" w:eastAsia="Aptos" w:hAnsi="Aptos"/>
          <w:b/>
          <w:bCs/>
          <w:color w:val="000000"/>
          <w:sz w:val="28"/>
          <w:szCs w:val="28"/>
        </w:rPr>
        <w:t xml:space="preserve">Kaynaklar</w:t>
      </w:r>
    </w:p>
    <w:p>
      <w:pPr>
        <w:pBdr>
          <w:top w:val="single" w:color="808080" w:sz="6" w:space="6"/>
          <w:bottom w:val="single" w:color="808080" w:sz="6" w:space="6"/>
          <w:left w:val="single" w:color="808080" w:sz="6" w:space="8"/>
          <w:right w:val="single" w:color="808080" w:sz="6" w:space="8"/>
        </w:pBdr>
        <w:spacing w:after="240" w:line="278" w:lineRule="auto"/>
        <w:jc w:val="both"/>
      </w:pPr>
      <w:r>
        <w:rPr>
          <w:rFonts w:ascii="Aptos" w:cs="Aptos" w:eastAsia="Aptos" w:hAnsi="Aptos"/>
          <w:i/>
          <w:iCs/>
          <w:color w:val="404040"/>
          <w:sz w:val="21"/>
          <w:szCs w:val="21"/>
        </w:rPr>
        <w:t xml:space="preserve">Aşağıdaki kaynak, GIN testinin özgün tanımlayıcı çalışmasıdır. Numaralandırma, mevcut dokümanın kaynakça listesine göre yeniden düzenlenmelidir. Norm değerlerine ve SSD popülasyonuna özgü güncel kaynakların danışman tarafından eklenmesi önerilir.</w:t>
      </w:r>
    </w:p>
    <w:p>
      <w:pPr>
        <w:spacing w:after="100" w:line="278" w:lineRule="auto"/>
        <w:jc w:val="left"/>
      </w:pPr>
      <w:r>
        <w:rPr>
          <w:rFonts w:ascii="Aptos" w:cs="Aptos" w:eastAsia="Aptos" w:hAnsi="Aptos"/>
          <w:sz w:val="24"/>
          <w:szCs w:val="24"/>
        </w:rPr>
        <w:t xml:space="preserve">Musiek, F. E., Shinn, J. B., Jirsa, R., Bamiou, D.-E., Baran, J. A., &amp; Zaidan, E. (2005). GIN (Gaps-In-Noise) test performance in subjects with confirmed central auditory nervous system involvement. Ear and Hearing, 26(6), 608–618.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2026-07-26T17:26:48.208Z</dcterms:created>
  <dcterms:modified xsi:type="dcterms:W3CDTF">2026-07-26T17:26:48.209Z</dcterms:modified>
</cp:coreProperties>
</file>

<file path=docProps/custom.xml><?xml version="1.0" encoding="utf-8"?>
<Properties xmlns="http://schemas.openxmlformats.org/officeDocument/2006/custom-properties" xmlns:vt="http://schemas.openxmlformats.org/officeDocument/2006/docPropsVTypes"/>
</file>