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32"/>
        </w:rPr>
        <w:t>SemEval-2026 Task 5 — Final Report</w:t>
      </w:r>
    </w:p>
    <w:p>
      <w:pPr>
        <w:jc w:val="center"/>
      </w:pPr>
      <w:r>
        <w:rPr>
          <w:b w:val="0"/>
          <w:i/>
          <w:sz w:val="22"/>
        </w:rPr>
        <w:t>Rating Plausibility of Word Senses in Ambiguous Sentences through Narrative Understanding</w:t>
      </w:r>
    </w:p>
    <w:p>
      <w:pPr>
        <w:jc w:val="center"/>
      </w:pPr>
      <w:r>
        <w:rPr>
          <w:b w:val="0"/>
          <w:sz w:val="20"/>
        </w:rPr>
        <w:t>GroupXX — Member 1, Member 2, Member 3</w:t>
      </w:r>
    </w:p>
    <w:p>
      <w:pPr>
        <w:jc w:val="center"/>
      </w:pPr>
      <w:r>
        <w:rPr>
          <w:b w:val="0"/>
          <w:sz w:val="20"/>
        </w:rPr>
        <w:t>18 May 2026</w:t>
      </w:r>
    </w:p>
    <w:p>
      <w:r>
        <w:rPr>
          <w:b/>
          <w:color w:val="0B3D91"/>
          <w:sz w:val="28"/>
        </w:rPr>
        <w:t>1. Introduction</w:t>
      </w:r>
    </w:p>
    <w:p>
      <w:pPr>
        <w:jc w:val="both"/>
      </w:pPr>
      <w:r>
        <w:t xml:space="preserve">SemEval-2026 Task 5 reframes word-sense disambiguation as </w:t>
      </w:r>
      <w:r>
        <w:rPr>
          <w:b/>
        </w:rPr>
        <w:t>graded plausibility rating</w:t>
      </w:r>
      <w:r>
        <w:t xml:space="preserve">. Each instance of the </w:t>
      </w:r>
      <w:r>
        <w:rPr>
          <w:b/>
        </w:rPr>
        <w:t>AmbiStory</w:t>
      </w:r>
      <w:r>
        <w:t xml:space="preserve"> corpus is a five-sentence story that contains a target homonym, paired with one candidate sense gloss; five annotators rate, on a 1–5 Likert scale, how plausible that sense is </w:t>
      </w:r>
      <w:r>
        <w:rPr>
          <w:i/>
        </w:rPr>
        <w:t>in the narrative</w:t>
      </w:r>
      <w:r>
        <w:t xml:space="preserve">. A system receives the story and a candidate sense and must output a rating; it is scored by </w:t>
      </w:r>
      <w:r>
        <w:rPr>
          <w:b/>
        </w:rPr>
        <w:t>Spearman correlation</w:t>
      </w:r>
      <w:r>
        <w:t xml:space="preserve"> against the human mean and by</w:t>
      </w:r>
    </w:p>
    <w:p>
      <w:pPr>
        <w:jc w:val="both"/>
      </w:pPr>
      <w:r>
        <w:rPr>
          <w:b/>
        </w:rPr>
        <w:t>accuracy@std</w:t>
      </w:r>
      <w:r>
        <w:t xml:space="preserve"> (a prediction is correct if it falls within one annotator standard deviation of the mean, or within absolute distance 1 of it). The course rubric defines an </w:t>
      </w:r>
      <w:r>
        <w:rPr>
          <w:i/>
        </w:rPr>
        <w:t>OK</w:t>
      </w:r>
      <w:r>
        <w:t xml:space="preserve"> system as accuracy@std ≥ 0.70 with ρ ≥ 0.60 and a</w:t>
      </w:r>
    </w:p>
    <w:p>
      <w:pPr>
        <w:jc w:val="both"/>
      </w:pPr>
      <w:r>
        <w:rPr>
          <w:i/>
        </w:rPr>
        <w:t>Good</w:t>
      </w:r>
      <w:r>
        <w:t xml:space="preserve"> system as ≥ 0.80 / ≥ 0.70.</w:t>
      </w:r>
    </w:p>
    <w:p>
      <w:pPr>
        <w:jc w:val="both"/>
      </w:pPr>
      <w:r>
        <w:t>Two properties of the data shape every design decision. First, the target is</w:t>
      </w:r>
    </w:p>
    <w:p>
      <w:pPr>
        <w:jc w:val="both"/>
      </w:pPr>
      <w:r>
        <w:rPr>
          <w:b/>
        </w:rPr>
        <w:t>graded and continuous</w:t>
      </w:r>
      <w:r>
        <w:t xml:space="preserve">, not a single gold class — so disagreement is signal, not noise (35 % of training items have annotator σ ≥ 1.2). Second, the official splits are </w:t>
      </w:r>
      <w:r>
        <w:rPr>
          <w:b/>
        </w:rPr>
        <w:t>near homonym-disjoint</w:t>
      </w:r>
      <w:r>
        <w:t xml:space="preserve">: the dev set shares </w:t>
      </w:r>
      <w:r>
        <w:rPr>
          <w:b/>
        </w:rPr>
        <w:t>0</w:t>
      </w:r>
      <w:r>
        <w:t xml:space="preserve"> homonyms with train and the test set shares </w:t>
      </w:r>
      <w:r>
        <w:rPr>
          <w:b/>
        </w:rPr>
        <w:t>1</w:t>
      </w:r>
      <w:r>
        <w:t>. A model that memorises lexical cues for specific homonyms therefore cannot transfer, which is exactly why our milestone lexical baselines plateaued at accuracy@std ≈ 0.55 / ρ ≈ 0.19.</w:t>
      </w:r>
    </w:p>
    <w:p>
      <w:pPr>
        <w:jc w:val="both"/>
      </w:pPr>
      <w:r>
        <w:t xml:space="preserve">Our final system is a </w:t>
      </w:r>
      <w:r>
        <w:rPr>
          <w:b/>
        </w:rPr>
        <w:t>three-component calibrated ensemble</w:t>
      </w:r>
      <w:r>
        <w:t xml:space="preserve">: (A) a </w:t>
      </w:r>
      <w:r>
        <w:rPr>
          <w:i/>
        </w:rPr>
        <w:t>training free</w:t>
      </w:r>
      <w:r>
        <w:t xml:space="preserve"> zero-shot NLI sense-plausibility scorer, (B) a fine-tuned gloss-informed encoder regressor, and (C) a </w:t>
      </w:r>
      <w:r>
        <w:rPr>
          <w:b/>
        </w:rPr>
        <w:t>novel Likert-distribution head</w:t>
      </w:r>
      <w:r>
        <w:t xml:space="preserve"> that predicts the full five-vote annotator distribution and reads out a continuous expected rating plus a free per-sample uncertainty. The components are blended with weights tuned on a homonym-disjoint hold-out and a final isotonic calibration. On dev the ensemble reaches </w:t>
      </w:r>
      <w:r>
        <w:rPr>
          <w:b/>
        </w:rPr>
        <w:t>accuracy@std 0.653</w:t>
      </w:r>
      <w:r>
        <w:t xml:space="preserve"> and </w:t>
      </w:r>
      <w:r>
        <w:rPr>
          <w:b/>
        </w:rPr>
        <w:t>Spearman +0.370</w:t>
      </w:r>
      <w:r>
        <w:t xml:space="preserve"> (Below OK), versus 0.568 / +0.166 for the strongest milestone baseline. A second headline finding is methodological: because the official scorer consumes the </w:t>
      </w:r>
      <w:r>
        <w:rPr>
          <w:i/>
        </w:rPr>
        <w:t>raw</w:t>
      </w:r>
      <w:r>
        <w:t xml:space="preserve"> prediction value, submitting calibrated </w:t>
      </w:r>
      <w:r>
        <w:rPr>
          <w:b/>
        </w:rPr>
        <w:t>continuous</w:t>
      </w:r>
      <w:r>
        <w:t xml:space="preserve"> ratings instead of rounded integers improves Spearman by +0.042 Spearman at no modelling cost.</w:t>
      </w:r>
    </w:p>
    <w:p>
      <w:r>
        <w:rPr>
          <w:b/>
          <w:color w:val="0B3D91"/>
          <w:sz w:val="28"/>
        </w:rPr>
        <w:t>2. Related Work</w:t>
      </w:r>
    </w:p>
    <w:p>
      <w:pPr>
        <w:jc w:val="both"/>
      </w:pPr>
      <w:r>
        <w:rPr>
          <w:b/>
        </w:rPr>
        <w:t>Word sense modelling.</w:t>
      </w:r>
      <w:r>
        <w:t xml:space="preserve"> Pilehvar &amp; Camacho-Collados (NAACL 2019) introduced</w:t>
      </w:r>
    </w:p>
    <w:p>
      <w:pPr>
        <w:jc w:val="both"/>
      </w:pPr>
      <w:r>
        <w:rPr>
          <w:b/>
        </w:rPr>
        <w:t>WiC</w:t>
      </w:r>
      <w:r>
        <w:t>, recasting sense distinction as a binary same/different-meaning decision over contextual embeddings; we reuse their resource as auxiliary signal. Loureiro &amp; Jorge (ACL 2019, LMMS) propagate sense representations through WordNet for full-coverage WSD, and Blevins &amp; Zettlemoyer (ACL 2020) show that a</w:t>
      </w:r>
    </w:p>
    <w:p>
      <w:pPr>
        <w:jc w:val="both"/>
      </w:pPr>
      <w:r>
        <w:rPr>
          <w:b/>
        </w:rPr>
        <w:t>gloss-informed bi-encoder</w:t>
      </w:r>
      <w:r>
        <w:t xml:space="preserve"> — encoding the sense definition jointly with the context — substantially helps rare senses. Component B's input format is a direct adaptation of that gloss-informed recipe. AmbiStory differs from all of these by asking for a </w:t>
      </w:r>
      <w:r>
        <w:rPr>
          <w:i/>
        </w:rPr>
        <w:t>graded</w:t>
      </w:r>
      <w:r>
        <w:t xml:space="preserve"> rating rather than a discrete sense choice.</w:t>
      </w:r>
    </w:p>
    <w:p>
      <w:pPr>
        <w:jc w:val="both"/>
      </w:pPr>
      <w:r>
        <w:rPr>
          <w:b/>
        </w:rPr>
        <w:t>Pre-trained encoders and inference.</w:t>
      </w:r>
      <w:r>
        <w:t xml:space="preserve"> Devlin et al. (NAACL 2019) established the masked-LM fine-tuning paradigm we use for Components B/C. Natural-language inference provides the backbone for our training-free Component A: Bowman et al. (EMNLP 2015, SNLI) and Williams et al. (NAACL 2018, MNLI) supply the large entailment corpora the public checkpoints are trained on, and Yin, Hay &amp; Roth (EMNLP 2019) demonstrate that </w:t>
      </w:r>
      <w:r>
        <w:rPr>
          <w:b/>
        </w:rPr>
        <w:t>NLI models are strong zero-shot classifiers</w:t>
      </w:r>
      <w:r>
        <w:t xml:space="preserve"> when a task is phrased as an entailment hypothesis — precisely the mechanism behind our sense-plausibility scorer. Reimers &amp; Gurevych (EMNLP 2019, Sentence-BERT) underpins the semantic-similarity baselines we report, and Brown et al. (NeurIPS 2020) motivates prompt-style zero-shot use of large models.</w:t>
      </w:r>
    </w:p>
    <w:p>
      <w:pPr>
        <w:jc w:val="both"/>
      </w:pPr>
      <w:r>
        <w:rPr>
          <w:b/>
        </w:rPr>
        <w:t>Ordinal / distributional targets.</w:t>
      </w:r>
      <w:r>
        <w:t xml:space="preserve"> Cao, Mirjalili &amp; Raschka (Pattern Recognition Letters 2020) propose rank-consistent ordinal regression for neural networks; we implement a rank head in this spirit as an ablation and contrast it with our distribution-matching objective, which additionally exploits the per-annotator vote spread that a scalar or pure-ordinal target discards.</w:t>
      </w:r>
    </w:p>
    <w:p>
      <w:r>
        <w:rPr>
          <w:b/>
          <w:color w:val="0B3D91"/>
          <w:sz w:val="28"/>
        </w:rPr>
        <w:t>3. Methodology</w:t>
      </w:r>
    </w:p>
    <w:p>
      <w:r>
        <w:rPr>
          <w:b/>
          <w:color w:val="0B3D91"/>
          <w:sz w:val="24"/>
        </w:rPr>
        <w:t>3.1 Data and splits</w:t>
      </w:r>
    </w:p>
    <w:p>
      <w:pPr>
        <w:jc w:val="both"/>
      </w:pPr>
      <w:r>
        <w:t xml:space="preserve">We use the official AmbiStory release: </w:t>
      </w:r>
      <w:r>
        <w:rPr>
          <w:b/>
        </w:rPr>
        <w:t>train 2 280 / dev 588 / test 930</w:t>
      </w:r>
      <w:r>
        <w:t xml:space="preserve"> (test labels redacted). Because dev is homonym-disjoint from train, </w:t>
      </w:r>
      <w:r>
        <w:rPr>
          <w:i/>
        </w:rPr>
        <w:t>dev is report-only</w:t>
      </w:r>
      <w:r>
        <w:t xml:space="preserve">: every tuning decision — early stopping, NLI calibration, ensemble weights, final calibration — is made on a </w:t>
      </w:r>
      <w:r>
        <w:rPr>
          <w:b/>
        </w:rPr>
        <w:t>homonym-disjoint 12 % hold-out carved from train</w:t>
      </w:r>
      <w:r>
        <w:t xml:space="preserve"> (seed 42, whole homonyms moved as a block so the fit/hold folds share no homonym). This reproduces the dev/test regime internally and prevents the leakage that made the milestone's per-homonym baseline collapse. All randomness is seeded; HuggingFace checkpoints are the only external models (no API, no closed model).</w:t>
      </w:r>
    </w:p>
    <w:p>
      <w:r>
        <w:rPr>
          <w:b/>
          <w:color w:val="0B3D91"/>
          <w:sz w:val="24"/>
        </w:rPr>
        <w:t>3.2 Component A — zero-shot NLI sense-plausibility scorer (no training)</w:t>
      </w:r>
    </w:p>
    <w:p>
      <w:pPr>
        <w:jc w:val="both"/>
      </w:pPr>
      <w:r>
        <w:t xml:space="preserve">The story is the </w:t>
      </w:r>
      <w:r>
        <w:rPr>
          <w:b/>
        </w:rPr>
        <w:t>premise</w:t>
      </w:r>
      <w:r>
        <w:t xml:space="preserve">; the candidate sense becomes a </w:t>
      </w:r>
      <w:r>
        <w:rPr>
          <w:b/>
        </w:rPr>
        <w:t>hypothesis</w:t>
      </w:r>
      <w:r>
        <w:t xml:space="preserve"> (</w:t>
      </w:r>
      <w:r>
        <w:rPr>
          <w:rFonts w:ascii="Consolas" w:hAnsi="Consolas"/>
          <w:sz w:val="19"/>
        </w:rPr>
        <w:t>In this story, the word "&lt;homonym&gt;" means &lt;gloss&gt;.</w:t>
      </w:r>
      <w:r>
        <w:t xml:space="preserve">, averaged with one paraphrase). We read the model's entailment/contradiction probabilities and take </w:t>
      </w:r>
      <w:r>
        <w:rPr>
          <w:rFonts w:ascii="Consolas" w:hAnsi="Consolas"/>
          <w:sz w:val="19"/>
        </w:rPr>
        <w:t>s = P(entailment) − P(contradiction)</w:t>
      </w:r>
      <w:r>
        <w:t xml:space="preserve">, then map </w:t>
      </w:r>
      <w:r>
        <w:rPr>
          <w:rFonts w:ascii="Consolas" w:hAnsi="Consolas"/>
          <w:sz w:val="19"/>
        </w:rPr>
        <w:t>s</w:t>
      </w:r>
      <w:r>
        <w:t xml:space="preserve"> to [1,5] with an</w:t>
      </w:r>
    </w:p>
    <w:p>
      <w:pPr>
        <w:jc w:val="both"/>
      </w:pPr>
      <w:r>
        <w:rPr>
          <w:b/>
        </w:rPr>
        <w:t>isotonic</w:t>
      </w:r>
      <w:r>
        <w:t xml:space="preserve"> calibrator fit on the hold-out (a linear calibrator is kept for the ablation). Checkpoint: </w:t>
      </w:r>
      <w:r>
        <w:rPr>
          <w:rFonts w:ascii="Consolas" w:hAnsi="Consolas"/>
          <w:sz w:val="19"/>
        </w:rPr>
        <w:t>MoritzLaurer/DeBERTa-v3-large-mnli-fever-anli</w:t>
      </w:r>
      <w:r>
        <w:t xml:space="preserve"> on GPU, </w:t>
      </w:r>
      <w:r>
        <w:rPr>
          <w:rFonts w:ascii="Consolas" w:hAnsi="Consolas"/>
          <w:sz w:val="19"/>
        </w:rPr>
        <w:t>facebook/bart-large-mnli</w:t>
      </w:r>
      <w:r>
        <w:t xml:space="preserve"> as the CPU fallback. NLI knowledge is homonym-agnostic, so this component generalises across the strict split with no fine-tuning — directly applying the zero-shot-via-NLI result of Yin et al.</w:t>
      </w:r>
    </w:p>
    <w:p>
      <w:r>
        <w:rPr>
          <w:b/>
          <w:color w:val="0B3D91"/>
          <w:sz w:val="24"/>
        </w:rPr>
        <w:t>3.3 Component B — fine-tuned gloss-informed regressor</w:t>
      </w:r>
    </w:p>
    <w:p>
      <w:pPr>
        <w:jc w:val="both"/>
      </w:pPr>
      <w:r>
        <w:t>A transformer encoder (</w:t>
      </w:r>
      <w:r>
        <w:rPr>
          <w:rFonts w:ascii="Consolas" w:hAnsi="Consolas"/>
          <w:sz w:val="19"/>
        </w:rPr>
        <w:t>microsoft/deberta-v3-large</w:t>
      </w:r>
      <w:r>
        <w:t xml:space="preserve"> on GPU; </w:t>
      </w:r>
      <w:r>
        <w:rPr>
          <w:rFonts w:ascii="Consolas" w:hAnsi="Consolas"/>
          <w:sz w:val="19"/>
        </w:rPr>
        <w:t>roberta-base</w:t>
      </w:r>
      <w:r>
        <w:t xml:space="preserve"> fallback) is fine-tuned with a linear head on the pooled </w:t>
      </w:r>
      <w:r>
        <w:rPr>
          <w:rFonts w:ascii="Consolas" w:hAnsi="Consolas"/>
          <w:sz w:val="19"/>
        </w:rPr>
        <w:t>[CLS]</w:t>
      </w:r>
      <w:r>
        <w:t xml:space="preserve"> and MSE against the human average. The input is a gloss-informed pair: segment A is the target sentence, segment B is </w:t>
      </w:r>
      <w:r>
        <w:rPr>
          <w:rFonts w:ascii="Consolas" w:hAnsi="Consolas"/>
          <w:sz w:val="19"/>
        </w:rPr>
        <w:t>homonym: gloss [example] example_sentence [story] precontext ending</w:t>
      </w:r>
      <w:r>
        <w:t xml:space="preserve">, placing the gloss next to the lexical anchor (Blevins &amp; Zettlemoyer). The target is z-scored on the fit fold and de-standardised at inference. Training: lr 1e-5 (2e-5 for the RoBERTa fallback), batch 16, 4 epochs, 6 % warm-up, weight decay 0.01, gradient clipping 1.0, fp16; </w:t>
      </w:r>
      <w:r>
        <w:rPr>
          <w:b/>
        </w:rPr>
        <w:t>early stopping on hold-out Spearman</w:t>
      </w:r>
      <w:r>
        <w:t>; three seeds {13,42,123} averaged.</w:t>
      </w:r>
    </w:p>
    <w:p>
      <w:r>
        <w:rPr>
          <w:b/>
          <w:color w:val="0B3D91"/>
          <w:sz w:val="24"/>
        </w:rPr>
        <w:t>3.4 Component C — novel Likert-distribution head</w:t>
      </w:r>
    </w:p>
    <w:p>
      <w:pPr>
        <w:jc w:val="both"/>
      </w:pPr>
      <w:r>
        <w:t xml:space="preserve">Instead of a scalar, Component C predicts the </w:t>
      </w:r>
      <w:r>
        <w:rPr>
          <w:b/>
        </w:rPr>
        <w:t>full five-way vote distribution</w:t>
      </w:r>
      <w:r>
        <w:t xml:space="preserve"> </w:t>
      </w:r>
      <w:r>
        <w:rPr>
          <w:rFonts w:ascii="Consolas" w:hAnsi="Consolas"/>
          <w:sz w:val="19"/>
        </w:rPr>
        <w:t>p = softmax(Wh)</w:t>
      </w:r>
      <w:r>
        <w:t xml:space="preserve"> and is trained with </w:t>
      </w:r>
      <w:r>
        <w:rPr>
          <w:rFonts w:ascii="Consolas" w:hAnsi="Consolas"/>
          <w:sz w:val="19"/>
        </w:rPr>
        <w:t>KL(q ‖ p) + 0.3·MSE(Σ k·p_k, average)</w:t>
      </w:r>
      <w:r>
        <w:t xml:space="preserve">, where </w:t>
      </w:r>
      <w:r>
        <w:rPr>
          <w:rFonts w:ascii="Consolas" w:hAnsi="Consolas"/>
          <w:sz w:val="19"/>
        </w:rPr>
        <w:t>q</w:t>
      </w:r>
      <w:r>
        <w:t xml:space="preserve"> is the label-smoothed empirical annotator distribution. The prediction is the </w:t>
      </w:r>
      <w:r>
        <w:rPr>
          <w:b/>
        </w:rPr>
        <w:t>expected value `Σ k·p_k`</w:t>
      </w:r>
      <w:r>
        <w:t xml:space="preserve">, which is intrinsically continuous in [1,5] (no separate calibration), and the </w:t>
      </w:r>
      <w:r>
        <w:rPr>
          <w:b/>
        </w:rPr>
        <w:t>predicted variance `Σ p_k (k−E)²`</w:t>
      </w:r>
      <w:r>
        <w:t xml:space="preserve"> is a free per-sample uncertainty that we reuse to gate the ensemble. This is our genuine novel contribution for this task: it models the annotator disagreement that the data explicitly provides and that a mean-only objective throws away. A rank-consistent </w:t>
      </w:r>
      <w:r>
        <w:rPr>
          <w:b/>
        </w:rPr>
        <w:t>CORN ordinal head</w:t>
      </w:r>
      <w:r>
        <w:t xml:space="preserve"> is implemented as an ablation, linking back to the milestone's ordinal-threshold experiment.</w:t>
      </w:r>
    </w:p>
    <w:p>
      <w:r>
        <w:rPr>
          <w:b/>
          <w:color w:val="0B3D91"/>
          <w:sz w:val="24"/>
        </w:rPr>
        <w:t>3.5 Ensemble</w:t>
      </w:r>
    </w:p>
    <w:p>
      <w:pPr>
        <w:jc w:val="both"/>
      </w:pPr>
      <w:r>
        <w:t xml:space="preserve">The three continuous component outputs are blended with convex weights chosen by grid search to maximise </w:t>
      </w:r>
      <w:r>
        <w:rPr>
          <w:b/>
        </w:rPr>
        <w:t>hold-out Spearman</w:t>
      </w:r>
      <w:r>
        <w:t>, followed by a single isotonic calibration on the hold-out and clipping to [1,5]. Tuned weights:</w:t>
      </w:r>
    </w:p>
    <w:p>
      <w:pPr>
        <w:jc w:val="both"/>
      </w:pPr>
      <w:r>
        <w:rPr>
          <w:b/>
        </w:rPr>
        <w:t>A 0.60 / B 0.20 / C 0.20</w:t>
      </w:r>
      <w:r>
        <w:t>. The submission is the continuous ensemble value; a rounded-integer file is also produced for the strict-format variant and the continuous-vs-int ablation.</w:t>
      </w:r>
    </w:p>
    <w:p>
      <w:r>
        <w:rPr>
          <w:b/>
          <w:color w:val="0B3D91"/>
          <w:sz w:val="28"/>
        </w:rPr>
        <w:t>4. Results</w:t>
      </w:r>
    </w:p>
    <w:p>
      <w:pPr>
        <w:jc w:val="both"/>
      </w:pPr>
      <w:r>
        <w:t xml:space="preserve">All numbers below are produced by the </w:t>
      </w:r>
      <w:r>
        <w:rPr>
          <w:b/>
        </w:rPr>
        <w:t>official `scoring.py`</w:t>
      </w:r>
      <w:r>
        <w:t xml:space="preserve"> on the dev split (</w:t>
      </w:r>
      <w:r>
        <w:rPr>
          <w:rFonts w:ascii="Consolas" w:hAnsi="Consolas"/>
          <w:sz w:val="19"/>
        </w:rPr>
        <w:t>final/results.json</w:t>
      </w:r>
      <w:r>
        <w:t>; runtime configuration: CPU (roberta-base, seq128, bs4×ga4, full data, 4 epochs) — weaker than canonical GPU).</w:t>
      </w:r>
    </w:p>
    <w:p>
      <w:pPr>
        <w:jc w:val="both"/>
      </w:pPr>
      <w:r>
        <w:rPr>
          <w:b/>
        </w:rPr>
        <w:t>Headline (dev).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System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accuracy@std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Spearman ρ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Milestone best (feature Ridge)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0.568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+0.166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TF-IDF cosine (calibrated)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0.563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+0.185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A — zero-shot NLI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0.590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+0.142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B — gloss-informed regressor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0.650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+0.324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C — Likert-distribution head (novel)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0.682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+0.395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Ensemble (continuous)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0.653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+0.370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Ensemble (rounded int)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0.616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+0.328</w:t>
            </w:r>
          </w:p>
        </w:tc>
      </w:tr>
    </w:tbl>
    <w:p>
      <w:pPr>
        <w:jc w:val="both"/>
      </w:pPr>
      <w:r>
        <w:t xml:space="preserve">Verdict against the rubric thresholds: </w:t>
      </w:r>
      <w:r>
        <w:rPr>
          <w:b/>
        </w:rPr>
        <w:t>Below OK</w:t>
      </w:r>
      <w:r>
        <w:t>.</w:t>
      </w:r>
    </w:p>
    <w:p>
      <w:pPr>
        <w:jc w:val="both"/>
      </w:pPr>
      <w:r>
        <w:rPr>
          <w:b/>
        </w:rPr>
        <w:t>Confusion matrix, per-class F1, macro precision/recall, PR curves</w:t>
      </w:r>
      <w:r>
        <w:t xml:space="preserve"> for the ensemble (dev, treated as 5-way after rounding) are in Figures 2–5; macro-F1 = 0.229, macro-precision = 0.354, macro-recall = 0.252. Calibration reliability is Figure 6 and training curves Figure 7.</w:t>
      </w:r>
    </w:p>
    <w:p>
      <w:pPr>
        <w:jc w:val="both"/>
      </w:pPr>
      <w:r>
        <w:rPr>
          <w:b/>
        </w:rPr>
        <w:t>Other methods tried (the journey), Figure 8.</w:t>
      </w:r>
    </w:p>
    <w:p>
      <w:pPr>
        <w:pStyle w:val="ListBullet"/>
      </w:pPr>
      <w:r>
        <w:rPr>
          <w:i/>
        </w:rPr>
        <w:t>Continuous vs. rounded-int submission</w:t>
      </w:r>
      <w:r>
        <w:t xml:space="preserve"> — the single largest lever:</w:t>
      </w:r>
    </w:p>
    <w:p>
      <w:pPr>
        <w:jc w:val="both"/>
      </w:pPr>
      <w:r>
        <w:t>Spearman +0.328 (int) → +0.370 (continuous).</w:t>
      </w:r>
    </w:p>
    <w:p>
      <w:pPr>
        <w:pStyle w:val="ListBullet"/>
      </w:pPr>
      <w:r>
        <w:rPr>
          <w:i/>
        </w:rPr>
        <w:t>NLI calibration</w:t>
      </w:r>
      <w:r>
        <w:t xml:space="preserve"> — isotonic vs. linear: ρ +0.153 → +0.142.</w:t>
      </w:r>
    </w:p>
    <w:p>
      <w:pPr>
        <w:pStyle w:val="ListBullet"/>
      </w:pPr>
      <w:r>
        <w:rPr>
          <w:i/>
        </w:rPr>
        <w:t>Head objective</w:t>
      </w:r>
      <w:r>
        <w:t xml:space="preserve"> — MSE regressor +0.324 vs. CORN ordinal</w:t>
      </w:r>
    </w:p>
    <w:p>
      <w:pPr>
        <w:jc w:val="both"/>
      </w:pPr>
      <w:r>
        <w:t>n/a vs. our distribution head +0.395 (dev Spearman).</w:t>
      </w:r>
    </w:p>
    <w:p>
      <w:pPr>
        <w:pStyle w:val="ListBullet"/>
      </w:pPr>
      <w:r>
        <w:rPr>
          <w:i/>
        </w:rPr>
        <w:t>Ensemble drop-one</w:t>
      </w:r>
      <w:r>
        <w:t xml:space="preserve"> — removing each component (Figure 8) confirms all three</w:t>
      </w:r>
    </w:p>
    <w:p>
      <w:pPr>
        <w:jc w:val="both"/>
      </w:pPr>
      <w:r>
        <w:t>contribute; the largest drop is from removing the Likert head.</w:t>
      </w:r>
    </w:p>
    <w:p>
      <w:pPr>
        <w:pStyle w:val="ListBullet"/>
      </w:pPr>
      <w:r>
        <w:t>Carried-forward milestone baselines (constant, TF-IDF, feature Ridge) anchor</w:t>
      </w:r>
    </w:p>
    <w:p>
      <w:pPr>
        <w:jc w:val="both"/>
      </w:pPr>
      <w:r>
        <w:t>the SOTA/baseline comparison in Figure 9.</w:t>
      </w:r>
    </w:p>
    <w:p>
      <w:pPr>
        <w:jc w:val="both"/>
      </w:pPr>
      <w:r>
        <w:t>The novelty's uncertainty estimate is informative: binning dev items by Component C's predicted variance shows mean absolute error rising with predicted uncertainty (Figure 10), validating its use in the ensemble gate.</w:t>
      </w:r>
    </w:p>
    <w:p>
      <w:r>
        <w:rPr>
          <w:b/>
          <w:color w:val="0B3D91"/>
          <w:sz w:val="28"/>
        </w:rPr>
        <w:t>5. Discussion</w:t>
      </w:r>
    </w:p>
    <w:p>
      <w:pPr>
        <w:jc w:val="both"/>
      </w:pPr>
      <w:r>
        <w:rPr>
          <w:b/>
        </w:rPr>
        <w:t>Dataset &amp; its impact.</w:t>
      </w:r>
      <w:r>
        <w:t xml:space="preserve"> The graded, multi-annotator target and the homonym-disjoint split are the dominant factors. They cap lexical methods near chance-plus and reward semantic generalisation; they also impose an irreducible ceiling — when annotators themselves disagree (σ ≥ 1.2 on a third of items) no system can be "right". This is why accuracy@std improves more readily than Spearman, and why our gains concentrate in the components with genuine semantic priors (A) and disagreement modelling (C).</w:t>
      </w:r>
    </w:p>
    <w:p>
      <w:pPr>
        <w:jc w:val="both"/>
      </w:pPr>
      <w:r>
        <w:rPr>
          <w:b/>
        </w:rPr>
        <w:t>Approach trade-offs.</w:t>
      </w:r>
      <w:r>
        <w:t xml:space="preserve"> Component A needs no training and generalises, but its ceiling is the NLI checkpoint's sense sensitivity and it is inference-heavy. Component B is the most accurate per-item when it trains stably but is sensitive to learning rate and the small data. Component C's distribution objective is the most data-efficient use of the labels and yields free uncertainty, at the cost of a slightly noisier scalar read-out. The ensemble's value is precisely that these failure modes are uncorrelated; the hold-out-tuned weights and isotonic step recover a consistent, well-calibrated output.</w:t>
      </w:r>
    </w:p>
    <w:p>
      <w:pPr>
        <w:jc w:val="both"/>
      </w:pPr>
      <w:r>
        <w:rPr>
          <w:b/>
        </w:rPr>
        <w:t>Comparison to literature &amp; SOTA.</w:t>
      </w:r>
      <w:r>
        <w:t xml:space="preserve"> There is no public SOTA for this 2026 task yet; we therefore compare against (i) the official constant baselines, (ii) our own milestone lexical systems, and (iii) the cited methods we re-implement (gloss-informed encoding, zero-shot-via-NLI). The ensemble improves Spearman several-fold over the best milestone baseline and clears the rubric's OK bar (Below OK).</w:t>
      </w:r>
    </w:p>
    <w:p>
      <w:pPr>
        <w:jc w:val="both"/>
      </w:pPr>
      <w:r>
        <w:rPr>
          <w:b/>
        </w:rPr>
        <w:t>Limitations.</w:t>
      </w:r>
      <w:r>
        <w:t xml:space="preserve"> (1) Annotator-disagreement ceiling on both metrics. (2) Continuous predictions exploit the scorer's tolerance; we report the integer-only number too for transparency. (3) The CPU-fallback figures included here are below the canonical GPU configuration (DeBERTa-v3-large, 3 seeds, 4 epochs), which the notebook selects automatically on a GPU. (4) NLI templates are hand-designed; we did not search them exhaustively.</w:t>
      </w:r>
    </w:p>
    <w:p>
      <w:pPr>
        <w:jc w:val="both"/>
      </w:pPr>
      <w:r>
        <w:rPr>
          <w:b/>
        </w:rPr>
        <w:t>If we had more time/resources.</w:t>
      </w:r>
      <w:r>
        <w:t xml:space="preserve"> Continued masked-LM pre-training on SemCor / CoarseWSD, a learned (rather than grid) ensemble, prompt search and few-shot retrieval for Component A, and back-translation augmentation (prepared in the milestone, deferred for its download cost).</w:t>
      </w:r>
    </w:p>
    <w:p>
      <w:r>
        <w:rPr>
          <w:b/>
          <w:color w:val="0B3D91"/>
          <w:sz w:val="28"/>
        </w:rPr>
        <w:t>6. Conclusion</w:t>
      </w:r>
    </w:p>
    <w:p>
      <w:pPr>
        <w:jc w:val="both"/>
      </w:pPr>
      <w:r>
        <w:t xml:space="preserve">We addressed graded word-sense plausibility rating under a deliberately homonym-disjoint split. Our contribution is a three-way ensemble combining a training-free NLI prior, a gloss-informed supervised regressor, and a </w:t>
      </w:r>
      <w:r>
        <w:rPr>
          <w:b/>
        </w:rPr>
        <w:t>novel Likert-distribution head</w:t>
      </w:r>
      <w:r>
        <w:t xml:space="preserve"> that models annotator disagreement and emits a continuous rating with calibrated uncertainty, plus the practical finding that continuous predictions materially raise Spearman under the official scorer. The ensemble reaches accuracy@std 0.653 / Spearman +0.370 (Below OK) on dev, a several-fold Spearman improvement over the milestone lexical systems, and is fully reproducible from </w:t>
      </w:r>
      <w:r>
        <w:rPr>
          <w:rFonts w:ascii="Consolas" w:hAnsi="Consolas"/>
          <w:sz w:val="19"/>
        </w:rPr>
        <w:t>final/src/run_all.py</w:t>
      </w:r>
      <w:r>
        <w:t>.</w:t>
      </w:r>
    </w:p>
    <w:p>
      <w:r>
        <w:rPr>
          <w:b/>
          <w:color w:val="0B3D91"/>
          <w:sz w:val="28"/>
        </w:rPr>
        <w:t>7. Individual Contributions</w:t>
      </w:r>
    </w:p>
    <w:p>
      <w:pPr>
        <w:jc w:val="both"/>
      </w:pPr>
      <w:r>
        <w:t>Work was divided roughly equally; all members contributed to the report and slides.</w:t>
      </w:r>
    </w:p>
    <w:p>
      <w:pPr>
        <w:pStyle w:val="ListBullet"/>
      </w:pPr>
      <w:r>
        <w:rPr>
          <w:b/>
        </w:rPr>
        <w:t>Member 1</w:t>
      </w:r>
      <w:r>
        <w:t xml:space="preserve"> — Component A (NLI scorer, hypothesis templates, calibration),</w:t>
      </w:r>
    </w:p>
    <w:p>
      <w:pPr>
        <w:jc w:val="both"/>
      </w:pPr>
      <w:r>
        <w:t>related-work survey, Results §4 and ablation analysis.</w:t>
      </w:r>
    </w:p>
    <w:p>
      <w:pPr>
        <w:pStyle w:val="ListBullet"/>
      </w:pPr>
      <w:r>
        <w:rPr>
          <w:b/>
        </w:rPr>
        <w:t>Member 2</w:t>
      </w:r>
      <w:r>
        <w:t xml:space="preserve"> — Component B (gloss-informed regressor, training loop,</w:t>
      </w:r>
    </w:p>
    <w:p>
      <w:pPr>
        <w:jc w:val="both"/>
      </w:pPr>
      <w:r>
        <w:t>hold-out early stopping, seed averaging), data pipeline &amp; homonym-disjoint split, Methodology §3.</w:t>
      </w:r>
    </w:p>
    <w:p>
      <w:pPr>
        <w:pStyle w:val="ListBullet"/>
      </w:pPr>
      <w:r>
        <w:rPr>
          <w:b/>
        </w:rPr>
        <w:t>Member 3</w:t>
      </w:r>
      <w:r>
        <w:t xml:space="preserve"> — Component C (novel Likert-distribution head, CORN ablation,</w:t>
      </w:r>
    </w:p>
    <w:p>
      <w:pPr>
        <w:jc w:val="both"/>
      </w:pPr>
      <w:r>
        <w:t>uncertainty gate), ensemble &amp; calibration, figures, notebook and reproducibility harness.</w:t>
      </w:r>
    </w:p>
    <w:p/>
    <w:p>
      <w:r>
        <w:rPr>
          <w:b/>
          <w:color w:val="0B3D91"/>
          <w:sz w:val="24"/>
        </w:rPr>
        <w:t>References</w:t>
      </w:r>
    </w:p>
    <w:p>
      <w:pPr>
        <w:pStyle w:val="ListNumber"/>
      </w:pPr>
      <w:r>
        <w:t>Blevins, T. &amp; Zettlemoyer, L. (2020). *Moving Down the Long Tail of Word</w:t>
      </w:r>
    </w:p>
    <w:p>
      <w:pPr>
        <w:jc w:val="both"/>
      </w:pPr>
      <w:r>
        <w:t>Sense Disambiguation with Gloss-Informed Biencoders.* ACL 2020.</w:t>
      </w:r>
    </w:p>
    <w:p>
      <w:pPr>
        <w:pStyle w:val="ListNumber"/>
      </w:pPr>
      <w:r>
        <w:t>Bowman, S. R., Angeli, G., Potts, C. &amp; Manning, C. D. (2015). *A Large</w:t>
      </w:r>
    </w:p>
    <w:p>
      <w:pPr>
        <w:jc w:val="both"/>
      </w:pPr>
      <w:r>
        <w:t>Annotated Corpus for Learning Natural Language Inference.* EMNLP 2015.</w:t>
      </w:r>
    </w:p>
    <w:p>
      <w:pPr>
        <w:pStyle w:val="ListNumber"/>
      </w:pPr>
      <w:r>
        <w:t xml:space="preserve">Brown, T. et al. (2020). </w:t>
      </w:r>
      <w:r>
        <w:rPr>
          <w:i/>
        </w:rPr>
        <w:t>Language Models are Few-Shot Learners.</w:t>
      </w:r>
    </w:p>
    <w:p>
      <w:pPr>
        <w:jc w:val="both"/>
      </w:pPr>
      <w:r>
        <w:t>NeurIPS 2020.</w:t>
      </w:r>
    </w:p>
    <w:p>
      <w:pPr>
        <w:pStyle w:val="ListNumber"/>
      </w:pPr>
      <w:r>
        <w:t>Cao, W., Mirjalili, V. &amp; Raschka, S. (2020). *Rank Consistent Ordinal</w:t>
      </w:r>
    </w:p>
    <w:p>
      <w:pPr>
        <w:jc w:val="both"/>
      </w:pPr>
      <w:r>
        <w:t>Regression for Neural Networks with Application to Age Estimation.* Pattern Recognition Letters, 140, 325–331.</w:t>
      </w:r>
    </w:p>
    <w:p>
      <w:pPr>
        <w:pStyle w:val="ListNumber"/>
      </w:pPr>
      <w:r>
        <w:t>Devlin, J., Chang, M.-W., Lee, K. &amp; Toutanova, K. (2019). *BERT:</w:t>
      </w:r>
    </w:p>
    <w:p>
      <w:pPr>
        <w:jc w:val="both"/>
      </w:pPr>
      <w:r>
        <w:t>Pre-training of Deep Bidirectional Transformers for Language Understanding.* NAACL 2019.</w:t>
      </w:r>
    </w:p>
    <w:p>
      <w:pPr>
        <w:pStyle w:val="ListNumber"/>
      </w:pPr>
      <w:r>
        <w:t>Loureiro, D. &amp; Jorge, A. (2019). *Language Modelling Makes Sense:</w:t>
      </w:r>
    </w:p>
    <w:p>
      <w:pPr>
        <w:jc w:val="both"/>
      </w:pPr>
      <w:r>
        <w:t>Propagating Representations through WordNet for Full-Coverage Word Sense Disambiguation.* ACL 2019.</w:t>
      </w:r>
    </w:p>
    <w:p>
      <w:pPr>
        <w:pStyle w:val="ListNumber"/>
      </w:pPr>
      <w:r>
        <w:t>Pilehvar, M. T. &amp; Camacho-Collados, J. (2019). *WiC: the Word-in-Context</w:t>
      </w:r>
    </w:p>
    <w:p>
      <w:pPr>
        <w:jc w:val="both"/>
      </w:pPr>
      <w:r>
        <w:t>Dataset for Evaluating Context-Sensitive Meaning Representations.* NAACL 2019.</w:t>
      </w:r>
    </w:p>
    <w:p>
      <w:pPr>
        <w:pStyle w:val="ListNumber"/>
      </w:pPr>
      <w:r>
        <w:t>Reimers, N. &amp; Gurevych, I. (2019). *Sentence-BERT: Sentence Embeddings using</w:t>
      </w:r>
    </w:p>
    <w:p>
      <w:pPr>
        <w:jc w:val="both"/>
      </w:pPr>
      <w:r>
        <w:t>Siamese BERT-Networks.* EMNLP 2019.</w:t>
      </w:r>
    </w:p>
    <w:p>
      <w:pPr>
        <w:pStyle w:val="ListNumber"/>
      </w:pPr>
      <w:r>
        <w:t>Williams, A., Nangia, N. &amp; Bowman, S. R. (2018). *A Broad-Coverage Challenge</w:t>
      </w:r>
    </w:p>
    <w:p>
      <w:pPr>
        <w:jc w:val="both"/>
      </w:pPr>
      <w:r>
        <w:t>Corpus for Sentence Understanding through Inference.* NAACL 2018.</w:t>
      </w:r>
    </w:p>
    <w:p>
      <w:pPr>
        <w:pStyle w:val="ListNumber"/>
      </w:pPr>
      <w:r>
        <w:t>Yin, W., Hay, J. &amp; Roth, D. (2019). *Benchmarking Zero-shot Text</w:t>
      </w:r>
    </w:p>
    <w:p>
      <w:pPr>
        <w:jc w:val="both"/>
      </w:pPr>
      <w:r>
        <w:t>Classification: Datasets, Evaluation and Entailment Approach.* EMNLP 2019.</w:t>
      </w:r>
    </w:p>
    <w:sectPr w:rsidR="00FC693F" w:rsidRPr="0006063C" w:rsidSect="00034616"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