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Chapter One Case Study Follow-Up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a)1900 is not a leap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b)2000 is a leap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c)1996 is not a leap year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d)1998 is a leap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a) 1900 Line = lines 4, 5, 6 determines if leap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1945 Line = lines 1, 2, 3 determines if leap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 1600 Line = lines 4, 5, 6 determines if leap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d) 1492 Line = lines 7, 8, 9 determines if leap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e) 1776 Line = lines 7, 8, 9 determines if leap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extend the leap year algorithm to tell when the year is a millennium year you have to change the line "if (year % 4 !=0)" to "if (year % 1000 ==0)".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was born in 1995 and I am not born in a leap year.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extend the leap year algorithm so that it tells you when the the next leap year you have to add four lines of repeating  code into the int main() . The line is “if (IsLeapYear(++year))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year &lt;&lt; " is the next leap year." &lt;&lt; endl &lt;&lt; endl;”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line " if (year % 4 !=0) " corresponds to the lines  1,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line " return false; " corresponds to the line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line " if (year % 100 !=0) " corresponds to the lines 4,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line " return true; " corresponds to the line 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line " if (year % 400 !=0) " corresponds to the lines 7, 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line " return false; " corresponds to the line 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line " return true; " corresponds to the line 10.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