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USXXX - Controle de Certame - Situação e Histórico do Certame</w:t>
      </w:r>
    </w:p>
    <w:p>
      <w:pPr>
        <w:pStyle w:val="Heading2"/>
        <w:spacing w:after="120" w:before="240"/>
      </w:pPr>
      <w:r>
        <w:t xml:space="preserve">Histórico de alterações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pct" w:w="5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pct" w:w="2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25/08/2026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  <w:tc>
          <w:tcPr>
            <w:tcW w:type="pct" w:w="5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Criação da história (desmembrada da US de Cadastro de Certame)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Carlos Mattos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25/08/2026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  <w:tc>
          <w:tcPr>
            <w:tcW w:type="pct" w:w="5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Regras de negócio renumeradas em sequência própria (RN001...)</w:t>
            </w:r>
          </w:p>
        </w:tc>
        <w:tc>
          <w:tcPr>
            <w:tcW w:type="pct" w:w="2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Carlos Mattos</w:t>
            </w:r>
          </w:p>
        </w:tc>
      </w:tr>
    </w:tbl>
    <w:p>
      <w:pPr>
        <w:pStyle w:val="Heading2"/>
        <w:spacing w:after="120" w:before="240"/>
      </w:pPr>
      <w:r>
        <w:t xml:space="preserve">Identificação da US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Sistema: SIGEP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Módulo: Controle de Certame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Nome: USXXX - Controle de Certame - Situação e Histórico do Certame</w:t>
      </w:r>
    </w:p>
    <w:p>
      <w:pPr>
        <w:pStyle w:val="Heading2"/>
        <w:spacing w:after="120" w:before="240"/>
      </w:pPr>
      <w:r>
        <w:t xml:space="preserve">1. Descrição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Como usuário responsável pela gestão de certames,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Eu quero consultar o histórico de situações de um certame e registrar uma nova situação,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Para que o andamento do certame perante o TCE-MT fique rastreado e o prazo de prestação de contas seja recalculado a cada mudança.</w:t>
      </w:r>
    </w:p>
    <w:p>
      <w:pPr>
        <w:pStyle w:val="Heading2"/>
        <w:spacing w:after="120" w:before="240"/>
      </w:pPr>
      <w:r>
        <w:t xml:space="preserve">2. Premissas</w:t>
      </w:r>
    </w:p>
    <w:p>
      <w:pPr>
        <w:spacing w:after="80"/>
      </w:pPr>
      <w:r>
        <w:rPr>
          <w:sz w:val="22"/>
          <w:szCs w:val="22"/>
        </w:rPr>
        <w:t xml:space="preserve">1. Disponível apenas para certames já salvos, acessada pela listagem ("Situação / Histórico") ou pelo próprio formulário.</w:t>
      </w:r>
    </w:p>
    <w:p>
      <w:pPr>
        <w:spacing w:after="80"/>
      </w:pPr>
      <w:r>
        <w:rPr>
          <w:sz w:val="22"/>
          <w:szCs w:val="22"/>
        </w:rPr>
        <w:t xml:space="preserve">2. O certame nasce automaticamente na situação "Abertura".</w:t>
      </w:r>
    </w:p>
    <w:p>
      <w:pPr>
        <w:spacing w:after="80"/>
      </w:pPr>
      <w:r>
        <w:rPr>
          <w:sz w:val="22"/>
          <w:szCs w:val="22"/>
        </w:rPr>
        <w:t xml:space="preserve">3. Cada situação registrada reabre um prazo de 48 horas para nova prestação de contas ao TCE-MT.</w:t>
      </w:r>
    </w:p>
    <w:p>
      <w:pPr>
        <w:pStyle w:val="Heading2"/>
        <w:spacing w:after="120" w:before="240"/>
      </w:pPr>
      <w:r>
        <w:t xml:space="preserve">3. Critérios de aceitação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CA01 – Data de efeito obrigatória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o usuário está registrando uma nova situação sem informar a Data de efeito, quando ele tenta confirmar, então o sistema bloqueia com "Informe a data de efeito da situação."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CA02 – Data de efeito anterior à publicação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a Data de efeito informada é anterior à Data de publicação do edital do certame, quando o usuário tenta registrar a situação, então o sistema bloqueia (RN006).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CA03 – Guarda de Retificação de Edital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o certame ainda não possui um registro de Abertura no histórico, quando o usuário tenta registrar Retificação do Edital, então o sistema bloqueia (RN003).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CA04 – Guarda de Homologação vigente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já existe uma Homologação no histórico sem Cancelamento/Anulação posterior, quando o usuário tenta registrar uma nova Homologação, então o sistema bloqueia (RN004).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CA05 – Guarda de Retificação de Homologação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o certame não possui nenhum registro de Homologado no histórico, quando o usuário tenta registrar Retificação da Homologação, então o sistema bloqueia (RN005).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CA06 – Prazo de prestação de contas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uma nova situação foi registrada com sucesso, quando o registro é confirmado, então o sistema calcula e exibe o prazo de prestação de contas como Data de efeito + 2 dias.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CA07 – Documento de apoio válido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Dado que o usuário anexa um documento de apoio em formato ou tamanho não permitido, quando o upload é confirmado, então o sistema bloqueia com "Documento inválido: formato aceito .pdf, com até 10MB."</w:t>
      </w:r>
    </w:p>
    <w:p>
      <w:pPr>
        <w:pStyle w:val="Heading2"/>
        <w:spacing w:after="120" w:before="240"/>
      </w:pPr>
      <w:r>
        <w:t xml:space="preserve">4. Fluxos Funcionais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Fluxo 1 – Consultar histórico de situações</w:t>
      </w:r>
    </w:p>
    <w:p>
      <w:pPr>
        <w:spacing w:after="80"/>
      </w:pPr>
      <w:r>
        <w:rPr>
          <w:sz w:val="22"/>
          <w:szCs w:val="22"/>
        </w:rPr>
        <w:t xml:space="preserve">1. O usuário aciona "Situação / Histórico" a partir da listagem ou do formulário do certame.</w:t>
      </w:r>
    </w:p>
    <w:p>
      <w:pPr>
        <w:spacing w:after="80"/>
      </w:pPr>
      <w:r>
        <w:rPr>
          <w:sz w:val="22"/>
          <w:szCs w:val="22"/>
        </w:rPr>
        <w:t xml:space="preserve">2. O sistema exibe a linha do tempo com as situações já registradas (data de efeito, data de registro, usuário, prazo de prestação de contas).</w:t>
      </w:r>
    </w:p>
    <w:p>
      <w:pPr>
        <w:spacing w:after="120"/>
      </w:pPr>
      <w:r>
        <w:rPr>
          <w:b/>
          <w:bCs/>
          <w:i w:val="false"/>
          <w:iCs w:val="false"/>
          <w:sz w:val="22"/>
          <w:szCs w:val="22"/>
        </w:rPr>
        <w:t xml:space="preserve">Fluxo 2 – Registrar nova situação</w:t>
      </w:r>
    </w:p>
    <w:p>
      <w:pPr>
        <w:spacing w:after="80"/>
      </w:pPr>
      <w:r>
        <w:rPr>
          <w:sz w:val="22"/>
          <w:szCs w:val="22"/>
        </w:rPr>
        <w:t xml:space="preserve">1. O usuário seleciona a Nova situação e informa a Data de efeito.</w:t>
      </w:r>
    </w:p>
    <w:p>
      <w:pPr>
        <w:spacing w:after="80"/>
      </w:pPr>
      <w:r>
        <w:rPr>
          <w:sz w:val="22"/>
          <w:szCs w:val="22"/>
        </w:rPr>
        <w:t xml:space="preserve">2. O usuário anexa o documento de apoio ou preenche a lista de documentos do catálogo daquela situação, quando aplicável.</w:t>
      </w:r>
    </w:p>
    <w:p>
      <w:pPr>
        <w:spacing w:after="80"/>
      </w:pPr>
      <w:r>
        <w:rPr>
          <w:sz w:val="22"/>
          <w:szCs w:val="22"/>
        </w:rPr>
        <w:t xml:space="preserve">3. O sistema valida as guardas de transição (RN003 a RN006).</w:t>
      </w:r>
    </w:p>
    <w:p>
      <w:pPr>
        <w:spacing w:after="80"/>
      </w:pPr>
      <w:r>
        <w:rPr>
          <w:sz w:val="22"/>
          <w:szCs w:val="22"/>
        </w:rPr>
        <w:t xml:space="preserve">4. Se válido, o sistema registra a situação, recalcula o prazo de prestação de contas e atualiza a linha do tempo.</w:t>
      </w:r>
    </w:p>
    <w:p>
      <w:pPr>
        <w:pStyle w:val="Heading2"/>
        <w:spacing w:after="120" w:before="240"/>
      </w:pPr>
      <w:r>
        <w:t xml:space="preserve">5. Descrição da tela</w:t>
      </w:r>
    </w:p>
    <w:p>
      <w:pPr>
        <w:pStyle w:val="Heading3"/>
        <w:spacing w:after="120" w:before="240"/>
      </w:pPr>
      <w:r>
        <w:t xml:space="preserve">Grupo: Situações do certame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pct" w:w="14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Editável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pct" w:w="1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Tamanho</w:t>
            </w:r>
          </w:p>
        </w:tc>
        <w:tc>
          <w:tcPr>
            <w:tcW w:type="pct" w:w="3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Orientações/Observações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Histórico de situações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Linha do tempo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Certame.historicoSituacoes [RN001].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Nova situação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Dropdown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SituacaoHistoricoCertame.tipo; 9 opções.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de efeito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SituacaoHistoricoCertame.dataEfeito [RN006].</w:t>
            </w:r>
          </w:p>
        </w:tc>
      </w:tr>
      <w:tr>
        <w:tc>
          <w:tcPr>
            <w:tcW w:type="pct" w:w="16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Documento de apoio / Documentos da situação</w:t>
            </w:r>
          </w:p>
        </w:tc>
        <w:tc>
          <w:tcPr>
            <w:tcW w:type="pct" w:w="14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Anexo (PDF, até 10MB)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 (salvo obrigatórios do catálogo da situação)</w:t>
            </w:r>
          </w:p>
        </w:tc>
        <w:tc>
          <w:tcPr>
            <w:tcW w:type="pct" w:w="1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pct" w:w="3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Origem: SituacaoHistoricoCertame.documentoAnexado.</w:t>
            </w:r>
          </w:p>
        </w:tc>
      </w:tr>
    </w:tbl>
    <w:p>
      <w:pPr>
        <w:pStyle w:val="Heading2"/>
        <w:spacing w:after="120" w:before="240"/>
      </w:pPr>
      <w:r>
        <w:t xml:space="preserve">6. Mensagens e confirmações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pct" w:w="70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Mensagem</w:t>
            </w:r>
          </w:p>
        </w:tc>
      </w:tr>
      <w:tr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Documento de situação inválido</w:t>
            </w:r>
          </w:p>
        </w:tc>
        <w:tc>
          <w:tcPr>
            <w:tcW w:type="pct" w:w="7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"Documento inválido: formato aceito .pdf, com até 10MB."</w:t>
            </w:r>
          </w:p>
        </w:tc>
      </w:tr>
      <w:tr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de efeito não informada</w:t>
            </w:r>
          </w:p>
        </w:tc>
        <w:tc>
          <w:tcPr>
            <w:tcW w:type="pct" w:w="7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"Informe a data de efeito da situação."</w:t>
            </w:r>
          </w:p>
        </w:tc>
      </w:tr>
      <w:tr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de efeito anterior à publicação</w:t>
            </w:r>
          </w:p>
        </w:tc>
        <w:tc>
          <w:tcPr>
            <w:tcW w:type="pct" w:w="7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"A data de efeito não pode ser anterior à publicação do edital (RN-24d)."</w:t>
            </w:r>
          </w:p>
        </w:tc>
      </w:tr>
      <w:tr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Retificação de Edital sem Abertura no histórico</w:t>
            </w:r>
          </w:p>
        </w:tc>
        <w:tc>
          <w:tcPr>
            <w:tcW w:type="pct" w:w="7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"Não é possível registrar Retificação de Edital: o certame ainda não possui um registro de abertura (Aberto) no histórico (RN-24a)."</w:t>
            </w:r>
          </w:p>
        </w:tc>
      </w:tr>
      <w:tr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Homologação vigente sem Cancelamento</w:t>
            </w:r>
          </w:p>
        </w:tc>
        <w:tc>
          <w:tcPr>
            <w:tcW w:type="pct" w:w="7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"Já existe uma Homologação registrada para este certame sem Cancelamento/Anulação posterior (RN-24b)."</w:t>
            </w:r>
          </w:p>
        </w:tc>
      </w:tr>
      <w:tr>
        <w:tc>
          <w:tcPr>
            <w:tcW w:type="pct" w:w="3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Retificação de Homologação sem Homologado prévio</w:t>
            </w:r>
          </w:p>
        </w:tc>
        <w:tc>
          <w:tcPr>
            <w:tcW w:type="pct" w:w="70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"Não é possível registrar Retificação de Homologação sem um registro de Homologado anterior no histórico (RN-24c)."</w:t>
            </w:r>
          </w:p>
        </w:tc>
      </w:tr>
    </w:tbl>
    <w:p>
      <w:pPr>
        <w:spacing w:after="120"/>
      </w:pPr>
      <w:r>
        <w:rPr>
          <w:b w:val="false"/>
          <w:bCs w:val="false"/>
          <w:i/>
          <w:iCs/>
          <w:sz w:val="22"/>
          <w:szCs w:val="22"/>
        </w:rPr>
        <w:t xml:space="preserve">Nota: as mensagens exibidas pelo sistema citam os códigos internos do código-fonte ("RN-24a" a "RN-24d"); nesta US as regras correspondentes são, respectivamente, RN003, RN004, RN005 e RN006.</w:t>
      </w:r>
    </w:p>
    <w:p>
      <w:pPr>
        <w:pStyle w:val="Heading2"/>
        <w:spacing w:after="120" w:before="240"/>
      </w:pPr>
      <w:r>
        <w:t xml:space="preserve">7. Ações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Botão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Cor</w:t>
            </w:r>
          </w:p>
        </w:tc>
        <w:tc>
          <w:tcPr>
            <w:tcW w:type="pct" w:w="35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pct" w:w="35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Orientações/Observações</w:t>
            </w:r>
          </w:p>
        </w:tc>
      </w:tr>
      <w:tr>
        <w:tc>
          <w:tcPr>
            <w:tcW w:type="pct" w:w="1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Registrar situação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Azul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Validar as guardas de transição e registrar a nova situação no histórico.</w:t>
            </w:r>
          </w:p>
        </w:tc>
        <w:tc>
          <w:tcPr>
            <w:tcW w:type="pct" w:w="35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20" w:before="240"/>
      </w:pPr>
      <w:r>
        <w:t xml:space="preserve">8. Regras de negócio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</w:t>
            </w:r>
          </w:p>
        </w:tc>
        <w:tc>
          <w:tcPr>
            <w:tcW w:type="pct" w:w="8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regra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RN001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 certame possui nove situações possíveis; cada situação registrada reabre um prazo de 48 horas para nova prestação de contas ao TCE-MT.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RN002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Homologação é o marco do prazo de prestação de contas, distinto da data de publicação do resultado.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RN003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Só é possível registrar Retificação de Edital se o certame já possuir um registro de Abertura no histórico.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RN004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Não é permitido registrar uma nova Homologação enquanto a última Homologação do histórico não tiver sido seguida de Cancelamento/Anulação.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RN005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Só é possível registrar Retificação de Homologação se houver um registro de Homologado prévio no histórico.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RN006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data de efeito de qualquer situação registrada não pode ser anterior à data de publicação do edital.</w:t>
            </w:r>
          </w:p>
        </w:tc>
      </w:tr>
      <w:tr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RN007</w:t>
            </w:r>
          </w:p>
        </w:tc>
        <w:tc>
          <w:tcPr>
            <w:tcW w:type="pct" w:w="8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Todo certame recém-criado é salvo automaticamente na situação "Abertura".</w:t>
            </w:r>
          </w:p>
        </w:tc>
      </w:tr>
    </w:tbl>
    <w:p>
      <w:pPr>
        <w:pStyle w:val="Heading2"/>
        <w:spacing w:after="120" w:before="240"/>
      </w:pPr>
      <w:r>
        <w:t xml:space="preserve">9. Protótipo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URL: http://localhost:5173/#/prototipos/sigep/controle-pss/certames/:id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Tela: Situações do Certame (modal "Situação / Histórico")</w:t>
      </w:r>
    </w:p>
    <w:p>
      <w:pPr>
        <w:pStyle w:val="Heading2"/>
        <w:spacing w:after="120" w:before="240"/>
      </w:pPr>
      <w:r>
        <w:t xml:space="preserve">Matriz de permissões</w:t>
      </w:r>
    </w:p>
    <w:tbl>
      <w:tblPr>
        <w:tblW w:type="pct" w:w="100%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 / Nível de Acesso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Admin do Sistema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Admin Central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Admin Setorial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Chefia do Setor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Analista SEPLAG</w:t>
            </w:r>
          </w:p>
        </w:tc>
        <w:tc>
          <w:tcPr>
            <w:tcW w:type="pct" w:w="12%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Operador de Sistema</w:t>
            </w:r>
          </w:p>
        </w:tc>
      </w:tr>
      <w:tr>
        <w:tc>
          <w:tcPr>
            <w:tcW w:type="pct" w:w="2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Adicionar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8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Visualizar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  <w:tc>
          <w:tcPr>
            <w:tcW w:type="pct" w:w="12%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/>
      </w:pPr>
      <w:r>
        <w:rPr>
          <w:b w:val="false"/>
          <w:bCs w:val="false"/>
          <w:i/>
          <w:iCs/>
          <w:sz w:val="22"/>
          <w:szCs w:val="22"/>
        </w:rPr>
        <w:t xml:space="preserve">(Pendente de definição pelo usuário.)</w:t>
      </w:r>
    </w:p>
    <w:p>
      <w:pPr>
        <w:pStyle w:val="Heading2"/>
        <w:spacing w:after="120" w:before="240"/>
      </w:pPr>
      <w:r>
        <w:t xml:space="preserve">Documentos/Legislação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N/A para esta US.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rPr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333333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2026-08-25T20:33:59.758Z</dcterms:created>
  <dcterms:modified xsi:type="dcterms:W3CDTF">2026-08-25T20:33:59.758Z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