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  <w:spacing w:after="200"/>
      </w:pPr>
      <w:r>
        <w:t xml:space="preserve">USXXX - Controle de Certame - Cadastro de Certame - Identificação</w:t>
      </w:r>
    </w:p>
    <w:p>
      <w:pPr>
        <w:pStyle w:val="Heading2"/>
        <w:spacing w:after="120" w:before="240"/>
      </w:pPr>
      <w:r>
        <w:t xml:space="preserve">Histórico de alterações</w:t>
      </w:r>
    </w:p>
    <w:tbl>
      <w:tblPr>
        <w:tblW w:type="pct" w:w="100%"/>
        <w:tblBorders>
          <w:top w:val="single" w:color="999999" w:sz="4"/>
          <w:left w:val="single" w:color="999999" w:sz="4"/>
          <w:bottom w:val="single" w:color="999999" w:sz="4"/>
          <w:right w:val="single" w:color="999999" w:sz="4"/>
          <w:insideH w:val="single" w:color="CCCCCC" w:sz="2"/>
          <w:insideV w:val="single" w:color="CCCCCC" w:sz="2"/>
        </w:tblBorders>
      </w:tblPr>
      <w:tblGrid>
        <w:gridCol w:w="100"/>
        <w:gridCol w:w="100"/>
        <w:gridCol w:w="100"/>
        <w:gridCol w:w="100"/>
      </w:tblGrid>
      <w:tr>
        <w:trPr>
          <w:tblHeader/>
        </w:trPr>
        <w:tc>
          <w:tcPr>
            <w:tcW w:type="pct" w:w="12%"/>
            <w:shd w:fill="1F4E79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Data</w:t>
            </w:r>
          </w:p>
        </w:tc>
        <w:tc>
          <w:tcPr>
            <w:tcW w:type="pct" w:w="10%"/>
            <w:shd w:fill="1F4E79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Versão</w:t>
            </w:r>
          </w:p>
        </w:tc>
        <w:tc>
          <w:tcPr>
            <w:tcW w:type="pct" w:w="58%"/>
            <w:shd w:fill="1F4E79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Descrição</w:t>
            </w:r>
          </w:p>
        </w:tc>
        <w:tc>
          <w:tcPr>
            <w:tcW w:type="pct" w:w="20%"/>
            <w:shd w:fill="1F4E79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Autor</w:t>
            </w:r>
          </w:p>
        </w:tc>
      </w:tr>
      <w:tr>
        <w:tc>
          <w:tcPr>
            <w:tcW w:type="pct" w:w="12%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25/08/2026</w:t>
            </w:r>
          </w:p>
        </w:tc>
        <w:tc>
          <w:tcPr>
            <w:tcW w:type="pct" w:w="10%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1.0</w:t>
            </w:r>
          </w:p>
        </w:tc>
        <w:tc>
          <w:tcPr>
            <w:tcW w:type="pct" w:w="58%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Criação da história (desmembrada da US de Cadastro de Certame)</w:t>
            </w:r>
          </w:p>
        </w:tc>
        <w:tc>
          <w:tcPr>
            <w:tcW w:type="pct" w:w="20%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Carlos Mattos</w:t>
            </w:r>
          </w:p>
        </w:tc>
      </w:tr>
      <w:tr>
        <w:tc>
          <w:tcPr>
            <w:tcW w:type="pct" w:w="12%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25/08/2026</w:t>
            </w:r>
          </w:p>
        </w:tc>
        <w:tc>
          <w:tcPr>
            <w:tcW w:type="pct" w:w="10%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1.1</w:t>
            </w:r>
          </w:p>
        </w:tc>
        <w:tc>
          <w:tcPr>
            <w:tcW w:type="pct" w:w="58%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Regras de negócio renumeradas em sequência própria (RN001...)</w:t>
            </w:r>
          </w:p>
        </w:tc>
        <w:tc>
          <w:tcPr>
            <w:tcW w:type="pct" w:w="20%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Carlos Mattos</w:t>
            </w:r>
          </w:p>
        </w:tc>
      </w:tr>
      <w:tr>
        <w:tc>
          <w:tcPr>
            <w:tcW w:type="pct" w:w="12%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26/08/2026</w:t>
            </w:r>
          </w:p>
        </w:tc>
        <w:tc>
          <w:tcPr>
            <w:tcW w:type="pct" w:w="10%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1.2</w:t>
            </w:r>
          </w:p>
        </w:tc>
        <w:tc>
          <w:tcPr>
            <w:tcW w:type="pct" w:w="58%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Correção de navegação: "Salvar certame" só é exibido na última aba (Documentos); esta aba (1ª do fluxo) exibe "Voltar" (sai para a listagem) e "Avançar" (vai para Cronograma).</w:t>
            </w:r>
          </w:p>
        </w:tc>
        <w:tc>
          <w:tcPr>
            <w:tcW w:type="pct" w:w="20%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Carlos Mattos</w:t>
            </w:r>
          </w:p>
        </w:tc>
      </w:tr>
      <w:tr>
        <w:tc>
          <w:tcPr>
            <w:tcW w:type="pct" w:w="12%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26/08/2026</w:t>
            </w:r>
          </w:p>
        </w:tc>
        <w:tc>
          <w:tcPr>
            <w:tcW w:type="pct" w:w="10%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1.3</w:t>
            </w:r>
          </w:p>
        </w:tc>
        <w:tc>
          <w:tcPr>
            <w:tcW w:type="pct" w:w="58%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Correção: a validação passa a ser por fase — "Avançar" valida os campos obrigatórios desta aba antes de trocar de aba, em vez de só validar tudo ao salvar no final.</w:t>
            </w:r>
          </w:p>
        </w:tc>
        <w:tc>
          <w:tcPr>
            <w:tcW w:type="pct" w:w="20%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Carlos Mattos</w:t>
            </w:r>
          </w:p>
        </w:tc>
      </w:tr>
    </w:tbl>
    <w:p>
      <w:pPr>
        <w:pStyle w:val="Heading2"/>
        <w:spacing w:after="120" w:before="240"/>
      </w:pPr>
      <w:r>
        <w:t xml:space="preserve">Identificação da US</w:t>
      </w:r>
    </w:p>
    <w:p>
      <w:pPr>
        <w:spacing w:after="120"/>
      </w:pPr>
      <w:r>
        <w:rPr>
          <w:b/>
          <w:bCs/>
          <w:i w:val="false"/>
          <w:iCs w:val="false"/>
          <w:sz w:val="22"/>
          <w:szCs w:val="22"/>
        </w:rPr>
        <w:t xml:space="preserve">Sistema: SIGEP</w:t>
      </w:r>
    </w:p>
    <w:p>
      <w:pPr>
        <w:spacing w:after="120"/>
      </w:pPr>
      <w:r>
        <w:rPr>
          <w:b/>
          <w:bCs/>
          <w:i w:val="false"/>
          <w:iCs w:val="false"/>
          <w:sz w:val="22"/>
          <w:szCs w:val="22"/>
        </w:rPr>
        <w:t xml:space="preserve">Módulo: Controle de Certame</w:t>
      </w:r>
    </w:p>
    <w:p>
      <w:pPr>
        <w:spacing w:after="120"/>
      </w:pPr>
      <w:r>
        <w:rPr>
          <w:b/>
          <w:bCs/>
          <w:i w:val="false"/>
          <w:iCs w:val="false"/>
          <w:sz w:val="22"/>
          <w:szCs w:val="22"/>
        </w:rPr>
        <w:t xml:space="preserve">Nome: USXXX - Controle de Certame - Cadastro de Certame - Identificação</w:t>
      </w:r>
    </w:p>
    <w:p>
      <w:pPr>
        <w:pStyle w:val="Heading2"/>
        <w:spacing w:after="120" w:before="240"/>
      </w:pPr>
      <w:r>
        <w:t xml:space="preserve">1. Descrição</w:t>
      </w:r>
    </w:p>
    <w:p>
      <w:pPr>
        <w:spacing w:after="120"/>
      </w:pPr>
      <w:r>
        <w:rPr>
          <w:b w:val="false"/>
          <w:bCs w:val="false"/>
          <w:i w:val="false"/>
          <w:iCs w:val="false"/>
          <w:sz w:val="22"/>
          <w:szCs w:val="22"/>
        </w:rPr>
        <w:t xml:space="preserve">Como usuário responsável pela gestão de concursos públicos e processos seletivos,</w:t>
      </w:r>
    </w:p>
    <w:p>
      <w:pPr>
        <w:spacing w:after="120"/>
      </w:pPr>
      <w:r>
        <w:rPr>
          <w:b w:val="false"/>
          <w:bCs w:val="false"/>
          <w:i w:val="false"/>
          <w:iCs w:val="false"/>
          <w:sz w:val="22"/>
          <w:szCs w:val="22"/>
        </w:rPr>
        <w:t xml:space="preserve">Eu quero cadastrar e manter os dados que identificam o certame perante o TCE-MT — tipo, edital, órgãos e enquadramento legal,</w:t>
      </w:r>
    </w:p>
    <w:p>
      <w:pPr>
        <w:spacing w:after="120"/>
      </w:pPr>
      <w:r>
        <w:rPr>
          <w:b w:val="false"/>
          <w:bCs w:val="false"/>
          <w:i w:val="false"/>
          <w:iCs w:val="false"/>
          <w:sz w:val="22"/>
          <w:szCs w:val="22"/>
        </w:rPr>
        <w:t xml:space="preserve">Para que o certame exista como registro único e rastreável no SIGEP, base para as demais etapas do cadastro.</w:t>
      </w:r>
    </w:p>
    <w:p>
      <w:pPr>
        <w:pStyle w:val="Heading2"/>
        <w:spacing w:after="120" w:before="240"/>
      </w:pPr>
      <w:r>
        <w:t xml:space="preserve">2. Premissas</w:t>
      </w:r>
    </w:p>
    <w:p>
      <w:pPr>
        <w:spacing w:after="80"/>
      </w:pPr>
      <w:r>
        <w:rPr>
          <w:sz w:val="22"/>
          <w:szCs w:val="22"/>
        </w:rPr>
        <w:t xml:space="preserve">1. É a primeira aba do formulário de cadastro; é onde o certame é efetivamente criado ao salvar.</w:t>
      </w:r>
    </w:p>
    <w:p>
      <w:pPr>
        <w:spacing w:after="80"/>
      </w:pPr>
      <w:r>
        <w:rPr>
          <w:sz w:val="22"/>
          <w:szCs w:val="22"/>
        </w:rPr>
        <w:t xml:space="preserve">2. A escolha do tipo (Concurso Público ou Processo Seletivo) é feita antes de qualquer outro campo e não pode ser alterada depois.</w:t>
      </w:r>
    </w:p>
    <w:p>
      <w:pPr>
        <w:spacing w:after="80"/>
      </w:pPr>
      <w:r>
        <w:rPr>
          <w:sz w:val="22"/>
          <w:szCs w:val="22"/>
        </w:rPr>
        <w:t xml:space="preserve">3. Após salvo, o órgão responsável (mandante) não pode mais ser alterado.</w:t>
      </w:r>
    </w:p>
    <w:p>
      <w:pPr>
        <w:spacing w:after="80"/>
      </w:pPr>
      <w:r>
        <w:rPr>
          <w:sz w:val="22"/>
          <w:szCs w:val="22"/>
        </w:rPr>
        <w:t xml:space="preserve">4. Leis são buscadas em catálogo já cadastrado no sistema, não digitadas livremente.</w:t>
      </w:r>
    </w:p>
    <w:p>
      <w:pPr>
        <w:spacing w:after="80"/>
      </w:pPr>
      <w:r>
        <w:rPr>
          <w:sz w:val="22"/>
          <w:szCs w:val="22"/>
        </w:rPr>
        <w:t xml:space="preserve">5. O botão "Salvar certame" só é exibido na última aba do formulário (Documentos); nesta aba (Identificação), o rodapé exibe "Voltar" e "Avançar".</w:t>
      </w:r>
    </w:p>
    <w:p>
      <w:pPr>
        <w:spacing w:after="80"/>
      </w:pPr>
      <w:r>
        <w:rPr>
          <w:sz w:val="22"/>
          <w:szCs w:val="22"/>
        </w:rPr>
        <w:t xml:space="preserve">6. A validação é feita por fase: ao clicar em "Avançar", o sistema valida os campos obrigatórios desta aba (Identificação); se houver pendência, bloqueia o avanço, permanece na aba e sinaliza os campos inválidos. Só é possível ir para a aba Cronograma com esta aba válida.</w:t>
      </w:r>
    </w:p>
    <w:p>
      <w:pPr>
        <w:pStyle w:val="Heading2"/>
        <w:spacing w:after="120" w:before="240"/>
      </w:pPr>
      <w:r>
        <w:t xml:space="preserve">3. Critérios de aceitação</w:t>
      </w:r>
    </w:p>
    <w:p>
      <w:pPr>
        <w:spacing w:after="120"/>
      </w:pPr>
      <w:r>
        <w:rPr>
          <w:b/>
          <w:bCs/>
          <w:i w:val="false"/>
          <w:iCs w:val="false"/>
          <w:sz w:val="22"/>
          <w:szCs w:val="22"/>
        </w:rPr>
        <w:t xml:space="preserve">CA01 – Escolha obrigatória do tipo de certame</w:t>
      </w:r>
    </w:p>
    <w:p>
      <w:pPr>
        <w:spacing w:after="120"/>
      </w:pPr>
      <w:r>
        <w:rPr>
          <w:b w:val="false"/>
          <w:bCs w:val="false"/>
          <w:i w:val="false"/>
          <w:iCs w:val="false"/>
          <w:sz w:val="22"/>
          <w:szCs w:val="22"/>
        </w:rPr>
        <w:t xml:space="preserve">Dado que o usuário está cadastrando um certame novo, quando a tela é aberta, então o sistema exibe apenas o seletor de tipo e oculta os demais campos até a escolha ser feita.</w:t>
      </w:r>
    </w:p>
    <w:p>
      <w:pPr>
        <w:spacing w:after="120"/>
      </w:pPr>
      <w:r>
        <w:rPr>
          <w:b/>
          <w:bCs/>
          <w:i w:val="false"/>
          <w:iCs w:val="false"/>
          <w:sz w:val="22"/>
          <w:szCs w:val="22"/>
        </w:rPr>
        <w:t xml:space="preserve">CA02 – Tipo travado após criação</w:t>
      </w:r>
    </w:p>
    <w:p>
      <w:pPr>
        <w:spacing w:after="120"/>
      </w:pPr>
      <w:r>
        <w:rPr>
          <w:b w:val="false"/>
          <w:bCs w:val="false"/>
          <w:i w:val="false"/>
          <w:iCs w:val="false"/>
          <w:sz w:val="22"/>
          <w:szCs w:val="22"/>
        </w:rPr>
        <w:t xml:space="preserve">Dado que o certame já foi salvo, quando o usuário reabre para edição, então o Tipo do certame é exibido somente leitura.</w:t>
      </w:r>
    </w:p>
    <w:p>
      <w:pPr>
        <w:spacing w:after="120"/>
      </w:pPr>
      <w:r>
        <w:rPr>
          <w:b/>
          <w:bCs/>
          <w:i w:val="false"/>
          <w:iCs w:val="false"/>
          <w:sz w:val="22"/>
          <w:szCs w:val="22"/>
        </w:rPr>
        <w:t xml:space="preserve">CA03 – Bloqueio de duplicidade</w:t>
      </w:r>
    </w:p>
    <w:p>
      <w:pPr>
        <w:spacing w:after="120"/>
      </w:pPr>
      <w:r>
        <w:rPr>
          <w:b w:val="false"/>
          <w:bCs w:val="false"/>
          <w:i w:val="false"/>
          <w:iCs w:val="false"/>
          <w:sz w:val="22"/>
          <w:szCs w:val="22"/>
        </w:rPr>
        <w:t xml:space="preserve">Dado que já existe um certame salvo com o mesmo Número do certame (TCE-MT), Tipo e Ano do concurso, quando o usuário tenta avançar (ou reeditar e salvar) com os mesmos três valores, então o sistema exibe "Já existe um certame aberto com esse número e tipo. Verifique." e não avança.</w:t>
      </w:r>
    </w:p>
    <w:p>
      <w:pPr>
        <w:spacing w:after="120"/>
      </w:pPr>
      <w:r>
        <w:rPr>
          <w:b/>
          <w:bCs/>
          <w:i w:val="false"/>
          <w:iCs w:val="false"/>
          <w:sz w:val="22"/>
          <w:szCs w:val="22"/>
        </w:rPr>
        <w:t xml:space="preserve">CA04 – Órgão mandante travado</w:t>
      </w:r>
    </w:p>
    <w:p>
      <w:pPr>
        <w:spacing w:after="120"/>
      </w:pPr>
      <w:r>
        <w:rPr>
          <w:b w:val="false"/>
          <w:bCs w:val="false"/>
          <w:i w:val="false"/>
          <w:iCs w:val="false"/>
          <w:sz w:val="22"/>
          <w:szCs w:val="22"/>
        </w:rPr>
        <w:t xml:space="preserve">Dado que um certame já foi salvo, quando o usuário abre para edição, então o campo Órgão responsável (mandante) é exibido somente leitura.</w:t>
      </w:r>
    </w:p>
    <w:p>
      <w:pPr>
        <w:spacing w:after="120"/>
      </w:pPr>
      <w:r>
        <w:rPr>
          <w:b/>
          <w:bCs/>
          <w:i w:val="false"/>
          <w:iCs w:val="false"/>
          <w:sz w:val="22"/>
          <w:szCs w:val="22"/>
        </w:rPr>
        <w:t xml:space="preserve">CA05 – Campos obrigatórios da identificação</w:t>
      </w:r>
    </w:p>
    <w:p>
      <w:pPr>
        <w:spacing w:after="120"/>
      </w:pPr>
      <w:r>
        <w:rPr>
          <w:b w:val="false"/>
          <w:bCs w:val="false"/>
          <w:i w:val="false"/>
          <w:iCs w:val="false"/>
          <w:sz w:val="22"/>
          <w:szCs w:val="22"/>
        </w:rPr>
        <w:t xml:space="preserve">Dado que Ano do concurso, Número do certame, Número do edital do órgão ou Nome do edital não foram preenchidos, quando o usuário clica em "Avançar", então o sistema bloqueia, permanece nesta aba e sinaliza os campos pendentes.</w:t>
      </w:r>
    </w:p>
    <w:p>
      <w:pPr>
        <w:spacing w:after="120"/>
      </w:pPr>
      <w:r>
        <w:rPr>
          <w:b/>
          <w:bCs/>
          <w:i w:val="false"/>
          <w:iCs w:val="false"/>
          <w:sz w:val="22"/>
          <w:szCs w:val="22"/>
        </w:rPr>
        <w:t xml:space="preserve">CA06 – Avançar valida a aba atual</w:t>
      </w:r>
    </w:p>
    <w:p>
      <w:pPr>
        <w:spacing w:after="120"/>
      </w:pPr>
      <w:r>
        <w:rPr>
          <w:b w:val="false"/>
          <w:bCs w:val="false"/>
          <w:i w:val="false"/>
          <w:iCs w:val="false"/>
          <w:sz w:val="22"/>
          <w:szCs w:val="22"/>
        </w:rPr>
        <w:t xml:space="preserve">Dado que todos os campos obrigatórios desta aba (Identificação) estão preenchidos e válidos (sem duplicidade), quando o usuário clica em "Avançar", então o sistema move para a aba Cronograma.</w:t>
      </w:r>
    </w:p>
    <w:p>
      <w:pPr>
        <w:pStyle w:val="Heading2"/>
        <w:spacing w:after="120" w:before="240"/>
      </w:pPr>
      <w:r>
        <w:t xml:space="preserve">4. Fluxos Funcionais</w:t>
      </w:r>
    </w:p>
    <w:p>
      <w:pPr>
        <w:spacing w:after="120"/>
      </w:pPr>
      <w:r>
        <w:rPr>
          <w:b/>
          <w:bCs/>
          <w:i w:val="false"/>
          <w:iCs w:val="false"/>
          <w:sz w:val="22"/>
          <w:szCs w:val="22"/>
        </w:rPr>
        <w:t xml:space="preserve">Fluxo 1 – Cadastrar identificação de um certame novo</w:t>
      </w:r>
    </w:p>
    <w:p>
      <w:pPr>
        <w:spacing w:after="80"/>
      </w:pPr>
      <w:r>
        <w:rPr>
          <w:sz w:val="22"/>
          <w:szCs w:val="22"/>
        </w:rPr>
        <w:t xml:space="preserve">1. O usuário clica em "Cadastrar" na listagem.</w:t>
      </w:r>
    </w:p>
    <w:p>
      <w:pPr>
        <w:spacing w:after="80"/>
      </w:pPr>
      <w:r>
        <w:rPr>
          <w:sz w:val="22"/>
          <w:szCs w:val="22"/>
        </w:rPr>
        <w:t xml:space="preserve">2. O usuário escolhe o tipo do certame.</w:t>
      </w:r>
    </w:p>
    <w:p>
      <w:pPr>
        <w:spacing w:after="80"/>
      </w:pPr>
      <w:r>
        <w:rPr>
          <w:sz w:val="22"/>
          <w:szCs w:val="22"/>
        </w:rPr>
        <w:t xml:space="preserve">3. O usuário preenche Ano, Número do certame, Número do edital do órgão e Nome do edital.</w:t>
      </w:r>
    </w:p>
    <w:p>
      <w:pPr>
        <w:spacing w:after="80"/>
      </w:pPr>
      <w:r>
        <w:rPr>
          <w:sz w:val="22"/>
          <w:szCs w:val="22"/>
        </w:rPr>
        <w:t xml:space="preserve">4. O usuário informa o Órgão responsável e, se houver, os Órgãos participantes.</w:t>
      </w:r>
    </w:p>
    <w:p>
      <w:pPr>
        <w:spacing w:after="80"/>
      </w:pPr>
      <w:r>
        <w:rPr>
          <w:sz w:val="22"/>
          <w:szCs w:val="22"/>
        </w:rPr>
        <w:t xml:space="preserve">5. O usuário preenche Regime jurídico, Tipo de vínculo e a(s) lei(s) aplicável(is).</w:t>
      </w:r>
    </w:p>
    <w:p>
      <w:pPr>
        <w:spacing w:after="80"/>
      </w:pPr>
      <w:r>
        <w:rPr>
          <w:sz w:val="22"/>
          <w:szCs w:val="22"/>
        </w:rPr>
        <w:t xml:space="preserve">6. O usuário preenche o Objetivo do certame.</w:t>
      </w:r>
    </w:p>
    <w:p>
      <w:pPr>
        <w:spacing w:after="80"/>
      </w:pPr>
      <w:r>
        <w:rPr>
          <w:sz w:val="22"/>
          <w:szCs w:val="22"/>
        </w:rPr>
        <w:t xml:space="preserve">7. O usuário clica em "Avançar"; o sistema valida os campos desta aba e, se válidos, segue para a aba Cronograma.</w:t>
      </w:r>
    </w:p>
    <w:p>
      <w:pPr>
        <w:spacing w:after="120"/>
      </w:pPr>
      <w:r>
        <w:rPr>
          <w:b/>
          <w:bCs/>
          <w:i w:val="false"/>
          <w:iCs w:val="false"/>
          <w:sz w:val="22"/>
          <w:szCs w:val="22"/>
        </w:rPr>
        <w:t xml:space="preserve">Fluxo 2 – Bloqueio ao avançar com campo pendente</w:t>
      </w:r>
    </w:p>
    <w:p>
      <w:pPr>
        <w:spacing w:after="80"/>
      </w:pPr>
      <w:r>
        <w:rPr>
          <w:sz w:val="22"/>
          <w:szCs w:val="22"/>
        </w:rPr>
        <w:t xml:space="preserve">1. O usuário deixa um campo obrigatório desta aba em branco (ex.: Nome do edital).</w:t>
      </w:r>
    </w:p>
    <w:p>
      <w:pPr>
        <w:spacing w:after="80"/>
      </w:pPr>
      <w:r>
        <w:rPr>
          <w:sz w:val="22"/>
          <w:szCs w:val="22"/>
        </w:rPr>
        <w:t xml:space="preserve">2. O usuário clica em "Avançar".</w:t>
      </w:r>
    </w:p>
    <w:p>
      <w:pPr>
        <w:spacing w:after="80"/>
      </w:pPr>
      <w:r>
        <w:rPr>
          <w:sz w:val="22"/>
          <w:szCs w:val="22"/>
        </w:rPr>
        <w:t xml:space="preserve">3. O sistema bloqueia, permanece na aba Identificação e sinaliza o campo pendente.</w:t>
      </w:r>
    </w:p>
    <w:p>
      <w:pPr>
        <w:spacing w:after="80"/>
      </w:pPr>
      <w:r>
        <w:rPr>
          <w:sz w:val="22"/>
          <w:szCs w:val="22"/>
        </w:rPr>
        <w:t xml:space="preserve">4. O usuário preenche o campo e clica em "Avançar" novamente.</w:t>
      </w:r>
    </w:p>
    <w:p>
      <w:pPr>
        <w:spacing w:after="120"/>
      </w:pPr>
      <w:r>
        <w:rPr>
          <w:b/>
          <w:bCs/>
          <w:i w:val="false"/>
          <w:iCs w:val="false"/>
          <w:sz w:val="22"/>
          <w:szCs w:val="22"/>
        </w:rPr>
        <w:t xml:space="preserve">Fluxo 3 – Editar identificação de um certame existente</w:t>
      </w:r>
    </w:p>
    <w:p>
      <w:pPr>
        <w:spacing w:after="80"/>
      </w:pPr>
      <w:r>
        <w:rPr>
          <w:sz w:val="22"/>
          <w:szCs w:val="22"/>
        </w:rPr>
        <w:t xml:space="preserve">1. O usuário abre um certame já salvo.</w:t>
      </w:r>
    </w:p>
    <w:p>
      <w:pPr>
        <w:spacing w:after="80"/>
      </w:pPr>
      <w:r>
        <w:rPr>
          <w:sz w:val="22"/>
          <w:szCs w:val="22"/>
        </w:rPr>
        <w:t xml:space="preserve">2. O sistema exibe Tipo e Órgão responsável somente leitura.</w:t>
      </w:r>
    </w:p>
    <w:p>
      <w:pPr>
        <w:spacing w:after="80"/>
      </w:pPr>
      <w:r>
        <w:rPr>
          <w:sz w:val="22"/>
          <w:szCs w:val="22"/>
        </w:rPr>
        <w:t xml:space="preserve">3. O usuário altera os demais campos permitidos.</w:t>
      </w:r>
    </w:p>
    <w:p>
      <w:pPr>
        <w:spacing w:after="80"/>
      </w:pPr>
      <w:r>
        <w:rPr>
          <w:sz w:val="22"/>
          <w:szCs w:val="22"/>
        </w:rPr>
        <w:t xml:space="preserve">4. O usuário navega (com validação por aba) até a aba Documentos e clica em "Salvar certame".</w:t>
      </w:r>
    </w:p>
    <w:p>
      <w:pPr>
        <w:spacing w:after="120"/>
      </w:pPr>
      <w:r>
        <w:rPr>
          <w:b/>
          <w:bCs/>
          <w:i w:val="false"/>
          <w:iCs w:val="false"/>
          <w:sz w:val="22"/>
          <w:szCs w:val="22"/>
        </w:rPr>
        <w:t xml:space="preserve">Fluxo 4 – Sair do cadastro pela primeira aba</w:t>
      </w:r>
    </w:p>
    <w:p>
      <w:pPr>
        <w:spacing w:after="80"/>
      </w:pPr>
      <w:r>
        <w:rPr>
          <w:sz w:val="22"/>
          <w:szCs w:val="22"/>
        </w:rPr>
        <w:t xml:space="preserve">1. O usuário está na aba Identificação (primeira do fluxo).</w:t>
      </w:r>
    </w:p>
    <w:p>
      <w:pPr>
        <w:spacing w:after="80"/>
      </w:pPr>
      <w:r>
        <w:rPr>
          <w:sz w:val="22"/>
          <w:szCs w:val="22"/>
        </w:rPr>
        <w:t xml:space="preserve">2. O usuário clica em "Voltar".</w:t>
      </w:r>
    </w:p>
    <w:p>
      <w:pPr>
        <w:spacing w:after="80"/>
      </w:pPr>
      <w:r>
        <w:rPr>
          <w:sz w:val="22"/>
          <w:szCs w:val="22"/>
        </w:rPr>
        <w:t xml:space="preserve">3. O sistema retorna à listagem de certames, sem salvar.</w:t>
      </w:r>
    </w:p>
    <w:p>
      <w:pPr>
        <w:pStyle w:val="Heading2"/>
        <w:spacing w:after="120" w:before="240"/>
      </w:pPr>
      <w:r>
        <w:t xml:space="preserve">5. Descrição da tela</w:t>
      </w:r>
    </w:p>
    <w:p>
      <w:pPr>
        <w:pStyle w:val="Heading3"/>
        <w:spacing w:after="120" w:before="240"/>
      </w:pPr>
      <w:r>
        <w:t xml:space="preserve">Grupo: Identificação do certame</w:t>
      </w:r>
    </w:p>
    <w:tbl>
      <w:tblPr>
        <w:tblW w:type="pct" w:w="100%"/>
        <w:tblBorders>
          <w:top w:val="single" w:color="999999" w:sz="4"/>
          <w:left w:val="single" w:color="999999" w:sz="4"/>
          <w:bottom w:val="single" w:color="999999" w:sz="4"/>
          <w:right w:val="single" w:color="999999" w:sz="4"/>
          <w:insideH w:val="single" w:color="CCCCCC" w:sz="2"/>
          <w:insideV w:val="single" w:color="CCCCCC" w:sz="2"/>
        </w:tblBorders>
      </w:tblPr>
      <w:tblGrid>
        <w:gridCol w:w="100"/>
        <w:gridCol w:w="100"/>
        <w:gridCol w:w="100"/>
        <w:gridCol w:w="100"/>
        <w:gridCol w:w="100"/>
        <w:gridCol w:w="100"/>
      </w:tblGrid>
      <w:tr>
        <w:trPr>
          <w:tblHeader/>
        </w:trPr>
        <w:tc>
          <w:tcPr>
            <w:tcW w:type="pct" w:w="16%"/>
            <w:shd w:fill="1F4E79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Nome</w:t>
            </w:r>
          </w:p>
        </w:tc>
        <w:tc>
          <w:tcPr>
            <w:tcW w:type="pct" w:w="14%"/>
            <w:shd w:fill="1F4E79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Tipo</w:t>
            </w:r>
          </w:p>
        </w:tc>
        <w:tc>
          <w:tcPr>
            <w:tcW w:type="pct" w:w="10%"/>
            <w:shd w:fill="1F4E79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Editável</w:t>
            </w:r>
          </w:p>
        </w:tc>
        <w:tc>
          <w:tcPr>
            <w:tcW w:type="pct" w:w="12%"/>
            <w:shd w:fill="1F4E79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Obrigatório</w:t>
            </w:r>
          </w:p>
        </w:tc>
        <w:tc>
          <w:tcPr>
            <w:tcW w:type="pct" w:w="10%"/>
            <w:shd w:fill="1F4E79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Tamanho</w:t>
            </w:r>
          </w:p>
        </w:tc>
        <w:tc>
          <w:tcPr>
            <w:tcW w:type="pct" w:w="38%"/>
            <w:shd w:fill="1F4E79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Orientações/Observações</w:t>
            </w:r>
          </w:p>
        </w:tc>
      </w:tr>
      <w:tr>
        <w:tc>
          <w:tcPr>
            <w:tcW w:type="pct" w:w="16%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Tipo do certame / Aplic. TCE-MT</w:t>
            </w:r>
          </w:p>
        </w:tc>
        <w:tc>
          <w:tcPr>
            <w:tcW w:type="pct" w:w="14%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Texto (fixo)</w:t>
            </w:r>
          </w:p>
        </w:tc>
        <w:tc>
          <w:tcPr>
            <w:tcW w:type="pct" w:w="10%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Não (definido na criação)</w:t>
            </w:r>
          </w:p>
        </w:tc>
        <w:tc>
          <w:tcPr>
            <w:tcW w:type="pct" w:w="12%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Sim</w:t>
            </w:r>
          </w:p>
        </w:tc>
        <w:tc>
          <w:tcPr>
            <w:tcW w:type="pct" w:w="10%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N/A</w:t>
            </w:r>
          </w:p>
        </w:tc>
        <w:tc>
          <w:tcPr>
            <w:tcW w:type="pct" w:w="38%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Origem: Certame.tipoCertame/tipoConcursoAplic [RN006].</w:t>
            </w:r>
          </w:p>
        </w:tc>
      </w:tr>
      <w:tr>
        <w:tc>
          <w:tcPr>
            <w:tcW w:type="pct" w:w="16%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Ano do concurso</w:t>
            </w:r>
          </w:p>
        </w:tc>
        <w:tc>
          <w:tcPr>
            <w:tcW w:type="pct" w:w="14%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Numérico</w:t>
            </w:r>
          </w:p>
        </w:tc>
        <w:tc>
          <w:tcPr>
            <w:tcW w:type="pct" w:w="10%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Sim</w:t>
            </w:r>
          </w:p>
        </w:tc>
        <w:tc>
          <w:tcPr>
            <w:tcW w:type="pct" w:w="12%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Sim</w:t>
            </w:r>
          </w:p>
        </w:tc>
        <w:tc>
          <w:tcPr>
            <w:tcW w:type="pct" w:w="10%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N/A</w:t>
            </w:r>
          </w:p>
        </w:tc>
        <w:tc>
          <w:tcPr>
            <w:tcW w:type="pct" w:w="38%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Origem: Certame.anoConcurso.</w:t>
            </w:r>
          </w:p>
        </w:tc>
      </w:tr>
      <w:tr>
        <w:tc>
          <w:tcPr>
            <w:tcW w:type="pct" w:w="16%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Número do certame (TCE-MT)</w:t>
            </w:r>
          </w:p>
        </w:tc>
        <w:tc>
          <w:tcPr>
            <w:tcW w:type="pct" w:w="14%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Texto (máscara)</w:t>
            </w:r>
          </w:p>
        </w:tc>
        <w:tc>
          <w:tcPr>
            <w:tcW w:type="pct" w:w="10%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Sim</w:t>
            </w:r>
          </w:p>
        </w:tc>
        <w:tc>
          <w:tcPr>
            <w:tcW w:type="pct" w:w="12%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Sim</w:t>
            </w:r>
          </w:p>
        </w:tc>
        <w:tc>
          <w:tcPr>
            <w:tcW w:type="pct" w:w="10%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11</w:t>
            </w:r>
          </w:p>
        </w:tc>
        <w:tc>
          <w:tcPr>
            <w:tcW w:type="pct" w:w="38%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Origem: Certame.numeroConcurso; sequencial por exercício [RN003].</w:t>
            </w:r>
          </w:p>
        </w:tc>
      </w:tr>
      <w:tr>
        <w:tc>
          <w:tcPr>
            <w:tcW w:type="pct" w:w="16%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Número do edital do órgão</w:t>
            </w:r>
          </w:p>
        </w:tc>
        <w:tc>
          <w:tcPr>
            <w:tcW w:type="pct" w:w="14%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Texto</w:t>
            </w:r>
          </w:p>
        </w:tc>
        <w:tc>
          <w:tcPr>
            <w:tcW w:type="pct" w:w="10%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Sim</w:t>
            </w:r>
          </w:p>
        </w:tc>
        <w:tc>
          <w:tcPr>
            <w:tcW w:type="pct" w:w="12%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Sim</w:t>
            </w:r>
          </w:p>
        </w:tc>
        <w:tc>
          <w:tcPr>
            <w:tcW w:type="pct" w:w="10%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N/A</w:t>
            </w:r>
          </w:p>
        </w:tc>
        <w:tc>
          <w:tcPr>
            <w:tcW w:type="pct" w:w="38%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Origem: Certame.numeroEditalOrgao [RN004].</w:t>
            </w:r>
          </w:p>
        </w:tc>
      </w:tr>
      <w:tr>
        <w:tc>
          <w:tcPr>
            <w:tcW w:type="pct" w:w="16%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Nome do edital</w:t>
            </w:r>
          </w:p>
        </w:tc>
        <w:tc>
          <w:tcPr>
            <w:tcW w:type="pct" w:w="14%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Texto</w:t>
            </w:r>
          </w:p>
        </w:tc>
        <w:tc>
          <w:tcPr>
            <w:tcW w:type="pct" w:w="10%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Sim</w:t>
            </w:r>
          </w:p>
        </w:tc>
        <w:tc>
          <w:tcPr>
            <w:tcW w:type="pct" w:w="12%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Sim</w:t>
            </w:r>
          </w:p>
        </w:tc>
        <w:tc>
          <w:tcPr>
            <w:tcW w:type="pct" w:w="10%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N/A</w:t>
            </w:r>
          </w:p>
        </w:tc>
        <w:tc>
          <w:tcPr>
            <w:tcW w:type="pct" w:w="38%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Origem: Certame.nomeEdital; padrão [NÚMERO]/[ÓRGÃO]/[ANO] + descrição [RN002].</w:t>
            </w:r>
          </w:p>
        </w:tc>
      </w:tr>
    </w:tbl>
    <w:p>
      <w:pPr>
        <w:pStyle w:val="Heading3"/>
        <w:spacing w:after="120" w:before="240"/>
      </w:pPr>
      <w:r>
        <w:t xml:space="preserve">Grupo: Órgãos envolvidos</w:t>
      </w:r>
    </w:p>
    <w:tbl>
      <w:tblPr>
        <w:tblW w:type="pct" w:w="100%"/>
        <w:tblBorders>
          <w:top w:val="single" w:color="999999" w:sz="4"/>
          <w:left w:val="single" w:color="999999" w:sz="4"/>
          <w:bottom w:val="single" w:color="999999" w:sz="4"/>
          <w:right w:val="single" w:color="999999" w:sz="4"/>
          <w:insideH w:val="single" w:color="CCCCCC" w:sz="2"/>
          <w:insideV w:val="single" w:color="CCCCCC" w:sz="2"/>
        </w:tblBorders>
      </w:tblPr>
      <w:tblGrid>
        <w:gridCol w:w="100"/>
        <w:gridCol w:w="100"/>
        <w:gridCol w:w="100"/>
        <w:gridCol w:w="100"/>
        <w:gridCol w:w="100"/>
        <w:gridCol w:w="100"/>
      </w:tblGrid>
      <w:tr>
        <w:trPr>
          <w:tblHeader/>
        </w:trPr>
        <w:tc>
          <w:tcPr>
            <w:tcW w:type="pct" w:w="16%"/>
            <w:shd w:fill="1F4E79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Nome</w:t>
            </w:r>
          </w:p>
        </w:tc>
        <w:tc>
          <w:tcPr>
            <w:tcW w:type="pct" w:w="14%"/>
            <w:shd w:fill="1F4E79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Tipo</w:t>
            </w:r>
          </w:p>
        </w:tc>
        <w:tc>
          <w:tcPr>
            <w:tcW w:type="pct" w:w="10%"/>
            <w:shd w:fill="1F4E79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Editável</w:t>
            </w:r>
          </w:p>
        </w:tc>
        <w:tc>
          <w:tcPr>
            <w:tcW w:type="pct" w:w="12%"/>
            <w:shd w:fill="1F4E79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Obrigatório</w:t>
            </w:r>
          </w:p>
        </w:tc>
        <w:tc>
          <w:tcPr>
            <w:tcW w:type="pct" w:w="10%"/>
            <w:shd w:fill="1F4E79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Tamanho</w:t>
            </w:r>
          </w:p>
        </w:tc>
        <w:tc>
          <w:tcPr>
            <w:tcW w:type="pct" w:w="38%"/>
            <w:shd w:fill="1F4E79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Orientações/Observações</w:t>
            </w:r>
          </w:p>
        </w:tc>
      </w:tr>
      <w:tr>
        <w:tc>
          <w:tcPr>
            <w:tcW w:type="pct" w:w="16%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Órgão responsável (mandante)</w:t>
            </w:r>
          </w:p>
        </w:tc>
        <w:tc>
          <w:tcPr>
            <w:tcW w:type="pct" w:w="14%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Dropdown / fixo após salvar</w:t>
            </w:r>
          </w:p>
        </w:tc>
        <w:tc>
          <w:tcPr>
            <w:tcW w:type="pct" w:w="10%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Sim (só antes de salvar)</w:t>
            </w:r>
          </w:p>
        </w:tc>
        <w:tc>
          <w:tcPr>
            <w:tcW w:type="pct" w:w="12%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Sim</w:t>
            </w:r>
          </w:p>
        </w:tc>
        <w:tc>
          <w:tcPr>
            <w:tcW w:type="pct" w:w="10%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N/A</w:t>
            </w:r>
          </w:p>
        </w:tc>
        <w:tc>
          <w:tcPr>
            <w:tcW w:type="pct" w:w="38%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Origem: Certame.setor [RN005].</w:t>
            </w:r>
          </w:p>
        </w:tc>
      </w:tr>
      <w:tr>
        <w:tc>
          <w:tcPr>
            <w:tcW w:type="pct" w:w="16%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Órgãos participantes</w:t>
            </w:r>
          </w:p>
        </w:tc>
        <w:tc>
          <w:tcPr>
            <w:tcW w:type="pct" w:w="14%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Multiseleção</w:t>
            </w:r>
          </w:p>
        </w:tc>
        <w:tc>
          <w:tcPr>
            <w:tcW w:type="pct" w:w="10%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Sim</w:t>
            </w:r>
          </w:p>
        </w:tc>
        <w:tc>
          <w:tcPr>
            <w:tcW w:type="pct" w:w="12%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Não</w:t>
            </w:r>
          </w:p>
        </w:tc>
        <w:tc>
          <w:tcPr>
            <w:tcW w:type="pct" w:w="10%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N/A</w:t>
            </w:r>
          </w:p>
        </w:tc>
        <w:tc>
          <w:tcPr>
            <w:tcW w:type="pct" w:w="38%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Origem: Certame.setoresParticipantes.</w:t>
            </w:r>
          </w:p>
        </w:tc>
      </w:tr>
    </w:tbl>
    <w:p>
      <w:pPr>
        <w:pStyle w:val="Heading3"/>
        <w:spacing w:after="120" w:before="240"/>
      </w:pPr>
      <w:r>
        <w:t xml:space="preserve">Grupo: Enquadramento funcional e legal</w:t>
      </w:r>
    </w:p>
    <w:tbl>
      <w:tblPr>
        <w:tblW w:type="pct" w:w="100%"/>
        <w:tblBorders>
          <w:top w:val="single" w:color="999999" w:sz="4"/>
          <w:left w:val="single" w:color="999999" w:sz="4"/>
          <w:bottom w:val="single" w:color="999999" w:sz="4"/>
          <w:right w:val="single" w:color="999999" w:sz="4"/>
          <w:insideH w:val="single" w:color="CCCCCC" w:sz="2"/>
          <w:insideV w:val="single" w:color="CCCCCC" w:sz="2"/>
        </w:tblBorders>
      </w:tblPr>
      <w:tblGrid>
        <w:gridCol w:w="100"/>
        <w:gridCol w:w="100"/>
        <w:gridCol w:w="100"/>
        <w:gridCol w:w="100"/>
        <w:gridCol w:w="100"/>
        <w:gridCol w:w="100"/>
      </w:tblGrid>
      <w:tr>
        <w:trPr>
          <w:tblHeader/>
        </w:trPr>
        <w:tc>
          <w:tcPr>
            <w:tcW w:type="pct" w:w="16%"/>
            <w:shd w:fill="1F4E79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Nome</w:t>
            </w:r>
          </w:p>
        </w:tc>
        <w:tc>
          <w:tcPr>
            <w:tcW w:type="pct" w:w="14%"/>
            <w:shd w:fill="1F4E79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Tipo</w:t>
            </w:r>
          </w:p>
        </w:tc>
        <w:tc>
          <w:tcPr>
            <w:tcW w:type="pct" w:w="10%"/>
            <w:shd w:fill="1F4E79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Editável</w:t>
            </w:r>
          </w:p>
        </w:tc>
        <w:tc>
          <w:tcPr>
            <w:tcW w:type="pct" w:w="12%"/>
            <w:shd w:fill="1F4E79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Obrigatório</w:t>
            </w:r>
          </w:p>
        </w:tc>
        <w:tc>
          <w:tcPr>
            <w:tcW w:type="pct" w:w="10%"/>
            <w:shd w:fill="1F4E79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Tamanho</w:t>
            </w:r>
          </w:p>
        </w:tc>
        <w:tc>
          <w:tcPr>
            <w:tcW w:type="pct" w:w="38%"/>
            <w:shd w:fill="1F4E79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Orientações/Observações</w:t>
            </w:r>
          </w:p>
        </w:tc>
      </w:tr>
      <w:tr>
        <w:tc>
          <w:tcPr>
            <w:tcW w:type="pct" w:w="16%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Tipo de vínculo</w:t>
            </w:r>
          </w:p>
        </w:tc>
        <w:tc>
          <w:tcPr>
            <w:tcW w:type="pct" w:w="14%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Fixo (Concurso) / Dropdown (PSS)</w:t>
            </w:r>
          </w:p>
        </w:tc>
        <w:tc>
          <w:tcPr>
            <w:tcW w:type="pct" w:w="10%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Não / Sim</w:t>
            </w:r>
          </w:p>
        </w:tc>
        <w:tc>
          <w:tcPr>
            <w:tcW w:type="pct" w:w="12%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Sim</w:t>
            </w:r>
          </w:p>
        </w:tc>
        <w:tc>
          <w:tcPr>
            <w:tcW w:type="pct" w:w="10%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N/A</w:t>
            </w:r>
          </w:p>
        </w:tc>
        <w:tc>
          <w:tcPr>
            <w:tcW w:type="pct" w:w="38%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Origem: Certame.tipoVinculo [RN007].</w:t>
            </w:r>
          </w:p>
        </w:tc>
      </w:tr>
      <w:tr>
        <w:tc>
          <w:tcPr>
            <w:tcW w:type="pct" w:w="16%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Regime jurídico</w:t>
            </w:r>
          </w:p>
        </w:tc>
        <w:tc>
          <w:tcPr>
            <w:tcW w:type="pct" w:w="14%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Dropdown</w:t>
            </w:r>
          </w:p>
        </w:tc>
        <w:tc>
          <w:tcPr>
            <w:tcW w:type="pct" w:w="10%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Sim</w:t>
            </w:r>
          </w:p>
        </w:tc>
        <w:tc>
          <w:tcPr>
            <w:tcW w:type="pct" w:w="12%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Sim</w:t>
            </w:r>
          </w:p>
        </w:tc>
        <w:tc>
          <w:tcPr>
            <w:tcW w:type="pct" w:w="10%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N/A</w:t>
            </w:r>
          </w:p>
        </w:tc>
        <w:tc>
          <w:tcPr>
            <w:tcW w:type="pct" w:w="38%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Origem: Certame.regimeJuridico.</w:t>
            </w:r>
          </w:p>
        </w:tc>
      </w:tr>
      <w:tr>
        <w:tc>
          <w:tcPr>
            <w:tcW w:type="pct" w:w="16%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Lei do concurso / contrato temporário / processo seletivo</w:t>
            </w:r>
          </w:p>
        </w:tc>
        <w:tc>
          <w:tcPr>
            <w:tcW w:type="pct" w:w="14%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Busca múltipla em catálogo</w:t>
            </w:r>
          </w:p>
        </w:tc>
        <w:tc>
          <w:tcPr>
            <w:tcW w:type="pct" w:w="10%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Sim</w:t>
            </w:r>
          </w:p>
        </w:tc>
        <w:tc>
          <w:tcPr>
            <w:tcW w:type="pct" w:w="12%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Sim (conforme vínculo)</w:t>
            </w:r>
          </w:p>
        </w:tc>
        <w:tc>
          <w:tcPr>
            <w:tcW w:type="pct" w:w="10%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N/A</w:t>
            </w:r>
          </w:p>
        </w:tc>
        <w:tc>
          <w:tcPr>
            <w:tcW w:type="pct" w:w="38%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Origem: Certame.leiContratoTemporario/leiProcessoSeletivoSimplificado.</w:t>
            </w:r>
          </w:p>
        </w:tc>
      </w:tr>
    </w:tbl>
    <w:p>
      <w:pPr>
        <w:pStyle w:val="Heading3"/>
        <w:spacing w:after="120" w:before="240"/>
      </w:pPr>
      <w:r>
        <w:t xml:space="preserve">Grupo: Objetivo</w:t>
      </w:r>
    </w:p>
    <w:tbl>
      <w:tblPr>
        <w:tblW w:type="pct" w:w="100%"/>
        <w:tblBorders>
          <w:top w:val="single" w:color="999999" w:sz="4"/>
          <w:left w:val="single" w:color="999999" w:sz="4"/>
          <w:bottom w:val="single" w:color="999999" w:sz="4"/>
          <w:right w:val="single" w:color="999999" w:sz="4"/>
          <w:insideH w:val="single" w:color="CCCCCC" w:sz="2"/>
          <w:insideV w:val="single" w:color="CCCCCC" w:sz="2"/>
        </w:tblBorders>
      </w:tblPr>
      <w:tblGrid>
        <w:gridCol w:w="100"/>
        <w:gridCol w:w="100"/>
        <w:gridCol w:w="100"/>
        <w:gridCol w:w="100"/>
        <w:gridCol w:w="100"/>
        <w:gridCol w:w="100"/>
      </w:tblGrid>
      <w:tr>
        <w:trPr>
          <w:tblHeader/>
        </w:trPr>
        <w:tc>
          <w:tcPr>
            <w:tcW w:type="pct" w:w="16%"/>
            <w:shd w:fill="1F4E79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Nome</w:t>
            </w:r>
          </w:p>
        </w:tc>
        <w:tc>
          <w:tcPr>
            <w:tcW w:type="pct" w:w="14%"/>
            <w:shd w:fill="1F4E79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Tipo</w:t>
            </w:r>
          </w:p>
        </w:tc>
        <w:tc>
          <w:tcPr>
            <w:tcW w:type="pct" w:w="10%"/>
            <w:shd w:fill="1F4E79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Editável</w:t>
            </w:r>
          </w:p>
        </w:tc>
        <w:tc>
          <w:tcPr>
            <w:tcW w:type="pct" w:w="12%"/>
            <w:shd w:fill="1F4E79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Obrigatório</w:t>
            </w:r>
          </w:p>
        </w:tc>
        <w:tc>
          <w:tcPr>
            <w:tcW w:type="pct" w:w="10%"/>
            <w:shd w:fill="1F4E79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Tamanho</w:t>
            </w:r>
          </w:p>
        </w:tc>
        <w:tc>
          <w:tcPr>
            <w:tcW w:type="pct" w:w="38%"/>
            <w:shd w:fill="1F4E79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Orientações/Observações</w:t>
            </w:r>
          </w:p>
        </w:tc>
      </w:tr>
      <w:tr>
        <w:tc>
          <w:tcPr>
            <w:tcW w:type="pct" w:w="16%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Objetivo</w:t>
            </w:r>
          </w:p>
        </w:tc>
        <w:tc>
          <w:tcPr>
            <w:tcW w:type="pct" w:w="14%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Texto longo</w:t>
            </w:r>
          </w:p>
        </w:tc>
        <w:tc>
          <w:tcPr>
            <w:tcW w:type="pct" w:w="10%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Sim</w:t>
            </w:r>
          </w:p>
        </w:tc>
        <w:tc>
          <w:tcPr>
            <w:tcW w:type="pct" w:w="12%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Não</w:t>
            </w:r>
          </w:p>
        </w:tc>
        <w:tc>
          <w:tcPr>
            <w:tcW w:type="pct" w:w="10%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1000</w:t>
            </w:r>
          </w:p>
        </w:tc>
        <w:tc>
          <w:tcPr>
            <w:tcW w:type="pct" w:w="38%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Origem: Certame.objetivo.</w:t>
            </w:r>
          </w:p>
        </w:tc>
      </w:tr>
    </w:tbl>
    <w:p>
      <w:pPr>
        <w:pStyle w:val="Heading2"/>
        <w:spacing w:after="120" w:before="240"/>
      </w:pPr>
      <w:r>
        <w:t xml:space="preserve">6. Mensagens e confirmações</w:t>
      </w:r>
    </w:p>
    <w:tbl>
      <w:tblPr>
        <w:tblW w:type="pct" w:w="100%"/>
        <w:tblBorders>
          <w:top w:val="single" w:color="999999" w:sz="4"/>
          <w:left w:val="single" w:color="999999" w:sz="4"/>
          <w:bottom w:val="single" w:color="999999" w:sz="4"/>
          <w:right w:val="single" w:color="999999" w:sz="4"/>
          <w:insideH w:val="single" w:color="CCCCCC" w:sz="2"/>
          <w:insideV w:val="single" w:color="CCCCCC" w:sz="2"/>
        </w:tblBorders>
      </w:tblPr>
      <w:tblGrid>
        <w:gridCol w:w="100"/>
        <w:gridCol w:w="100"/>
      </w:tblGrid>
      <w:tr>
        <w:trPr>
          <w:tblHeader/>
        </w:trPr>
        <w:tc>
          <w:tcPr>
            <w:tcW w:type="pct" w:w="30%"/>
            <w:shd w:fill="1F4E79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Ação</w:t>
            </w:r>
          </w:p>
        </w:tc>
        <w:tc>
          <w:tcPr>
            <w:tcW w:type="pct" w:w="70%"/>
            <w:shd w:fill="1F4E79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Mensagem</w:t>
            </w:r>
          </w:p>
        </w:tc>
      </w:tr>
      <w:tr>
        <w:tc>
          <w:tcPr>
            <w:tcW w:type="pct" w:w="30%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Duplicidade ao avançar/salvar</w:t>
            </w:r>
          </w:p>
        </w:tc>
        <w:tc>
          <w:tcPr>
            <w:tcW w:type="pct" w:w="70%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"Já existe um certame aberto com esse número e tipo. Verifique."</w:t>
            </w:r>
          </w:p>
        </w:tc>
      </w:tr>
      <w:tr>
        <w:tc>
          <w:tcPr>
            <w:tcW w:type="pct" w:w="30%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Rascunho restaurado</w:t>
            </w:r>
          </w:p>
        </w:tc>
        <w:tc>
          <w:tcPr>
            <w:tcW w:type="pct" w:w="70%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"Continuamos de onde você parou — o rascunho deste cadastro foi restaurado automaticamente."</w:t>
            </w:r>
          </w:p>
        </w:tc>
      </w:tr>
    </w:tbl>
    <w:p>
      <w:pPr>
        <w:pStyle w:val="Heading2"/>
        <w:spacing w:after="120" w:before="240"/>
      </w:pPr>
      <w:r>
        <w:t xml:space="preserve">7. Ações</w:t>
      </w:r>
    </w:p>
    <w:tbl>
      <w:tblPr>
        <w:tblW w:type="pct" w:w="100%"/>
        <w:tblBorders>
          <w:top w:val="single" w:color="999999" w:sz="4"/>
          <w:left w:val="single" w:color="999999" w:sz="4"/>
          <w:bottom w:val="single" w:color="999999" w:sz="4"/>
          <w:right w:val="single" w:color="999999" w:sz="4"/>
          <w:insideH w:val="single" w:color="CCCCCC" w:sz="2"/>
          <w:insideV w:val="single" w:color="CCCCCC" w:sz="2"/>
        </w:tblBorders>
      </w:tblPr>
      <w:tblGrid>
        <w:gridCol w:w="100"/>
        <w:gridCol w:w="100"/>
        <w:gridCol w:w="100"/>
        <w:gridCol w:w="100"/>
      </w:tblGrid>
      <w:tr>
        <w:trPr>
          <w:tblHeader/>
        </w:trPr>
        <w:tc>
          <w:tcPr>
            <w:tcW w:type="pct" w:w="18%"/>
            <w:shd w:fill="1F4E79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Botão</w:t>
            </w:r>
          </w:p>
        </w:tc>
        <w:tc>
          <w:tcPr>
            <w:tcW w:type="pct" w:w="12%"/>
            <w:shd w:fill="1F4E79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Cor</w:t>
            </w:r>
          </w:p>
        </w:tc>
        <w:tc>
          <w:tcPr>
            <w:tcW w:type="pct" w:w="35%"/>
            <w:shd w:fill="1F4E79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Ação</w:t>
            </w:r>
          </w:p>
        </w:tc>
        <w:tc>
          <w:tcPr>
            <w:tcW w:type="pct" w:w="35%"/>
            <w:shd w:fill="1F4E79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Orientações/Observações</w:t>
            </w:r>
          </w:p>
        </w:tc>
      </w:tr>
      <w:tr>
        <w:tc>
          <w:tcPr>
            <w:tcW w:type="pct" w:w="18%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Voltar</w:t>
            </w:r>
          </w:p>
        </w:tc>
        <w:tc>
          <w:tcPr>
            <w:tcW w:type="pct" w:w="12%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Branco com borda azul</w:t>
            </w:r>
          </w:p>
        </w:tc>
        <w:tc>
          <w:tcPr>
            <w:tcW w:type="pct" w:w="35%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Sair do cadastro e retornar à listagem, sem salvar.</w:t>
            </w:r>
          </w:p>
        </w:tc>
        <w:tc>
          <w:tcPr>
            <w:tcW w:type="pct" w:w="35%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Nesta aba (1ª do fluxo), "Voltar" sai do formulário; nas demais abas, "Voltar" retorna à aba anterior. Não valida nada (é só recuo).</w:t>
            </w:r>
          </w:p>
        </w:tc>
      </w:tr>
      <w:tr>
        <w:tc>
          <w:tcPr>
            <w:tcW w:type="pct" w:w="18%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Avançar</w:t>
            </w:r>
          </w:p>
        </w:tc>
        <w:tc>
          <w:tcPr>
            <w:tcW w:type="pct" w:w="12%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Azul</w:t>
            </w:r>
          </w:p>
        </w:tc>
        <w:tc>
          <w:tcPr>
            <w:tcW w:type="pct" w:w="35%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Validar os campos obrigatórios desta aba e, se válidos, ir para a próxima aba (Cronograma).</w:t>
            </w:r>
          </w:p>
        </w:tc>
        <w:tc>
          <w:tcPr>
            <w:tcW w:type="pct" w:w="35%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Ícone de seta à direita. Não aparece na última aba (Documentos), onde é substituído por "Salvar certame" — ver USXXX - Documentos.</w:t>
            </w:r>
          </w:p>
        </w:tc>
      </w:tr>
    </w:tbl>
    <w:p>
      <w:pPr>
        <w:pStyle w:val="Heading2"/>
        <w:spacing w:after="120" w:before="240"/>
      </w:pPr>
      <w:r>
        <w:t xml:space="preserve">8. Regras de negócio</w:t>
      </w:r>
    </w:p>
    <w:tbl>
      <w:tblPr>
        <w:tblW w:type="pct" w:w="100%"/>
        <w:tblBorders>
          <w:top w:val="single" w:color="999999" w:sz="4"/>
          <w:left w:val="single" w:color="999999" w:sz="4"/>
          <w:bottom w:val="single" w:color="999999" w:sz="4"/>
          <w:right w:val="single" w:color="999999" w:sz="4"/>
          <w:insideH w:val="single" w:color="CCCCCC" w:sz="2"/>
          <w:insideV w:val="single" w:color="CCCCCC" w:sz="2"/>
        </w:tblBorders>
      </w:tblPr>
      <w:tblGrid>
        <w:gridCol w:w="100"/>
        <w:gridCol w:w="100"/>
      </w:tblGrid>
      <w:tr>
        <w:trPr>
          <w:tblHeader/>
        </w:trPr>
        <w:tc>
          <w:tcPr>
            <w:tcW w:type="pct" w:w="12%"/>
            <w:shd w:fill="1F4E79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Nº</w:t>
            </w:r>
          </w:p>
        </w:tc>
        <w:tc>
          <w:tcPr>
            <w:tcW w:type="pct" w:w="88%"/>
            <w:shd w:fill="1F4E79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Descrição da regra</w:t>
            </w:r>
          </w:p>
        </w:tc>
      </w:tr>
      <w:tr>
        <w:tc>
          <w:tcPr>
            <w:tcW w:type="pct" w:w="12%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RN001</w:t>
            </w:r>
          </w:p>
        </w:tc>
        <w:tc>
          <w:tcPr>
            <w:tcW w:type="pct" w:w="88%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O sistema utiliza dois tipos de certame: Concurso Público e Processo Seletivo Simplificado (PSS).</w:t>
            </w:r>
          </w:p>
        </w:tc>
      </w:tr>
      <w:tr>
        <w:tc>
          <w:tcPr>
            <w:tcW w:type="pct" w:w="12%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RN002</w:t>
            </w:r>
          </w:p>
        </w:tc>
        <w:tc>
          <w:tcPr>
            <w:tcW w:type="pct" w:w="88%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O nome do edital segue o padrão [NÚMERO]/[ÓRGÃO]/[ANO] seguido de descrição livre.</w:t>
            </w:r>
          </w:p>
        </w:tc>
      </w:tr>
      <w:tr>
        <w:tc>
          <w:tcPr>
            <w:tcW w:type="pct" w:w="12%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RN003</w:t>
            </w:r>
          </w:p>
        </w:tc>
        <w:tc>
          <w:tcPr>
            <w:tcW w:type="pct" w:w="88%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O número do certame (TCE-MT) é sequencial de 11 dígitos, zerado a cada exercício; sugerido automaticamente, editável até a publicação do edital.</w:t>
            </w:r>
          </w:p>
        </w:tc>
      </w:tr>
      <w:tr>
        <w:tc>
          <w:tcPr>
            <w:tcW w:type="pct" w:w="12%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RN004</w:t>
            </w:r>
          </w:p>
        </w:tc>
        <w:tc>
          <w:tcPr>
            <w:tcW w:type="pct" w:w="88%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A numeração do edital é própria de cada órgão, independente do número do certame do TCE-MT.</w:t>
            </w:r>
          </w:p>
        </w:tc>
      </w:tr>
      <w:tr>
        <w:tc>
          <w:tcPr>
            <w:tcW w:type="pct" w:w="12%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RN005</w:t>
            </w:r>
          </w:p>
        </w:tc>
        <w:tc>
          <w:tcPr>
            <w:tcW w:type="pct" w:w="88%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O órgão responsável (mandante) é único por certame e, após salvo, não pode mais ser alterado.</w:t>
            </w:r>
          </w:p>
        </w:tc>
      </w:tr>
      <w:tr>
        <w:tc>
          <w:tcPr>
            <w:tcW w:type="pct" w:w="12%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RN006</w:t>
            </w:r>
          </w:p>
        </w:tc>
        <w:tc>
          <w:tcPr>
            <w:tcW w:type="pct" w:w="88%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A escolha do tipo é a primeira etapa do cadastro, define os campos das etapas seguintes e não pode ser alterada após a criação.</w:t>
            </w:r>
          </w:p>
        </w:tc>
      </w:tr>
      <w:tr>
        <w:tc>
          <w:tcPr>
            <w:tcW w:type="pct" w:w="12%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RN007</w:t>
            </w:r>
          </w:p>
        </w:tc>
        <w:tc>
          <w:tcPr>
            <w:tcW w:type="pct" w:w="88%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Para PSS o Tipo de vínculo é editável; para Concurso Público é fixo "Nomeado Efetivo".</w:t>
            </w:r>
          </w:p>
        </w:tc>
      </w:tr>
      <w:tr>
        <w:tc>
          <w:tcPr>
            <w:tcW w:type="pct" w:w="12%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RN008</w:t>
            </w:r>
          </w:p>
        </w:tc>
        <w:tc>
          <w:tcPr>
            <w:tcW w:type="pct" w:w="88%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Dois certames do mesmo tipo e exercício não podem compartilhar o mesmo Número do certame (TCE-MT); a checagem é feita já ao tentar avançar desta aba.</w:t>
            </w:r>
          </w:p>
        </w:tc>
      </w:tr>
      <w:tr>
        <w:tc>
          <w:tcPr>
            <w:tcW w:type="pct" w:w="12%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RN009</w:t>
            </w:r>
          </w:p>
        </w:tc>
        <w:tc>
          <w:tcPr>
            <w:tcW w:type="pct" w:w="88%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A validação do formulário é feita por fase: ao clicar em "Avançar", o sistema valida os campos obrigatórios e as regras de negócio da aba atual; havendo pendência, bloqueia a troca de aba e sinaliza os campos inválidos, sem avançar.</w:t>
            </w:r>
          </w:p>
        </w:tc>
      </w:tr>
    </w:tbl>
    <w:p>
      <w:pPr>
        <w:pStyle w:val="Heading2"/>
        <w:spacing w:after="120" w:before="240"/>
      </w:pPr>
      <w:r>
        <w:t xml:space="preserve">9. Protótipo</w:t>
      </w:r>
    </w:p>
    <w:p>
      <w:pPr>
        <w:spacing w:after="120"/>
      </w:pPr>
      <w:r>
        <w:rPr>
          <w:b w:val="false"/>
          <w:bCs w:val="false"/>
          <w:i w:val="false"/>
          <w:iCs w:val="false"/>
          <w:sz w:val="22"/>
          <w:szCs w:val="22"/>
        </w:rPr>
        <w:t xml:space="preserve">URL: http://localhost:5173/#/prototipos/sigep/controle-pss/certames/novo</w:t>
      </w:r>
    </w:p>
    <w:p>
      <w:pPr>
        <w:spacing w:after="120"/>
      </w:pPr>
      <w:r>
        <w:rPr>
          <w:b w:val="false"/>
          <w:bCs w:val="false"/>
          <w:i w:val="false"/>
          <w:iCs w:val="false"/>
          <w:sz w:val="22"/>
          <w:szCs w:val="22"/>
        </w:rPr>
        <w:t xml:space="preserve">Tela: Cadastro de Certame — aba Identificação</w:t>
      </w:r>
    </w:p>
    <w:p>
      <w:pPr>
        <w:pStyle w:val="Heading2"/>
        <w:spacing w:after="120" w:before="240"/>
      </w:pPr>
      <w:r>
        <w:t xml:space="preserve">Matriz de permissões</w:t>
      </w:r>
    </w:p>
    <w:tbl>
      <w:tblPr>
        <w:tblW w:type="pct" w:w="100%"/>
        <w:tblBorders>
          <w:top w:val="single" w:color="999999" w:sz="4"/>
          <w:left w:val="single" w:color="999999" w:sz="4"/>
          <w:bottom w:val="single" w:color="999999" w:sz="4"/>
          <w:right w:val="single" w:color="999999" w:sz="4"/>
          <w:insideH w:val="single" w:color="CCCCCC" w:sz="2"/>
          <w:insideV w:val="single" w:color="CCCCCC" w:sz="2"/>
        </w:tblBorders>
      </w:tblPr>
      <w:tblGrid>
        <w:gridCol w:w="100"/>
        <w:gridCol w:w="100"/>
        <w:gridCol w:w="100"/>
        <w:gridCol w:w="100"/>
        <w:gridCol w:w="100"/>
        <w:gridCol w:w="100"/>
        <w:gridCol w:w="100"/>
      </w:tblGrid>
      <w:tr>
        <w:trPr>
          <w:tblHeader/>
        </w:trPr>
        <w:tc>
          <w:tcPr>
            <w:tcW w:type="pct" w:w="28%"/>
            <w:shd w:fill="1F4E79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Ação / Nível de Acesso</w:t>
            </w:r>
          </w:p>
        </w:tc>
        <w:tc>
          <w:tcPr>
            <w:tcW w:type="pct" w:w="12%"/>
            <w:shd w:fill="1F4E79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Admin do Sistema</w:t>
            </w:r>
          </w:p>
        </w:tc>
        <w:tc>
          <w:tcPr>
            <w:tcW w:type="pct" w:w="12%"/>
            <w:shd w:fill="1F4E79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Admin Central</w:t>
            </w:r>
          </w:p>
        </w:tc>
        <w:tc>
          <w:tcPr>
            <w:tcW w:type="pct" w:w="12%"/>
            <w:shd w:fill="1F4E79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Admin Setorial</w:t>
            </w:r>
          </w:p>
        </w:tc>
        <w:tc>
          <w:tcPr>
            <w:tcW w:type="pct" w:w="12%"/>
            <w:shd w:fill="1F4E79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Chefia do Setor</w:t>
            </w:r>
          </w:p>
        </w:tc>
        <w:tc>
          <w:tcPr>
            <w:tcW w:type="pct" w:w="12%"/>
            <w:shd w:fill="1F4E79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Analista SEPLAG</w:t>
            </w:r>
          </w:p>
        </w:tc>
        <w:tc>
          <w:tcPr>
            <w:tcW w:type="pct" w:w="12%"/>
            <w:shd w:fill="1F4E79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Operador de Sistema</w:t>
            </w:r>
          </w:p>
        </w:tc>
      </w:tr>
      <w:tr>
        <w:tc>
          <w:tcPr>
            <w:tcW w:type="pct" w:w="28%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Adicionar</w:t>
            </w:r>
          </w:p>
        </w:tc>
        <w:tc>
          <w:tcPr>
            <w:tcW w:type="pct" w:w="12%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-</w:t>
            </w:r>
          </w:p>
        </w:tc>
        <w:tc>
          <w:tcPr>
            <w:tcW w:type="pct" w:w="12%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-</w:t>
            </w:r>
          </w:p>
        </w:tc>
        <w:tc>
          <w:tcPr>
            <w:tcW w:type="pct" w:w="12%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-</w:t>
            </w:r>
          </w:p>
        </w:tc>
        <w:tc>
          <w:tcPr>
            <w:tcW w:type="pct" w:w="12%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-</w:t>
            </w:r>
          </w:p>
        </w:tc>
        <w:tc>
          <w:tcPr>
            <w:tcW w:type="pct" w:w="12%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-</w:t>
            </w:r>
          </w:p>
        </w:tc>
        <w:tc>
          <w:tcPr>
            <w:tcW w:type="pct" w:w="12%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-</w:t>
            </w:r>
          </w:p>
        </w:tc>
      </w:tr>
      <w:tr>
        <w:tc>
          <w:tcPr>
            <w:tcW w:type="pct" w:w="28%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Visualizar</w:t>
            </w:r>
          </w:p>
        </w:tc>
        <w:tc>
          <w:tcPr>
            <w:tcW w:type="pct" w:w="12%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-</w:t>
            </w:r>
          </w:p>
        </w:tc>
        <w:tc>
          <w:tcPr>
            <w:tcW w:type="pct" w:w="12%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-</w:t>
            </w:r>
          </w:p>
        </w:tc>
        <w:tc>
          <w:tcPr>
            <w:tcW w:type="pct" w:w="12%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-</w:t>
            </w:r>
          </w:p>
        </w:tc>
        <w:tc>
          <w:tcPr>
            <w:tcW w:type="pct" w:w="12%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-</w:t>
            </w:r>
          </w:p>
        </w:tc>
        <w:tc>
          <w:tcPr>
            <w:tcW w:type="pct" w:w="12%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-</w:t>
            </w:r>
          </w:p>
        </w:tc>
        <w:tc>
          <w:tcPr>
            <w:tcW w:type="pct" w:w="12%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-</w:t>
            </w:r>
          </w:p>
        </w:tc>
      </w:tr>
      <w:tr>
        <w:tc>
          <w:tcPr>
            <w:tcW w:type="pct" w:w="28%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Editar</w:t>
            </w:r>
          </w:p>
        </w:tc>
        <w:tc>
          <w:tcPr>
            <w:tcW w:type="pct" w:w="12%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-</w:t>
            </w:r>
          </w:p>
        </w:tc>
        <w:tc>
          <w:tcPr>
            <w:tcW w:type="pct" w:w="12%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-</w:t>
            </w:r>
          </w:p>
        </w:tc>
        <w:tc>
          <w:tcPr>
            <w:tcW w:type="pct" w:w="12%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-</w:t>
            </w:r>
          </w:p>
        </w:tc>
        <w:tc>
          <w:tcPr>
            <w:tcW w:type="pct" w:w="12%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-</w:t>
            </w:r>
          </w:p>
        </w:tc>
        <w:tc>
          <w:tcPr>
            <w:tcW w:type="pct" w:w="12%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-</w:t>
            </w:r>
          </w:p>
        </w:tc>
        <w:tc>
          <w:tcPr>
            <w:tcW w:type="pct" w:w="12%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-</w:t>
            </w:r>
          </w:p>
        </w:tc>
      </w:tr>
      <w:tr>
        <w:tc>
          <w:tcPr>
            <w:tcW w:type="pct" w:w="28%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Excluir</w:t>
            </w:r>
          </w:p>
        </w:tc>
        <w:tc>
          <w:tcPr>
            <w:tcW w:type="pct" w:w="12%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-</w:t>
            </w:r>
          </w:p>
        </w:tc>
        <w:tc>
          <w:tcPr>
            <w:tcW w:type="pct" w:w="12%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-</w:t>
            </w:r>
          </w:p>
        </w:tc>
        <w:tc>
          <w:tcPr>
            <w:tcW w:type="pct" w:w="12%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-</w:t>
            </w:r>
          </w:p>
        </w:tc>
        <w:tc>
          <w:tcPr>
            <w:tcW w:type="pct" w:w="12%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-</w:t>
            </w:r>
          </w:p>
        </w:tc>
        <w:tc>
          <w:tcPr>
            <w:tcW w:type="pct" w:w="12%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-</w:t>
            </w:r>
          </w:p>
        </w:tc>
        <w:tc>
          <w:tcPr>
            <w:tcW w:type="pct" w:w="12%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-</w:t>
            </w:r>
          </w:p>
        </w:tc>
      </w:tr>
    </w:tbl>
    <w:p>
      <w:pPr>
        <w:spacing w:after="120"/>
      </w:pPr>
      <w:r>
        <w:rPr>
          <w:b w:val="false"/>
          <w:bCs w:val="false"/>
          <w:i/>
          <w:iCs/>
          <w:sz w:val="22"/>
          <w:szCs w:val="22"/>
        </w:rPr>
        <w:t xml:space="preserve">(Pendente de definição pelo usuário.)</w:t>
      </w:r>
    </w:p>
    <w:p>
      <w:pPr>
        <w:pStyle w:val="Heading2"/>
        <w:spacing w:after="120" w:before="240"/>
      </w:pPr>
      <w:r>
        <w:t xml:space="preserve">Documentos/Legislação</w:t>
      </w:r>
    </w:p>
    <w:p>
      <w:pPr>
        <w:spacing w:after="120"/>
      </w:pPr>
      <w:r>
        <w:rPr>
          <w:b w:val="false"/>
          <w:bCs w:val="false"/>
          <w:i w:val="false"/>
          <w:iCs w:val="false"/>
          <w:sz w:val="22"/>
          <w:szCs w:val="22"/>
        </w:rPr>
        <w:t xml:space="preserve">N/A para esta US.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b/>
      <w:bCs/>
      <w:color w:val="1F4E79"/>
      <w:sz w:val="36"/>
      <w:szCs w:val="36"/>
    </w:rPr>
  </w:style>
  <w:style w:type="paragraph" w:styleId="Heading1">
    <w:name w:val="Heading 1"/>
    <w:basedOn w:val="Normal"/>
    <w:next w:val="Normal"/>
    <w:qFormat/>
    <w:rPr>
      <w:b/>
      <w:bCs/>
      <w:color w:val="1F4E79"/>
      <w:sz w:val="32"/>
      <w:szCs w:val="32"/>
    </w:rPr>
  </w:style>
  <w:style w:type="paragraph" w:styleId="Heading2">
    <w:name w:val="Heading 2"/>
    <w:basedOn w:val="Normal"/>
    <w:next w:val="Normal"/>
    <w:qFormat/>
    <w:rPr>
      <w:b/>
      <w:bCs/>
      <w:color w:val="1F4E79"/>
      <w:sz w:val="26"/>
      <w:szCs w:val="26"/>
    </w:rPr>
  </w:style>
  <w:style w:type="paragraph" w:styleId="Heading3">
    <w:name w:val="Heading 3"/>
    <w:basedOn w:val="Normal"/>
    <w:next w:val="Normal"/>
    <w:qFormat/>
    <w:rPr>
      <w:b/>
      <w:bCs/>
      <w:color w:val="333333"/>
      <w:sz w:val="23"/>
      <w:szCs w:val="23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2026-08-26T18:45:56.986Z</dcterms:created>
  <dcterms:modified xsi:type="dcterms:W3CDTF">2026-08-26T18:45:57.062Z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